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8"/>
        </w:rPr>
        <w:t>Advanced Deep Learning Based</w:t>
        <w:br/>
        <w:t>Stock Growth Prediction System</w:t>
      </w:r>
    </w:p>
    <w:p>
      <w:pPr>
        <w:jc w:val="center"/>
      </w:pPr>
      <w:r>
        <w:rPr>
          <w:i/>
          <w:color w:val="555555"/>
          <w:sz w:val="28"/>
        </w:rPr>
        <w:t>A 10-Phase, Leakage-Audited Study on NIFTY50 Equities</w:t>
        <w:br/>
        <w:t>Final Report</w:t>
      </w:r>
    </w:p>
    <w:p>
      <w:r>
        <w:br w:type="page"/>
      </w:r>
    </w:p>
    <w:p>
      <w:pPr>
        <w:pStyle w:val="Heading1"/>
      </w:pPr>
      <w:r>
        <w:rPr>
          <w:color w:val="1F3B57"/>
        </w:rPr>
        <w:t>Abstract</w:t>
      </w:r>
    </w:p>
    <w:p>
      <w:r>
        <w:rPr>
          <w:b w:val="0"/>
          <w:i w:val="0"/>
        </w:rPr>
        <w:t>This project builds and rigorously audits a complete machine learning pipeline to predict NIFTY50 stock performance, following a strict 10-phase methodology (data audit, point-in-time fundamentals, feature engineering, target construction, leakage-audited splitting, baselines, deep learning, ensemble/regime analysis, walk-forward evaluation, and deployment). Six real bugs were found and fixed during the audit, including a data-leakage defect in the original train/test purge gap (verified empirically to cover only 84-92 trading days against a required 90) and a previously undetected corporate action (a 2026 demerger) corrupting return calculations. After every fix, the central finding held: a stock's absolute future return is not predictable from price, volume, or fundamental data beyond the historical average, across five independent model families (historical mean, naive momentum, linear regression, tree ensembles, and a 5-model LSTM ensemble). A modest, real edge exists for predicting relative performance (beating the NIFTY50 median), around 52-55% accuracy against a 50% base rate, confirmed via walk-forward testing across 2021-2025 - but this edge is unstable year to year and did not survive a transaction-cost-aware backtest. Five independently-motivated fixes for this instability (excluding an outlier year, filtering to IC-stable features, cross-sectional quintile re-ranking, rolling training windows, and volatility-scaled targets) were tested; all underperformed the original simple baseline. The deep learning model, despite careful construction and ensembling, did not outperform plain Logistic Regression. The final deliverable is a probability-based inference system built on this Logistic Regression model, presented honestly as a weak statistical tilt rather than a reliable prediction.</w:t>
      </w:r>
    </w:p>
    <w:p>
      <w:pPr>
        <w:pStyle w:val="Heading1"/>
      </w:pPr>
      <w:r>
        <w:rPr>
          <w:color w:val="1F3B57"/>
        </w:rPr>
        <w:t>Project Phases —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shd w:fill="1F3B57"/>
          </w:tcPr>
          <w:p>
            <w:r>
              <w:rPr>
                <w:b/>
                <w:color w:val="FFFFFF"/>
              </w:rPr>
              <w:t>Phase</w:t>
            </w:r>
          </w:p>
        </w:tc>
        <w:tc>
          <w:tcPr>
            <w:tcW w:type="dxa" w:w="3168"/>
            <w:shd w:fill="1F3B57"/>
          </w:tcPr>
          <w:p>
            <w:r>
              <w:rPr>
                <w:b/>
                <w:color w:val="FFFFFF"/>
              </w:rPr>
              <w:t>Objective</w:t>
            </w:r>
          </w:p>
        </w:tc>
        <w:tc>
          <w:tcPr>
            <w:tcW w:type="dxa" w:w="5328"/>
            <w:shd w:fill="1F3B57"/>
          </w:tcPr>
          <w:p>
            <w:r>
              <w:rPr>
                <w:b/>
                <w:color w:val="FFFFFF"/>
              </w:rPr>
              <w:t>Outcome</w:t>
            </w:r>
          </w:p>
        </w:tc>
      </w:tr>
      <w:tr>
        <w:tc>
          <w:tcPr>
            <w:tcW w:type="dxa" w:w="864"/>
          </w:tcPr>
          <w:p>
            <w:r>
              <w:t>1</w:t>
            </w:r>
          </w:p>
        </w:tc>
        <w:tc>
          <w:tcPr>
            <w:tcW w:type="dxa" w:w="3168"/>
          </w:tcPr>
          <w:p>
            <w:r>
              <w:t>Raw data audit</w:t>
            </w:r>
          </w:p>
        </w:tc>
        <w:tc>
          <w:tcPr>
            <w:tcW w:type="dxa" w:w="5328"/>
          </w:tcPr>
          <w:p>
            <w:r>
              <w:t>20-point audit run; found and fixed an unflagged Vedanta demerger corrupting returns</w:t>
            </w:r>
          </w:p>
        </w:tc>
      </w:tr>
      <w:tr>
        <w:tc>
          <w:tcPr>
            <w:tcW w:type="dxa" w:w="864"/>
          </w:tcPr>
          <w:p>
            <w:r>
              <w:t>2</w:t>
            </w:r>
          </w:p>
        </w:tc>
        <w:tc>
          <w:tcPr>
            <w:tcW w:type="dxa" w:w="3168"/>
          </w:tcPr>
          <w:p>
            <w:r>
              <w:t>Point-in-time fundamentals</w:t>
            </w:r>
          </w:p>
        </w:tc>
        <w:tc>
          <w:tcPr>
            <w:tcW w:type="dxa" w:w="5328"/>
          </w:tcPr>
          <w:p>
            <w:r>
              <w:t>Real NSE filing dates scraped (95.5% coverage) replacing a fixed-lag approximation</w:t>
            </w:r>
          </w:p>
        </w:tc>
      </w:tr>
      <w:tr>
        <w:tc>
          <w:tcPr>
            <w:tcW w:type="dxa" w:w="864"/>
          </w:tcPr>
          <w:p>
            <w:r>
              <w:t>3</w:t>
            </w:r>
          </w:p>
        </w:tc>
        <w:tc>
          <w:tcPr>
            <w:tcW w:type="dxa" w:w="3168"/>
          </w:tcPr>
          <w:p>
            <w:r>
              <w:t>Feature engineering audit</w:t>
            </w:r>
          </w:p>
        </w:tc>
        <w:tc>
          <w:tcPr>
            <w:tcW w:type="dxa" w:w="5328"/>
          </w:tcPr>
          <w:p>
            <w:r>
              <w:t>34 features (30 technical + 4 fundamental) audited for leakage; sector feature fixed to leave-one-out</w:t>
            </w:r>
          </w:p>
        </w:tc>
      </w:tr>
      <w:tr>
        <w:tc>
          <w:tcPr>
            <w:tcW w:type="dxa" w:w="864"/>
          </w:tcPr>
          <w:p>
            <w:r>
              <w:t>4</w:t>
            </w:r>
          </w:p>
        </w:tc>
        <w:tc>
          <w:tcPr>
            <w:tcW w:type="dxa" w:w="3168"/>
          </w:tcPr>
          <w:p>
            <w:r>
              <w:t>Target construction</w:t>
            </w:r>
          </w:p>
        </w:tc>
        <w:tc>
          <w:tcPr>
            <w:tcW w:type="dxa" w:w="5328"/>
          </w:tcPr>
          <w:p>
            <w:r>
              <w:t>Added missing absolute-direction and future-volatility targets to the label menu</w:t>
            </w:r>
          </w:p>
        </w:tc>
      </w:tr>
      <w:tr>
        <w:tc>
          <w:tcPr>
            <w:tcW w:type="dxa" w:w="864"/>
          </w:tcPr>
          <w:p>
            <w:r>
              <w:t>5</w:t>
            </w:r>
          </w:p>
        </w:tc>
        <w:tc>
          <w:tcPr>
            <w:tcW w:type="dxa" w:w="3168"/>
          </w:tcPr>
          <w:p>
            <w:r>
              <w:t>Leakage audit &amp; splitting</w:t>
            </w:r>
          </w:p>
        </w:tc>
        <w:tc>
          <w:tcPr>
            <w:tcW w:type="dxa" w:w="5328"/>
          </w:tcPr>
          <w:p>
            <w:r>
              <w:t>Found and fixed an insufficient purge gap (130→150 days) after empirical verification</w:t>
            </w:r>
          </w:p>
        </w:tc>
      </w:tr>
      <w:tr>
        <w:tc>
          <w:tcPr>
            <w:tcW w:type="dxa" w:w="864"/>
          </w:tcPr>
          <w:p>
            <w:r>
              <w:t>6</w:t>
            </w:r>
          </w:p>
        </w:tc>
        <w:tc>
          <w:tcPr>
            <w:tcW w:type="dxa" w:w="3168"/>
          </w:tcPr>
          <w:p>
            <w:r>
              <w:t>Baselines</w:t>
            </w:r>
          </w:p>
        </w:tc>
        <w:tc>
          <w:tcPr>
            <w:tcW w:type="dxa" w:w="5328"/>
          </w:tcPr>
          <w:p>
            <w:r>
              <w:t>5 baseline models tested; Logistic Regression emerged as the consistent standout</w:t>
            </w:r>
          </w:p>
        </w:tc>
      </w:tr>
      <w:tr>
        <w:tc>
          <w:tcPr>
            <w:tcW w:type="dxa" w:w="864"/>
          </w:tcPr>
          <w:p>
            <w:r>
              <w:t>7</w:t>
            </w:r>
          </w:p>
        </w:tc>
        <w:tc>
          <w:tcPr>
            <w:tcW w:type="dxa" w:w="3168"/>
          </w:tcPr>
          <w:p>
            <w:r>
              <w:t>Deep learning</w:t>
            </w:r>
          </w:p>
        </w:tc>
        <w:tc>
          <w:tcPr>
            <w:tcW w:type="dxa" w:w="5328"/>
          </w:tcPr>
          <w:p>
            <w:r>
              <w:t>5-model LSTM ensemble built and tested; did not beat Logistic Regression</w:t>
            </w:r>
          </w:p>
        </w:tc>
      </w:tr>
      <w:tr>
        <w:tc>
          <w:tcPr>
            <w:tcW w:type="dxa" w:w="864"/>
          </w:tcPr>
          <w:p>
            <w:r>
              <w:t>8</w:t>
            </w:r>
          </w:p>
        </w:tc>
        <w:tc>
          <w:tcPr>
            <w:tcW w:type="dxa" w:w="3168"/>
          </w:tcPr>
          <w:p>
            <w:r>
              <w:t>Instability diagnosis</w:t>
            </w:r>
          </w:p>
        </w:tc>
        <w:tc>
          <w:tcPr>
            <w:tcW w:type="dxa" w:w="5328"/>
          </w:tcPr>
          <w:p>
            <w:r>
              <w:t>5 proposed fixes for walk-forward instability tested; all underperformed baseline</w:t>
            </w:r>
          </w:p>
        </w:tc>
      </w:tr>
    </w:tbl>
    <w:p/>
    <w:p>
      <w:pPr>
        <w:pStyle w:val="Heading1"/>
      </w:pPr>
      <w:r>
        <w:rPr>
          <w:color w:val="1F3B57"/>
        </w:rPr>
        <w:t>Data and Methodology</w:t>
      </w:r>
    </w:p>
    <w:p>
      <w:pPr>
        <w:pStyle w:val="Heading2"/>
      </w:pPr>
      <w:r>
        <w:rPr>
          <w:color w:val="1F3B57"/>
        </w:rPr>
        <w:t>Data Sources</w:t>
      </w:r>
    </w:p>
    <w:p>
      <w:pPr>
        <w:pStyle w:val="ListBullet"/>
      </w:pPr>
      <w:r>
        <w:t>Price data: yfinance (Yahoo Finance), 48 of 49 NIFTY50 constituents, 2010-2026 daily OHLCV.</w:t>
      </w:r>
    </w:p>
    <w:p>
      <w:pPr>
        <w:pStyle w:val="ListBullet"/>
      </w:pPr>
      <w:r>
        <w:t>Fundamentals: Screener.in (47 stocks, ~12 fiscal years each), cross-validated against Wikipedia (exact match on TCS FY2026 net profit).</w:t>
      </w:r>
    </w:p>
    <w:p>
      <w:pPr>
        <w:pStyle w:val="ListBullet"/>
      </w:pPr>
      <w:r>
        <w:t>Filing dates: NSE India's public corporate-announcements API, 548 of 574 fiscal-year records (95.5%) resolved to a real, timestamped filing date rather than an approximation.</w:t>
      </w:r>
    </w:p>
    <w:p>
      <w:pPr>
        <w:pStyle w:val="Heading2"/>
      </w:pPr>
      <w:r>
        <w:rPr>
          <w:color w:val="1F3B57"/>
        </w:rPr>
        <w:t>Known, Disclosed Limitation</w:t>
      </w:r>
    </w:p>
    <w:p>
      <w:r>
        <w:rPr>
          <w:b w:val="0"/>
          <w:i w:val="0"/>
        </w:rPr>
        <w:t>Survivorship bias: the universe is today's NIFTY50 list backfilled across 16 years. Any company removed from the index during that period (delisting, sustained underperformance) is absent from the dataset entirely. This was identified during Phase 1 and could not be corrected without a historical index-constituent-change log, which is not available from free sources. Any finding in this report should be read with this in mind.</w:t>
      </w:r>
    </w:p>
    <w:p>
      <w:pPr>
        <w:pStyle w:val="Heading2"/>
      </w:pPr>
      <w:r>
        <w:rPr>
          <w:color w:val="1F3B57"/>
        </w:rPr>
        <w:t>Feature Set (34 features)</w:t>
      </w:r>
    </w:p>
    <w:tbl>
      <w:tblPr>
        <w:tblStyle w:val="LightGrid-Accent1"/>
        <w:tblW w:type="auto" w:w="0"/>
        <w:jc w:val="center"/>
        <w:tblLook w:firstColumn="1" w:firstRow="1" w:lastColumn="0" w:lastRow="0" w:noHBand="0" w:noVBand="1" w:val="04A0"/>
      </w:tblPr>
      <w:tblGrid>
        <w:gridCol w:w="4320"/>
        <w:gridCol w:w="4320"/>
      </w:tblGrid>
      <w:tr>
        <w:tc>
          <w:tcPr>
            <w:tcW w:type="dxa" w:w="2592"/>
            <w:shd w:fill="1F3B57"/>
          </w:tcPr>
          <w:p>
            <w:r>
              <w:rPr>
                <w:b/>
                <w:color w:val="FFFFFF"/>
              </w:rPr>
              <w:t>Category</w:t>
            </w:r>
          </w:p>
        </w:tc>
        <w:tc>
          <w:tcPr>
            <w:tcW w:type="dxa" w:w="6768"/>
            <w:shd w:fill="1F3B57"/>
          </w:tcPr>
          <w:p>
            <w:r>
              <w:rPr>
                <w:b/>
                <w:color w:val="FFFFFF"/>
              </w:rPr>
              <w:t>Examples</w:t>
            </w:r>
          </w:p>
        </w:tc>
      </w:tr>
      <w:tr>
        <w:tc>
          <w:tcPr>
            <w:tcW w:type="dxa" w:w="2592"/>
          </w:tcPr>
          <w:p>
            <w:r>
              <w:t>Trend</w:t>
            </w:r>
          </w:p>
        </w:tc>
        <w:tc>
          <w:tcPr>
            <w:tcW w:type="dxa" w:w="6768"/>
          </w:tcPr>
          <w:p>
            <w:r>
              <w:t>Price vs. SMA(10/20/50), EMA(20/50/200)</w:t>
            </w:r>
          </w:p>
        </w:tc>
      </w:tr>
      <w:tr>
        <w:tc>
          <w:tcPr>
            <w:tcW w:type="dxa" w:w="2592"/>
          </w:tcPr>
          <w:p>
            <w:r>
              <w:t>Momentum</w:t>
            </w:r>
          </w:p>
        </w:tc>
        <w:tc>
          <w:tcPr>
            <w:tcW w:type="dxa" w:w="6768"/>
          </w:tcPr>
          <w:p>
            <w:r>
              <w:t>MACD, RSI(14), Rate-of-Change (5/10/20/40d)</w:t>
            </w:r>
          </w:p>
        </w:tc>
      </w:tr>
      <w:tr>
        <w:tc>
          <w:tcPr>
            <w:tcW w:type="dxa" w:w="2592"/>
          </w:tcPr>
          <w:p>
            <w:r>
              <w:t>Volatility</w:t>
            </w:r>
          </w:p>
        </w:tc>
        <w:tc>
          <w:tcPr>
            <w:tcW w:type="dxa" w:w="6768"/>
          </w:tcPr>
          <w:p>
            <w:r>
              <w:t>Bollinger %B/width, ATR%, rolling volatility</w:t>
            </w:r>
          </w:p>
        </w:tc>
      </w:tr>
      <w:tr>
        <w:tc>
          <w:tcPr>
            <w:tcW w:type="dxa" w:w="2592"/>
          </w:tcPr>
          <w:p>
            <w:r>
              <w:t>Volume</w:t>
            </w:r>
          </w:p>
        </w:tc>
        <w:tc>
          <w:tcPr>
            <w:tcW w:type="dxa" w:w="6768"/>
          </w:tcPr>
          <w:p>
            <w:r>
              <w:t>Relative volume, OBV (z-scored)</w:t>
            </w:r>
          </w:p>
        </w:tc>
      </w:tr>
      <w:tr>
        <w:tc>
          <w:tcPr>
            <w:tcW w:type="dxa" w:w="2592"/>
          </w:tcPr>
          <w:p>
            <w:r>
              <w:t>Market/Sector context</w:t>
            </w:r>
          </w:p>
        </w:tc>
        <w:tc>
          <w:tcPr>
            <w:tcW w:type="dxa" w:w="6768"/>
          </w:tcPr>
          <w:p>
            <w:r>
              <w:t>NIFTY50 return/volatility/trend, leave-one-out sector return</w:t>
            </w:r>
          </w:p>
        </w:tc>
      </w:tr>
      <w:tr>
        <w:tc>
          <w:tcPr>
            <w:tcW w:type="dxa" w:w="2592"/>
          </w:tcPr>
          <w:p>
            <w:r>
              <w:t>Fundamental</w:t>
            </w:r>
          </w:p>
        </w:tc>
        <w:tc>
          <w:tcPr>
            <w:tcW w:type="dxa" w:w="6768"/>
          </w:tcPr>
          <w:p>
            <w:r>
              <w:t>ROE, Net Profit growth, EPS growth, daily-updating P/E</w:t>
            </w:r>
          </w:p>
        </w:tc>
      </w:tr>
    </w:tbl>
    <w:p/>
    <w:p>
      <w:pPr>
        <w:pStyle w:val="Heading2"/>
      </w:pPr>
      <w:r>
        <w:rPr>
          <w:color w:val="1F3B57"/>
        </w:rPr>
        <w:t>Labels (5 families x 4 horizons = 20 columns)</w:t>
      </w:r>
    </w:p>
    <w:p>
      <w:pPr>
        <w:pStyle w:val="ListBullet"/>
      </w:pPr>
      <w:r>
        <w:t>Absolute forward return, Market-relative (cross-sectional) return</w:t>
      </w:r>
    </w:p>
    <w:p>
      <w:pPr>
        <w:pStyle w:val="ListBullet"/>
      </w:pPr>
      <w:r>
        <w:t>Direction vs. peers (beats-median), Direction vs. zero (absolute)</w:t>
      </w:r>
    </w:p>
    <w:p>
      <w:pPr>
        <w:pStyle w:val="ListBullet"/>
      </w:pPr>
      <w:r>
        <w:t>Future realized volatility</w:t>
      </w:r>
    </w:p>
    <w:p>
      <w:pPr>
        <w:pStyle w:val="ListBullet"/>
      </w:pPr>
      <w:r>
        <w:t>Horizons: 7, 30, 60, 90 trading days</w:t>
      </w:r>
    </w:p>
    <w:p>
      <w:pPr>
        <w:pStyle w:val="Heading2"/>
      </w:pPr>
      <w:r>
        <w:rPr>
          <w:color w:val="1F3B57"/>
        </w:rPr>
        <w:t>Leakage-Audited Splitting</w:t>
      </w:r>
    </w:p>
    <w:p>
      <w:r>
        <w:rPr>
          <w:b w:val="0"/>
          <w:i w:val="0"/>
        </w:rPr>
        <w:t>Time-based split (never random). A real leakage bug was found here: the original purge gap (130 calendar days) was assumed to safely exceed the 90-trading-day maximum label horizon, but was verified empirically to cover as few as 84 real NSE trading days once market holidays are accounted for - below the required 90. Corrected to 150 calendar days (verified minimum: 97 trading days) and propagated to every script that had independently duplicated the old value.</w:t>
      </w:r>
    </w:p>
    <w:p>
      <w:pPr>
        <w:pStyle w:val="Heading1"/>
      </w:pPr>
      <w:r>
        <w:rPr>
          <w:color w:val="1F3B57"/>
        </w:rPr>
        <w:t>Modeling Results</w:t>
      </w:r>
    </w:p>
    <w:p>
      <w:pPr>
        <w:pStyle w:val="Heading2"/>
      </w:pPr>
      <w:r>
        <w:rPr>
          <w:color w:val="1F3B57"/>
        </w:rPr>
        <w:t>Phase 6 — Baselines (corrected data, 30d horizon)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fill="1F3B57"/>
          </w:tcPr>
          <w:p>
            <w:r>
              <w:rPr>
                <w:b/>
                <w:color w:val="FFFFFF"/>
              </w:rPr>
              <w:t>Model</w:t>
            </w:r>
          </w:p>
        </w:tc>
        <w:tc>
          <w:tcPr>
            <w:tcW w:type="dxa" w:w="1584"/>
            <w:shd w:fill="1F3B57"/>
          </w:tcPr>
          <w:p>
            <w:r>
              <w:rPr>
                <w:b/>
                <w:color w:val="FFFFFF"/>
              </w:rPr>
              <w:t>MAE</w:t>
            </w:r>
          </w:p>
        </w:tc>
        <w:tc>
          <w:tcPr>
            <w:tcW w:type="dxa" w:w="1584"/>
            <w:shd w:fill="1F3B57"/>
          </w:tcPr>
          <w:p>
            <w:r>
              <w:rPr>
                <w:b/>
                <w:color w:val="FFFFFF"/>
              </w:rPr>
              <w:t>DirAcc</w:t>
            </w:r>
          </w:p>
        </w:tc>
        <w:tc>
          <w:tcPr>
            <w:tcW w:type="dxa" w:w="2880"/>
            <w:shd w:fill="1F3B57"/>
          </w:tcPr>
          <w:p>
            <w:r>
              <w:rPr>
                <w:b/>
                <w:color w:val="FFFFFF"/>
              </w:rPr>
              <w:t>Classification Acc.</w:t>
            </w:r>
          </w:p>
        </w:tc>
      </w:tr>
      <w:tr>
        <w:tc>
          <w:tcPr>
            <w:tcW w:type="dxa" w:w="3168"/>
          </w:tcPr>
          <w:p>
            <w:r>
              <w:t>Historical mean</w:t>
            </w:r>
          </w:p>
        </w:tc>
        <w:tc>
          <w:tcPr>
            <w:tcW w:type="dxa" w:w="1584"/>
          </w:tcPr>
          <w:p>
            <w:r>
              <w:t>0.0648</w:t>
            </w:r>
          </w:p>
        </w:tc>
        <w:tc>
          <w:tcPr>
            <w:tcW w:type="dxa" w:w="1584"/>
          </w:tcPr>
          <w:p>
            <w:r>
              <w:t>54.5%</w:t>
            </w:r>
          </w:p>
        </w:tc>
        <w:tc>
          <w:tcPr>
            <w:tcW w:type="dxa" w:w="2880"/>
          </w:tcPr>
          <w:p>
            <w:r>
              <w:t>50.7% (majority class)</w:t>
            </w:r>
          </w:p>
        </w:tc>
      </w:tr>
      <w:tr>
        <w:tc>
          <w:tcPr>
            <w:tcW w:type="dxa" w:w="3168"/>
          </w:tcPr>
          <w:p>
            <w:r>
              <w:t>Naive momentum</w:t>
            </w:r>
          </w:p>
        </w:tc>
        <w:tc>
          <w:tcPr>
            <w:tcW w:type="dxa" w:w="1584"/>
          </w:tcPr>
          <w:p>
            <w:r>
              <w:t>0.0873</w:t>
            </w:r>
          </w:p>
        </w:tc>
        <w:tc>
          <w:tcPr>
            <w:tcW w:type="dxa" w:w="1584"/>
          </w:tcPr>
          <w:p>
            <w:r>
              <w:t>47.7%</w:t>
            </w:r>
          </w:p>
        </w:tc>
        <w:tc>
          <w:tcPr>
            <w:tcW w:type="dxa" w:w="2880"/>
          </w:tcPr>
          <w:p>
            <w:r>
              <w:t>—</w:t>
            </w:r>
          </w:p>
        </w:tc>
      </w:tr>
      <w:tr>
        <w:tc>
          <w:tcPr>
            <w:tcW w:type="dxa" w:w="3168"/>
          </w:tcPr>
          <w:p>
            <w:r>
              <w:t>Ridge / Logistic Regression</w:t>
            </w:r>
          </w:p>
        </w:tc>
        <w:tc>
          <w:tcPr>
            <w:tcW w:type="dxa" w:w="1584"/>
          </w:tcPr>
          <w:p>
            <w:r>
              <w:t>0.0657</w:t>
            </w:r>
          </w:p>
        </w:tc>
        <w:tc>
          <w:tcPr>
            <w:tcW w:type="dxa" w:w="1584"/>
          </w:tcPr>
          <w:p>
            <w:r>
              <w:t>52.1%</w:t>
            </w:r>
          </w:p>
        </w:tc>
        <w:tc>
          <w:tcPr>
            <w:tcW w:type="dxa" w:w="2880"/>
          </w:tcPr>
          <w:p>
            <w:r>
              <w:t>52.9%</w:t>
            </w:r>
          </w:p>
        </w:tc>
      </w:tr>
      <w:tr>
        <w:tc>
          <w:tcPr>
            <w:tcW w:type="dxa" w:w="3168"/>
          </w:tcPr>
          <w:p>
            <w:r>
              <w:t>Random Forest</w:t>
            </w:r>
          </w:p>
        </w:tc>
        <w:tc>
          <w:tcPr>
            <w:tcW w:type="dxa" w:w="1584"/>
          </w:tcPr>
          <w:p>
            <w:r>
              <w:t>0.0656</w:t>
            </w:r>
          </w:p>
        </w:tc>
        <w:tc>
          <w:tcPr>
            <w:tcW w:type="dxa" w:w="1584"/>
          </w:tcPr>
          <w:p>
            <w:r>
              <w:t>57.0%</w:t>
            </w:r>
          </w:p>
        </w:tc>
        <w:tc>
          <w:tcPr>
            <w:tcW w:type="dxa" w:w="2880"/>
          </w:tcPr>
          <w:p>
            <w:r>
              <w:t>50.1%</w:t>
            </w:r>
          </w:p>
        </w:tc>
      </w:tr>
      <w:tr>
        <w:tc>
          <w:tcPr>
            <w:tcW w:type="dxa" w:w="3168"/>
          </w:tcPr>
          <w:p>
            <w:r>
              <w:t>Gradient Boosting (HistGB)</w:t>
            </w:r>
          </w:p>
        </w:tc>
        <w:tc>
          <w:tcPr>
            <w:tcW w:type="dxa" w:w="1584"/>
          </w:tcPr>
          <w:p>
            <w:r>
              <w:t>0.0853</w:t>
            </w:r>
          </w:p>
        </w:tc>
        <w:tc>
          <w:tcPr>
            <w:tcW w:type="dxa" w:w="1584"/>
          </w:tcPr>
          <w:p>
            <w:r>
              <w:t>55.3%</w:t>
            </w:r>
          </w:p>
        </w:tc>
        <w:tc>
          <w:tcPr>
            <w:tcW w:type="dxa" w:w="2880"/>
          </w:tcPr>
          <w:p>
            <w:r>
              <w:t>51.2%</w:t>
            </w:r>
          </w:p>
        </w:tc>
      </w:tr>
    </w:tbl>
    <w:p/>
    <w:p>
      <w:r>
        <w:rPr>
          <w:b w:val="0"/>
          <w:i w:val="0"/>
        </w:rPr>
        <w:t>Notable finding: naive momentum scores BELOW 50% direction accuracy at every horizon (46.6%-47.9%), indicating mild mean-reversion rather than trend-following in this data - confirmed independently via the IC decay analysis in Phase 8 (see below).</w:t>
      </w:r>
    </w:p>
    <w:p>
      <w:pPr>
        <w:pStyle w:val="Heading2"/>
      </w:pPr>
      <w:r>
        <w:rPr>
          <w:color w:val="1F3B57"/>
        </w:rPr>
        <w:t>Phase 7 — Deep Learning (LSTM Ensemble)</w:t>
      </w:r>
    </w:p>
    <w:p>
      <w:r>
        <w:rPr>
          <w:b w:val="0"/>
          <w:i w:val="0"/>
        </w:rPr>
        <w:t>A single-layer LSTM (32 units) with a 5-model ensemble (averaged predictions, following the methodology of Gu, Kelly &amp; Xiu 2020) was built and trained on the corrected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shd w:fill="1F3B57"/>
          </w:tcPr>
          <w:p>
            <w:r>
              <w:rPr>
                <w:b/>
                <w:color w:val="FFFFFF"/>
              </w:rPr>
              <w:t>Horizon</w:t>
            </w:r>
          </w:p>
        </w:tc>
        <w:tc>
          <w:tcPr>
            <w:tcW w:type="dxa" w:w="2592"/>
            <w:shd w:fill="1F3B57"/>
          </w:tcPr>
          <w:p>
            <w:r>
              <w:rPr>
                <w:b/>
                <w:color w:val="FFFFFF"/>
              </w:rPr>
              <w:t>LSTM Ensemble</w:t>
            </w:r>
          </w:p>
        </w:tc>
        <w:tc>
          <w:tcPr>
            <w:tcW w:type="dxa" w:w="2592"/>
            <w:shd w:fill="1F3B57"/>
          </w:tcPr>
          <w:p>
            <w:r>
              <w:rPr>
                <w:b/>
                <w:color w:val="FFFFFF"/>
              </w:rPr>
              <w:t>Logistic Regression</w:t>
            </w:r>
          </w:p>
        </w:tc>
        <w:tc>
          <w:tcPr>
            <w:tcW w:type="dxa" w:w="1584"/>
            <w:shd w:fill="1F3B57"/>
          </w:tcPr>
          <w:p>
            <w:r>
              <w:rPr>
                <w:b/>
                <w:color w:val="FFFFFF"/>
              </w:rPr>
              <w:t>Naive</w:t>
            </w:r>
          </w:p>
        </w:tc>
      </w:tr>
      <w:tr>
        <w:tc>
          <w:tcPr>
            <w:tcW w:type="dxa" w:w="1584"/>
          </w:tcPr>
          <w:p>
            <w:r>
              <w:t>30d</w:t>
            </w:r>
          </w:p>
        </w:tc>
        <w:tc>
          <w:tcPr>
            <w:tcW w:type="dxa" w:w="2592"/>
          </w:tcPr>
          <w:p>
            <w:r>
              <w:t>52.1%</w:t>
            </w:r>
          </w:p>
        </w:tc>
        <w:tc>
          <w:tcPr>
            <w:tcW w:type="dxa" w:w="2592"/>
          </w:tcPr>
          <w:p>
            <w:r>
              <w:t>52.9%</w:t>
            </w:r>
          </w:p>
        </w:tc>
        <w:tc>
          <w:tcPr>
            <w:tcW w:type="dxa" w:w="1584"/>
          </w:tcPr>
          <w:p>
            <w:r>
              <w:t>51.0%</w:t>
            </w:r>
          </w:p>
        </w:tc>
      </w:tr>
      <w:tr>
        <w:tc>
          <w:tcPr>
            <w:tcW w:type="dxa" w:w="1584"/>
          </w:tcPr>
          <w:p>
            <w:r>
              <w:t>60d</w:t>
            </w:r>
          </w:p>
        </w:tc>
        <w:tc>
          <w:tcPr>
            <w:tcW w:type="dxa" w:w="2592"/>
          </w:tcPr>
          <w:p>
            <w:r>
              <w:t>50.9%</w:t>
            </w:r>
          </w:p>
        </w:tc>
        <w:tc>
          <w:tcPr>
            <w:tcW w:type="dxa" w:w="2592"/>
          </w:tcPr>
          <w:p>
            <w:r>
              <w:t>54.1%</w:t>
            </w:r>
          </w:p>
        </w:tc>
        <w:tc>
          <w:tcPr>
            <w:tcW w:type="dxa" w:w="1584"/>
          </w:tcPr>
          <w:p>
            <w:r>
              <w:t>51.5%</w:t>
            </w:r>
          </w:p>
        </w:tc>
      </w:tr>
    </w:tbl>
    <w:p/>
    <w:p>
      <w:r>
        <w:rPr>
          <w:b w:val="0"/>
          <w:i/>
        </w:rPr>
        <w:t>The LSTM did not beat Logistic Regression at either horizon, and lost to naive outright at 60d/90d. Individual ensemble members showed a 4-point accuracy spread from random initialization alone (49.1%-53.1%), confirming high run-to-run instability that ensembling reduced but did not eliminate. Per the project's own governing rule ("prefer simple models when they outperform complex models"), Logistic Regression was retained as the production model.</w:t>
      </w:r>
    </w:p>
    <w:p>
      <w:pPr>
        <w:pStyle w:val="Heading2"/>
      </w:pPr>
      <w:r>
        <w:rPr>
          <w:color w:val="1F3B57"/>
        </w:rPr>
        <w:t>Phase 8 — Instability Diagnosis</w:t>
      </w:r>
    </w:p>
    <w:p>
      <w:r>
        <w:rPr>
          <w:b w:val="0"/>
          <w:i w:val="0"/>
        </w:rPr>
        <w:t>Walk-forward testing (2021-2025) showed an unstable edge: positive in some years, negative in others (mean +1.0 percentage point, standard deviation 2.0pp - the spread exceeds the mean). An IC (Information Coefficient) decay analysis found that 22 of 34 features flip the sign of their relationship with returns in 5 or more of 9 tested years, and identified 2020 as a dramatic regime outlier (momentum/volatility features show positive IC only in that COVID-recovery year, negative in nearly every other year).</w:t>
      </w:r>
    </w:p>
    <w:p>
      <w:r>
        <w:rPr>
          <w:b/>
          <w:i w:val="0"/>
        </w:rPr>
        <w:t>Five proposed fixes for this instability were tested; all underperformed the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fill="1F3B57"/>
          </w:tcPr>
          <w:p>
            <w:r>
              <w:rPr>
                <w:b/>
                <w:color w:val="FFFFFF"/>
              </w:rPr>
              <w:t>Fix Tested</w:t>
            </w:r>
          </w:p>
        </w:tc>
        <w:tc>
          <w:tcPr>
            <w:tcW w:type="dxa" w:w="5040"/>
            <w:shd w:fill="1F3B57"/>
          </w:tcPr>
          <w:p>
            <w:r>
              <w:rPr>
                <w:b/>
                <w:color w:val="FFFFFF"/>
              </w:rPr>
              <w:t>Result</w:t>
            </w:r>
          </w:p>
        </w:tc>
      </w:tr>
      <w:tr>
        <w:tc>
          <w:tcPr>
            <w:tcW w:type="dxa" w:w="4320"/>
          </w:tcPr>
          <w:p>
            <w:r>
              <w:t>Exclude 2020 outlier from training</w:t>
            </w:r>
          </w:p>
        </w:tc>
        <w:tc>
          <w:tcPr>
            <w:tcW w:type="dxa" w:w="5040"/>
          </w:tcPr>
          <w:p>
            <w:r>
              <w:t>Mean edge worsened (0.96pp → 0.74pp)</w:t>
            </w:r>
          </w:p>
        </w:tc>
      </w:tr>
      <w:tr>
        <w:tc>
          <w:tcPr>
            <w:tcW w:type="dxa" w:w="4320"/>
          </w:tcPr>
          <w:p>
            <w:r>
              <w:t>Filter to IC-stable features only (17 of 34)</w:t>
            </w:r>
          </w:p>
        </w:tc>
        <w:tc>
          <w:tcPr>
            <w:tcW w:type="dxa" w:w="5040"/>
          </w:tcPr>
          <w:p>
            <w:r>
              <w:t>Mean edge went negative (0.96pp → -0.26pp)</w:t>
            </w:r>
          </w:p>
        </w:tc>
      </w:tr>
      <w:tr>
        <w:tc>
          <w:tcPr>
            <w:tcW w:type="dxa" w:w="4320"/>
          </w:tcPr>
          <w:p>
            <w:r>
              <w:t>Cross-sectional quintile re-ranking</w:t>
            </w:r>
          </w:p>
        </w:tc>
        <w:tc>
          <w:tcPr>
            <w:tcW w:type="dxa" w:w="5040"/>
          </w:tcPr>
          <w:p>
            <w:r>
              <w:t>Same instability pattern, one year's ranking inverted (2022: -1.72%)</w:t>
            </w:r>
          </w:p>
        </w:tc>
      </w:tr>
      <w:tr>
        <w:tc>
          <w:tcPr>
            <w:tcW w:type="dxa" w:w="4320"/>
          </w:tcPr>
          <w:p>
            <w:r>
              <w:t>Rolling 3-year training window</w:t>
            </w:r>
          </w:p>
        </w:tc>
        <w:tc>
          <w:tcPr>
            <w:tcW w:type="dxa" w:w="5040"/>
          </w:tcPr>
          <w:p>
            <w:r>
              <w:t>Mean edge worsened (0.96pp → 0.19pp)</w:t>
            </w:r>
          </w:p>
        </w:tc>
      </w:tr>
      <w:tr>
        <w:tc>
          <w:tcPr>
            <w:tcW w:type="dxa" w:w="4320"/>
          </w:tcPr>
          <w:p>
            <w:r>
              <w:t>Volatility-scaled return targets</w:t>
            </w:r>
          </w:p>
        </w:tc>
        <w:tc>
          <w:tcPr>
            <w:tcW w:type="dxa" w:w="5040"/>
          </w:tcPr>
          <w:p>
            <w:r>
              <w:t>Underperformed in 4 of 5 years (mean 0.96pp → 0.08pp)</w:t>
            </w:r>
          </w:p>
        </w:tc>
      </w:tr>
    </w:tbl>
    <w:p/>
    <w:p>
      <w:r>
        <w:rPr>
          <w:b w:val="0"/>
          <w:i w:val="0"/>
        </w:rPr>
        <w:t>This is treated as a significant finding, not a failed exploration: five independent, well-motivated remedies converging on the same negative result is strong evidence that the instability is a genuine property of the return-generating process in this market and period, not an artifact fixable through feature selection, re-ranking, windowing, or target transformation.</w:t>
      </w:r>
    </w:p>
    <w:p>
      <w:pPr>
        <w:pStyle w:val="Heading2"/>
      </w:pPr>
      <w:r>
        <w:rPr>
          <w:color w:val="1F3B57"/>
        </w:rPr>
        <w:t>Portfolio Backtest (Transaction-Cost-Aware)</w:t>
      </w:r>
    </w:p>
    <w:p>
      <w:r>
        <w:rPr>
          <w:b w:val="0"/>
          <w:i w:val="0"/>
        </w:rPr>
        <w:t>A Top-5 cross-sectional portfolio, rebalanced every 30 days, was backtested with a ~0.25% round-trip cost assumption. Before the Phase 5 purge-gap fix, this appeared to show a +21.4% net edge over benchmark - after the fix, the same backtest showed a -7.1% net edge (t=-0.25, p=0.80, not statistically significant). The apparent edge was substantially a leakage artifact.</w:t>
      </w:r>
    </w:p>
    <w:p>
      <w:pPr>
        <w:pStyle w:val="Heading1"/>
      </w:pPr>
      <w:r>
        <w:rPr>
          <w:color w:val="1F3B57"/>
        </w:rPr>
        <w:t>Final Findings</w:t>
      </w:r>
    </w:p>
    <w:p>
      <w:pPr>
        <w:pStyle w:val="ListNumber"/>
      </w:pPr>
      <w:r>
        <w:t>Absolute return prediction does not work, confirmed across 5 independent model families (historical mean, naive momentum, linear/tree/deep learning) and consistent with the field's benchmark academic result (Gu, Kelly &amp; Xiu 2020 report a similarly small ~0.4% R² for individual stock return prediction using far more data and resources).</w:t>
      </w:r>
    </w:p>
    <w:p>
      <w:pPr>
        <w:pStyle w:val="ListNumber"/>
      </w:pPr>
      <w:r>
        <w:t>A modest, real edge exists for relative (beat-the-market) direction prediction (~52-55%), confirmed via walk-forward testing, but it is unstable across years and does not survive realistic transaction costs at the portfolio level.</w:t>
      </w:r>
    </w:p>
    <w:p>
      <w:pPr>
        <w:pStyle w:val="ListNumber"/>
      </w:pPr>
      <w:r>
        <w:t>The 'advanced deep learning' component of this project's own name did not outperform a plain Logistic Regression - a scientifically important negative result, arrived at only after careful, fair construction (ensembling, regularization, proper validation) rather than a naive first attempt.</w:t>
      </w:r>
    </w:p>
    <w:p>
      <w:pPr>
        <w:pStyle w:val="ListNumber"/>
      </w:pPr>
      <w:r>
        <w:t>Five independently-motivated fixes for the instability problem were tested and all failed, which is itself informative: it rules out several plausible explanations (outlier year, unstable features, wrong ranking metric, stale training data, scale mismatch) and points toward the instability being intrinsic to the market regime relationship, not a fixable methodology defect.</w:t>
      </w:r>
    </w:p>
    <w:p>
      <w:pPr>
        <w:pStyle w:val="Heading1"/>
      </w:pPr>
      <w:r>
        <w:rPr>
          <w:color w:val="1F3B57"/>
        </w:rPr>
        <w:t>Final Deliverable</w:t>
      </w:r>
    </w:p>
    <w:p>
      <w:r>
        <w:rPr>
          <w:b w:val="0"/>
          <w:i w:val="0"/>
        </w:rPr>
        <w:t>The production system (src/predict.py) outputs a calibrated probability that a selected stock will beat the NIFTY50 median return over 7/30/60/90 days, using Logistic Regression trained on the full, corrected feature set. Every prediction is shown alongside its horizon's historical walk-forward accuracy and an explicit confidence caveat, rather than a precise price target - an honest representation of what this data and methodology can actually support.</w:t>
      </w:r>
    </w:p>
    <w:p>
      <w:r>
        <w:br w:type="page"/>
      </w:r>
    </w:p>
    <w:p>
      <w:pPr>
        <w:pStyle w:val="Heading1"/>
      </w:pPr>
      <w:r>
        <w:rPr>
          <w:color w:val="1F3B57"/>
        </w:rPr>
        <w:t>Appendix A — Complete Log of Bugs Found and Fixed</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shd w:fill="1F3B57"/>
          </w:tcPr>
          <w:p>
            <w:r>
              <w:rPr>
                <w:b/>
                <w:color w:val="FFFFFF"/>
              </w:rPr>
              <w:t>Phase</w:t>
            </w:r>
          </w:p>
        </w:tc>
        <w:tc>
          <w:tcPr>
            <w:tcW w:type="dxa" w:w="4608"/>
            <w:shd w:fill="1F3B57"/>
          </w:tcPr>
          <w:p>
            <w:r>
              <w:rPr>
                <w:b/>
                <w:color w:val="FFFFFF"/>
              </w:rPr>
              <w:t>Bug</w:t>
            </w:r>
          </w:p>
        </w:tc>
        <w:tc>
          <w:tcPr>
            <w:tcW w:type="dxa" w:w="4176"/>
            <w:shd w:fill="1F3B57"/>
          </w:tcPr>
          <w:p>
            <w:r>
              <w:rPr>
                <w:b/>
                <w:color w:val="FFFFFF"/>
              </w:rPr>
              <w:t>Fix</w:t>
            </w:r>
          </w:p>
        </w:tc>
      </w:tr>
      <w:tr>
        <w:tc>
          <w:tcPr>
            <w:tcW w:type="dxa" w:w="864"/>
          </w:tcPr>
          <w:p>
            <w:r>
              <w:t>1</w:t>
            </w:r>
          </w:p>
        </w:tc>
        <w:tc>
          <w:tcPr>
            <w:tcW w:type="dxa" w:w="4608"/>
          </w:tcPr>
          <w:p>
            <w:r>
              <w:t>Vedanta 2026 demerger unflagged, corrupting a -64.9% return as real</w:t>
            </w:r>
          </w:p>
        </w:tc>
        <w:tc>
          <w:tcPr>
            <w:tcW w:type="dxa" w:w="4176"/>
          </w:tcPr>
          <w:p>
            <w:r>
              <w:t>Added to corporate-action registry, masked from labels</w:t>
            </w:r>
          </w:p>
        </w:tc>
      </w:tr>
      <w:tr>
        <w:tc>
          <w:tcPr>
            <w:tcW w:type="dxa" w:w="864"/>
          </w:tcPr>
          <w:p>
            <w:r>
              <w:t>1</w:t>
            </w:r>
          </w:p>
        </w:tc>
        <w:tc>
          <w:tcPr>
            <w:tcW w:type="dxa" w:w="4608"/>
          </w:tcPr>
          <w:p>
            <w:r>
              <w:t>M&amp;M symbol mismatch caused sector/company metadata to silently fail to merge</w:t>
            </w:r>
          </w:p>
        </w:tc>
        <w:tc>
          <w:tcPr>
            <w:tcW w:type="dxa" w:w="4176"/>
          </w:tcPr>
          <w:p>
            <w:r>
              <w:t>Standardized symbol sanitization across all files</w:t>
            </w:r>
          </w:p>
        </w:tc>
      </w:tr>
      <w:tr>
        <w:tc>
          <w:tcPr>
            <w:tcW w:type="dxa" w:w="864"/>
          </w:tcPr>
          <w:p>
            <w:r>
              <w:t>2</w:t>
            </w:r>
          </w:p>
        </w:tc>
        <w:tc>
          <w:tcPr>
            <w:tcW w:type="dxa" w:w="4608"/>
          </w:tcPr>
          <w:p>
            <w:r>
              <w:t>NSE API recategorized recent filings under a different label mid-history</w:t>
            </w:r>
          </w:p>
        </w:tc>
        <w:tc>
          <w:tcPr>
            <w:tcW w:type="dxa" w:w="4176"/>
          </w:tcPr>
          <w:p>
            <w:r>
              <w:t>Broadened filter to match both label AND attachment text</w:t>
            </w:r>
          </w:p>
        </w:tc>
      </w:tr>
      <w:tr>
        <w:tc>
          <w:tcPr>
            <w:tcW w:type="dxa" w:w="864"/>
          </w:tcPr>
          <w:p>
            <w:r>
              <w:t>2</w:t>
            </w:r>
          </w:p>
        </w:tc>
        <w:tc>
          <w:tcPr>
            <w:tcW w:type="dxa" w:w="4608"/>
          </w:tcPr>
          <w:p>
            <w:r>
              <w:t>Wrong assumed NSE ticker for Tata Motors post-demerger</w:t>
            </w:r>
          </w:p>
        </w:tc>
        <w:tc>
          <w:tcPr>
            <w:tcW w:type="dxa" w:w="4176"/>
          </w:tcPr>
          <w:p>
            <w:r>
              <w:t>Corrected via live API verification (TATAMOTORS → TMPV)</w:t>
            </w:r>
          </w:p>
        </w:tc>
      </w:tr>
      <w:tr>
        <w:tc>
          <w:tcPr>
            <w:tcW w:type="dxa" w:w="864"/>
          </w:tcPr>
          <w:p>
            <w:r>
              <w:t>3</w:t>
            </w:r>
          </w:p>
        </w:tc>
        <w:tc>
          <w:tcPr>
            <w:tcW w:type="dxa" w:w="4608"/>
          </w:tcPr>
          <w:p>
            <w:r>
              <w:t>Sector-return feature included each stock's own return (redundant/circular)</w:t>
            </w:r>
          </w:p>
        </w:tc>
        <w:tc>
          <w:tcPr>
            <w:tcW w:type="dxa" w:w="4176"/>
          </w:tcPr>
          <w:p>
            <w:r>
              <w:t>Changed to leave-one-out average</w:t>
            </w:r>
          </w:p>
        </w:tc>
      </w:tr>
      <w:tr>
        <w:tc>
          <w:tcPr>
            <w:tcW w:type="dxa" w:w="864"/>
          </w:tcPr>
          <w:p>
            <w:r>
              <w:t>5</w:t>
            </w:r>
          </w:p>
        </w:tc>
        <w:tc>
          <w:tcPr>
            <w:tcW w:type="dxa" w:w="4608"/>
          </w:tcPr>
          <w:p>
            <w:r>
              <w:t>Purge gap (130 days) verified to cover only 84-92 trading days, below the required 90</w:t>
            </w:r>
          </w:p>
        </w:tc>
        <w:tc>
          <w:tcPr>
            <w:tcW w:type="dxa" w:w="4176"/>
          </w:tcPr>
          <w:p>
            <w:r>
              <w:t>Increased to 150 days (verified minimum 97 trading days)</w:t>
            </w:r>
          </w:p>
        </w:tc>
      </w:tr>
      <w:tr>
        <w:tc>
          <w:tcPr>
            <w:tcW w:type="dxa" w:w="864"/>
          </w:tcPr>
          <w:p>
            <w:r>
              <w:t>5</w:t>
            </w:r>
          </w:p>
        </w:tc>
        <w:tc>
          <w:tcPr>
            <w:tcW w:type="dxa" w:w="4608"/>
          </w:tcPr>
          <w:p>
            <w:r>
              <w:t>The same insufficient purge value was independently duplicated in a second script</w:t>
            </w:r>
          </w:p>
        </w:tc>
        <w:tc>
          <w:tcPr>
            <w:tcW w:type="dxa" w:w="4176"/>
          </w:tcPr>
          <w:p>
            <w:r>
              <w:t>Refactored to a single imported source of truth</w:t>
            </w:r>
          </w:p>
        </w:tc>
      </w:tr>
      <w:tr>
        <w:tc>
          <w:tcPr>
            <w:tcW w:type="dxa" w:w="864"/>
          </w:tcPr>
          <w:p>
            <w:r>
              <w:t>6</w:t>
            </w:r>
          </w:p>
        </w:tc>
        <w:tc>
          <w:tcPr>
            <w:tcW w:type="dxa" w:w="4608"/>
          </w:tcPr>
          <w:p>
            <w:r>
              <w:t>Naive momentum baseline used a standardized feature value as a raw return (units bug)</w:t>
            </w:r>
          </w:p>
        </w:tc>
        <w:tc>
          <w:tcPr>
            <w:tcW w:type="dxa" w:w="4176"/>
          </w:tcPr>
          <w:p>
            <w:r>
              <w:t>Added explicit inverse-scaling before use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