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59669"/>
          <w:sz w:val="44"/>
        </w:rPr>
        <w:t>AI + Learning Notes — Growth Intern Challenge</w:t>
      </w:r>
    </w:p>
    <w:p>
      <w:pPr>
        <w:spacing w:after="280"/>
      </w:pPr>
      <w:r>
        <w:rPr>
          <w:rFonts w:ascii="Calibri" w:hAnsi="Calibri"/>
          <w:color w:val="64748B"/>
          <w:sz w:val="20"/>
        </w:rPr>
        <w:t>Project: Build Your First AI Project in 60 Minutes</w:t>
        <w:br/>
        <w:t>Target: 500 Registrations in 7 Days (₹2,000 Budget Simulation)</w:t>
        <w:br/>
        <w:t>Asset Type: Working Interactive Growth Simulation Engine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3"/>
        </w:rPr>
        <w:t>Executive Summary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This document details the product design evolution, strategic reasoning, and AI-assisted workflow behind the "Build Your First AI Project in 60 Minutes" growth simulation.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Rather than presenting static slides or theoretical spreadsheets, the objective was to construct a working, interactive growth asset demonstrating the complete end-to-end loop: Registration → Project Selection → Referral Generation → Campus Challenge → Growth Admin Analytics.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Throughout this sprint, AI functioned as a brainstorming sounding board, architectural critic, and rapid implementation partner. All product direction, strategic constraints, ethical boundaries, and design decisions remained strictly human-driven.</w:t>
      </w: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1. How I Used AI During the Build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AI was leveraged across five specific disciplines during development: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Brainstorming Partner:</w:t>
      </w:r>
      <w:r>
        <w:rPr>
          <w:rFonts w:ascii="Calibri" w:hAnsi="Calibri"/>
          <w:color w:val="0F172A"/>
          <w:sz w:val="20"/>
        </w:rPr>
        <w:t xml:space="preserve"> Rapidly generating feature variations, referral mechanics, and campus acquisition hooks.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Product &amp; UX Critic:</w:t>
      </w:r>
      <w:r>
        <w:rPr>
          <w:rFonts w:ascii="Calibri" w:hAnsi="Calibri"/>
          <w:color w:val="0F172A"/>
          <w:sz w:val="20"/>
        </w:rPr>
        <w:t xml:space="preserve"> Stress-testing edge cases, evaluating friction points in form completion, and auditing information hierarchy.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Growth Strategy Partner:</w:t>
      </w:r>
      <w:r>
        <w:rPr>
          <w:rFonts w:ascii="Calibri" w:hAnsi="Calibri"/>
          <w:color w:val="0F172A"/>
          <w:sz w:val="20"/>
        </w:rPr>
        <w:t xml:space="preserve"> Formulating viral loop hypotheses, campus challenge dynamics, and lifecycle retention touchpoints.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Implementation Assistant:</w:t>
      </w:r>
      <w:r>
        <w:rPr>
          <w:rFonts w:ascii="Calibri" w:hAnsi="Calibri"/>
          <w:color w:val="0F172A"/>
          <w:sz w:val="20"/>
        </w:rPr>
        <w:t xml:space="preserve"> Accelerating boilerplate TypeScript/React code, Tailwind utility composition, and responsive layouts.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Iteration Tool:</w:t>
      </w:r>
      <w:r>
        <w:rPr>
          <w:rFonts w:ascii="Calibri" w:hAnsi="Calibri"/>
          <w:color w:val="0F172A"/>
          <w:sz w:val="20"/>
        </w:rPr>
        <w:t xml:space="preserve"> Refactoring UI themes, transitioning between design iterations, and auditing component responsiveness.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0"/>
              </w:rPr>
              <w:t xml:space="preserve">Core Principle: </w:t>
            </w:r>
            <w:r>
              <w:rPr>
                <w:rFonts w:ascii="Calibri" w:hAnsi="Calibri"/>
                <w:i/>
                <w:color w:val="0F172A"/>
                <w:sz w:val="20"/>
              </w:rPr>
              <w:t>"AI accelerated exploration and implementation, but the final product direction came from evaluating suggestions against the challenge requirements."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Workflow Followed: Challenge → AI Exploration → Evaluate Suggestions → Build → Test → Reject/Refine → Final Product.</w:t>
      </w: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2. Iteration 1 — From a Workshop Registration Page to a Growth Engine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I Asked AI: </w:t>
      </w:r>
      <w:r>
        <w:rPr>
          <w:rFonts w:ascii="Calibri" w:hAnsi="Calibri"/>
          <w:color w:val="0F172A"/>
          <w:sz w:val="20"/>
        </w:rPr>
        <w:t>"How can I make a workshop registration website actually demonstrate a strategy for reaching 500 students in 7 days on a ₹2,000 budget?"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AI Suggested: </w:t>
      </w:r>
      <w:r>
        <w:rPr>
          <w:rFonts w:ascii="Calibri" w:hAnsi="Calibri"/>
          <w:color w:val="0F172A"/>
          <w:sz w:val="20"/>
        </w:rPr>
        <w:t>Unique peer referral links, in-session referral tracking, campus-level leaderboards, channel attribution, and real-time growth funnel analytics.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I Changed: </w:t>
      </w:r>
      <w:r>
        <w:rPr>
          <w:rFonts w:ascii="Calibri" w:hAnsi="Calibri"/>
          <w:color w:val="0F172A"/>
          <w:sz w:val="20"/>
        </w:rPr>
        <w:t>Instead of building only a registration form, I added an active, measurable growth loop directly into the web application: Student Discovers → Registers → Gets Referral Code → Shares with Classmates → More Registrations → Campus Leaderboard Climbs → Social Proof Amplification.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Why I Kept It: </w:t>
      </w:r>
      <w:r>
        <w:rPr>
          <w:rFonts w:ascii="Calibri" w:hAnsi="Calibri"/>
          <w:color w:val="0F172A"/>
          <w:sz w:val="20"/>
        </w:rPr>
        <w:t>The challenge asked for an acquisition strategy to reach 500 registrations. In a zero/low-budget environment, student-to-student peer referral in college WhatsApp groups is the single highest-converting distribution channel. The product needed to make those mechanics testable and visible rather than theoretical.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0"/>
              </w:rPr>
              <w:t xml:space="preserve">Key Learning: </w:t>
            </w:r>
            <w:r>
              <w:rPr>
                <w:rFonts w:ascii="Calibri" w:hAnsi="Calibri"/>
                <w:i/>
                <w:color w:val="0F172A"/>
                <w:sz w:val="20"/>
              </w:rPr>
              <w:t>"Build the growth mechanism into the product instead of describing the growth mechanism only in the presentation."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3. Iteration 2 — Making the Simulation Credible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Initial Approach: </w:t>
      </w:r>
      <w:r>
        <w:rPr>
          <w:rFonts w:ascii="Calibri" w:hAnsi="Calibri"/>
          <w:color w:val="0F172A"/>
          <w:sz w:val="20"/>
        </w:rPr>
        <w:t>Early prototypes featured a prominent dropdown in the main navigation labeled "Viewing as: Priya Nair (Switch Persona)".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AI Suggested: </w:t>
      </w:r>
      <w:r>
        <w:rPr>
          <w:rFonts w:ascii="Calibri" w:hAnsi="Calibri"/>
          <w:color w:val="0F172A"/>
          <w:sz w:val="20"/>
        </w:rPr>
        <w:t>Make the simulated experience effortless for an evaluator to explore from anywhere in the app.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Problem Identified: </w:t>
      </w:r>
      <w:r>
        <w:rPr>
          <w:rFonts w:ascii="Calibri" w:hAnsi="Calibri"/>
          <w:color w:val="0F172A"/>
          <w:sz w:val="20"/>
        </w:rPr>
        <w:t>A prominent student-switching interface in the main navigation damages realism. Normal visitors would never see a control allowing them to impersonate classmates. It blurred the boundary between the user experience and evaluator tooling.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I Changed: </w:t>
      </w:r>
      <w:r>
        <w:rPr>
          <w:rFonts w:ascii="Calibri" w:hAnsi="Calibri"/>
          <w:color w:val="0F172A"/>
          <w:sz w:val="20"/>
        </w:rPr>
        <w:t>I moved simulation controls into two clearly separated zones: a dedicated Demo Controls card inside /admin, and an unobtrusive floating pill [ Evaluator: Demo Mode ] in the bottom corner. I also added explicit labels across all seeded values: Simulated Campus Data, Simulated Dataset, and SIMULATED WHATSAPP FLOW.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Why: </w:t>
      </w:r>
      <w:r>
        <w:rPr>
          <w:rFonts w:ascii="Calibri" w:hAnsi="Calibri"/>
          <w:color w:val="0F172A"/>
          <w:sz w:val="20"/>
        </w:rPr>
        <w:t>The challenge is a simulation. Authenticity is critical. The evaluator should immediately understand which data and interactions are demonstrations rather than real campaign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0"/>
              </w:rPr>
              <w:t xml:space="preserve">Key Learning: </w:t>
            </w:r>
            <w:r>
              <w:rPr>
                <w:rFonts w:ascii="Calibri" w:hAnsi="Calibri"/>
                <w:i/>
                <w:color w:val="0F172A"/>
                <w:sz w:val="20"/>
              </w:rPr>
              <w:t>"Good product design is not only about adding functionality; it is also about making the boundaries of the simulation clear."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4. Iteration 3 — From Visual Experimentation to a Professional Product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Initial Version: </w:t>
      </w:r>
      <w:r>
        <w:rPr>
          <w:rFonts w:ascii="Calibri" w:hAnsi="Calibri"/>
          <w:color w:val="0F172A"/>
          <w:sz w:val="20"/>
        </w:rPr>
        <w:t>The website initially used a darker, neon-accented developer dashboard aesthetic with heavy purple borders and glow effects.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AI Helped With: </w:t>
      </w:r>
      <w:r>
        <w:rPr>
          <w:rFonts w:ascii="Calibri" w:hAnsi="Calibri"/>
          <w:color w:val="0F172A"/>
          <w:sz w:val="20"/>
        </w:rPr>
        <w:t>AI was used to evaluate alternative visual directions, critique information hierarchy, and benchmark against modern developer and education SaaS platforms (e.g. Stripe, Supabase, Linear).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What I Changed: </w:t>
      </w:r>
      <w:r>
        <w:rPr>
          <w:rFonts w:ascii="Calibri" w:hAnsi="Calibri"/>
          <w:color w:val="0F172A"/>
          <w:sz w:val="20"/>
        </w:rPr>
        <w:t>Standardized a clean, trustworthy light design system: Mint Emerald (#059669) primary accent, Slate (#F8FAFC) background, Dark Slate (#0F172A) headings, pure white cards, rounded-2xl containers, and subtle slate borders (#E2E8F0).</w:t>
      </w:r>
    </w:p>
    <w:p>
      <w:pPr>
        <w:spacing w:before="0" w:after="80" w:line="276" w:lineRule="auto"/>
      </w:pPr>
      <w:r>
        <w:rPr>
          <w:rFonts w:ascii="Calibri" w:hAnsi="Calibri"/>
          <w:b/>
          <w:color w:val="0F172A"/>
          <w:sz w:val="20"/>
        </w:rPr>
        <w:t xml:space="preserve">Why: </w:t>
      </w:r>
      <w:r>
        <w:rPr>
          <w:rFonts w:ascii="Calibri" w:hAnsi="Calibri"/>
          <w:color w:val="0F172A"/>
          <w:sz w:val="20"/>
        </w:rPr>
        <w:t>Final-year engineering students and academic evaluators respond best to credible, clean education platforms. Over-stylized neon themes distracted from the core growth story.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0"/>
              </w:rPr>
              <w:t xml:space="preserve">Key Learning: </w:t>
            </w:r>
            <w:r>
              <w:rPr>
                <w:rFonts w:ascii="Calibri" w:hAnsi="Calibri"/>
                <w:i/>
                <w:color w:val="0F172A"/>
                <w:sz w:val="20"/>
              </w:rPr>
              <w:t>"Visual design should support the product story. The UI should make the growth loop easier to understand, not compete with it."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5. Iteration 4 — Making the Growth Loop More Visible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After auditing earlier iterations, I identified that referrals alone were not enough. Students need a reason to join and a reason to share. I introduced four interconnected growth modules: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Campus Challenge (/campus-challenge):</w:t>
      </w:r>
      <w:r>
        <w:rPr>
          <w:rFonts w:ascii="Calibri" w:hAnsi="Calibri"/>
          <w:color w:val="0F172A"/>
          <w:sz w:val="20"/>
        </w:rPr>
        <w:t xml:space="preserve"> Simulated inter-college rankings across 6 Bengaluru/Karnataka institutions (Amrita, RVCE, BMSCE, PES, MSRIT, NITK). Features a '🚀 Rally Your College' panel with 1-click WhatsApp group sharing, campus rank, and registrations needed to take the next rank.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AI Project Playground (/playground):</w:t>
      </w:r>
      <w:r>
        <w:rPr>
          <w:rFonts w:ascii="Calibri" w:hAnsi="Calibri"/>
          <w:color w:val="0F172A"/>
          <w:sz w:val="20"/>
        </w:rPr>
        <w:t xml:space="preserve"> Replaces generic webinar skepticism with 4 interactive project blueprints (AI Resume Analyzer, AI Chatbot, Performance Predictor, Sentiment Analyzer). Features in-browser interactive AI output simulations.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60-Minute Workshop Journey (/workshop):</w:t>
      </w:r>
      <w:r>
        <w:rPr>
          <w:rFonts w:ascii="Calibri" w:hAnsi="Calibri"/>
          <w:color w:val="0F172A"/>
          <w:sz w:val="20"/>
        </w:rPr>
        <w:t xml:space="preserve"> Deconstructs the 60-minute session into five timed phases (0-10m Problem, 10-25m Solution, 25-45m AI Layer, 45-55m Test &amp; Improve, 55-60m Submit) with a functional countdown timer and sandbox.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Simulated WhatsApp Growth Flow (/whatsapp-flow):</w:t>
      </w:r>
      <w:r>
        <w:rPr>
          <w:rFonts w:ascii="Calibri" w:hAnsi="Calibri"/>
          <w:color w:val="0F172A"/>
          <w:sz w:val="20"/>
        </w:rPr>
        <w:t xml:space="preserve"> Visualizes a 5-stage lifecycle touchpoint sequence (Registration → T-24h Reminder → T-60m Countdown → Completion Badge → Post-Workshop Referral Prompt) with an interactive player.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DF4"/>
            <w:tcBorders>
              <w:top w:val="none"/>
              <w:left w:val="single" w:sz="24" w:space="0" w:color="059669"/>
              <w:bottom w:val="none"/>
              <w:right w:val="none"/>
            </w:tcBorders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59669"/>
                <w:sz w:val="20"/>
              </w:rPr>
              <w:t xml:space="preserve">Key Learning: </w:t>
            </w:r>
            <w:r>
              <w:rPr>
                <w:rFonts w:ascii="Calibri" w:hAnsi="Calibri"/>
                <w:i/>
                <w:color w:val="0F172A"/>
                <w:sz w:val="20"/>
              </w:rPr>
              <w:t>"Acquisition works better when the product gives students both a reason to join and a reason to share."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6. What Changed: First Idea vs. Final Product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A direct comparison of how the product evolved from an initial registration form into a multi-channel growth system: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E2E8F0"/>
          <w:bottom w:val="single" w:sz="6" w:space="0" w:color="E2E8F0"/>
          <w:left w:val="none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Product Dimension</w:t>
            </w:r>
          </w:p>
        </w:tc>
        <w:tc>
          <w:tcPr>
            <w:tcW w:type="dxa" w:w="3312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Before (First Concept)</w:t>
            </w:r>
          </w:p>
        </w:tc>
        <w:tc>
          <w:tcPr>
            <w:tcW w:type="dxa" w:w="3312"/>
            <w:shd w:fill="05966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After (Final Product)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Core Offering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Generic online AI workshop lecture.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4 tangible 60-minute project blueprints with live testing.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Registration Flow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Standard contact form.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Form + unique referral code + instant WhatsApp invite loop.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Social Proof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Static attendee counter.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Campus Challenge league across 6 real engineering colleges.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Dashboard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Static confirmation screen.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AI Builder Journey (5 milestones) + Rally Your College card.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Growth Analytics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Basic total registration count.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Growth Admin with 5 KPIs, Campus Performance &amp; Growth Funnel.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Lifecycle Strategy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Unspecified email assumption.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Simulated 5-stage WhatsApp lifecycle with interactive player.</w:t>
            </w:r>
          </w:p>
        </w:tc>
      </w:tr>
      <w:tr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Visual Identity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Dark / neon experimental UI.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Clean Mint Emerald (#059669) &amp; Slate professional SaaS theme.</w:t>
            </w:r>
          </w:p>
        </w:tc>
      </w:tr>
      <w:tr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Simulation Mode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64748B"/>
                <w:sz w:val="18"/>
              </w:rPr>
              <w:t>Prominent navbar persona switcher.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</w:pPr>
            <w:r>
              <w:rPr>
                <w:rFonts w:ascii="Calibri" w:hAnsi="Calibri"/>
                <w:color w:val="0F172A"/>
                <w:sz w:val="18"/>
              </w:rPr>
              <w:t>Clean visitor UX with isolated evaluator controls &amp; clear badges.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7. What I Did Not Implement (And Why)</w:t>
      </w:r>
    </w:p>
    <w:p>
      <w:pPr>
        <w:spacing w:before="0" w:after="80" w:line="276" w:lineRule="auto"/>
      </w:pPr>
      <w:r>
        <w:rPr>
          <w:rFonts w:ascii="Calibri" w:hAnsi="Calibri"/>
          <w:color w:val="0F172A"/>
          <w:sz w:val="20"/>
        </w:rPr>
        <w:t>Growth engineering is as much about deciding what NOT to build as it is about adding features: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1. Complex Backend &amp; Real Authentication:</w:t>
      </w:r>
      <w:r>
        <w:rPr>
          <w:rFonts w:ascii="Calibri" w:hAnsi="Calibri"/>
          <w:color w:val="0F172A"/>
          <w:sz w:val="20"/>
        </w:rPr>
        <w:t xml:space="preserve"> Integrating Firebase or Supabase authentication was rejected because requiring passwords before seeing referral codes adds friction. A lightweight localStorage state machine models the full growth loop seamlessly for evaluators.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2. Fake Automation or Spoofed Webhooks:</w:t>
      </w:r>
      <w:r>
        <w:rPr>
          <w:rFonts w:ascii="Calibri" w:hAnsi="Calibri"/>
          <w:color w:val="0F172A"/>
          <w:sz w:val="20"/>
        </w:rPr>
        <w:t xml:space="preserve"> Pretending that real automated WhatsApp Business APIs were firing was avoided. Maintaining simulation transparency and providing real wa.me share intents preserves hiring integrity.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3. Exaggerated Placement Guarantees:</w:t>
      </w:r>
      <w:r>
        <w:rPr>
          <w:rFonts w:ascii="Calibri" w:hAnsi="Calibri"/>
          <w:color w:val="0F172A"/>
          <w:sz w:val="20"/>
        </w:rPr>
        <w:t xml:space="preserve"> Banned claims like 'Guaranteed ₹12 LPA Job' or 'Guaranteed Certificate'. Engineering students detect false claims immediately; messaging was kept focused on tangible hands-on AI skills.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4. Paid Live LLM API Keys:</w:t>
      </w:r>
      <w:r>
        <w:rPr>
          <w:rFonts w:ascii="Calibri" w:hAnsi="Calibri"/>
          <w:color w:val="0F172A"/>
          <w:sz w:val="20"/>
        </w:rPr>
        <w:t xml:space="preserve"> Exposing live OpenAI API keys in the client risks rate limits and grading failures. In-browser simulated inference reliably demonstrates the educational architecture without external risk.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5. Over-Engineered Gaming Gamification:</w:t>
      </w:r>
      <w:r>
        <w:rPr>
          <w:rFonts w:ascii="Calibri" w:hAnsi="Calibri"/>
          <w:color w:val="0F172A"/>
          <w:sz w:val="20"/>
        </w:rPr>
        <w:t xml:space="preserve"> Spinning wheels, coins, and fake loot boxes were rejected. Final-year engineering students respond to peer rank, campus competition, and priority code reviews, not childish gamification.</w:t>
      </w:r>
    </w:p>
    <w:p>
      <w:pPr>
        <w:keepNext/>
        <w:spacing w:before="320" w:after="120"/>
      </w:pPr>
      <w:r>
        <w:rPr>
          <w:rFonts w:ascii="Calibri" w:hAnsi="Calibri"/>
          <w:b/>
          <w:color w:val="059669"/>
          <w:sz w:val="28"/>
        </w:rPr>
        <w:t>8. Summary of Strategic Takeaways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Growth Must Be Native to the Product:</w:t>
      </w:r>
      <w:r>
        <w:rPr>
          <w:rFonts w:ascii="Calibri" w:hAnsi="Calibri"/>
          <w:color w:val="0F172A"/>
          <w:sz w:val="20"/>
        </w:rPr>
        <w:t xml:space="preserve"> Growth is not an afterthought added to a product; referral loops, campus rivalry, and social proof must be embedded into the user experience from step one.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Clarity Over Artificial Complexity:</w:t>
      </w:r>
      <w:r>
        <w:rPr>
          <w:rFonts w:ascii="Calibri" w:hAnsi="Calibri"/>
          <w:color w:val="0F172A"/>
          <w:sz w:val="20"/>
        </w:rPr>
        <w:t xml:space="preserve"> A hiring evaluator judges clear thinking, execution speed, and transparent boundaries. Clear simulation labeling beats opaque, partially-working backend complexity.</w:t>
      </w:r>
    </w:p>
    <w:p>
      <w:pPr>
        <w:pStyle w:val="ListBullet"/>
        <w:spacing w:before="0" w:after="60" w:line="276" w:lineRule="auto"/>
      </w:pPr>
      <w:r>
        <w:rPr>
          <w:rFonts w:ascii="Calibri" w:hAnsi="Calibri"/>
          <w:b/>
          <w:color w:val="0F172A"/>
          <w:sz w:val="20"/>
        </w:rPr>
        <w:t>AI as a Multiplier, Not a Crutch:</w:t>
      </w:r>
      <w:r>
        <w:rPr>
          <w:rFonts w:ascii="Calibri" w:hAnsi="Calibri"/>
          <w:color w:val="0F172A"/>
          <w:sz w:val="20"/>
        </w:rPr>
        <w:t xml:space="preserve"> AI accelerates idea exploration, code composition, and critique. However, strategic trade-offs, ethical filters, and final product decisions must remain 100% human-driven.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94A3B8"/>
        <w:sz w:val="17"/>
      </w:rPr>
      <w:t>AI + Learning Notes • Build Your First AI Project in 60 Minutes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