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Supplier agreement — draft</w:t>
      </w:r>
    </w:p>
    <w:p>
      <w:r>
        <w:t>Sample document generated for the Filedeck demo.</w:t>
      </w:r>
    </w:p>
    <w:p>
      <w:pPr>
        <w:pStyle w:val="Heading1"/>
      </w:pPr>
      <w:r>
        <w:t>Clause 1</w:t>
      </w:r>
    </w:p>
    <w:p>
      <w:r>
        <w:t>Placeholder text. No browser renders .docx natively, so this file exercises the file-card path rather than a preview.</w:t>
      </w:r>
    </w:p>
    <w:p>
      <w:pPr>
        <w:pStyle w:val="Heading1"/>
      </w:pPr>
      <w:r>
        <w:t>Clause 2</w:t>
      </w:r>
    </w:p>
    <w:p>
      <w:r>
        <w:t>Placeholder text. No browser renders .docx natively, so this file exercises the file-card path rather than a preview.</w:t>
      </w:r>
    </w:p>
    <w:p>
      <w:pPr>
        <w:pStyle w:val="Heading1"/>
      </w:pPr>
      <w:r>
        <w:t>Clause 3</w:t>
      </w:r>
    </w:p>
    <w:p>
      <w:r>
        <w:t>Placeholder text. No browser renders .docx natively, so this file exercises the file-card path rather than a preview.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