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agreement — revision C</w:t>
      </w:r>
    </w:p>
    <w:p>
      <w:r>
        <w:t xml:space="preserve">This agreement is made between </w:t>
      </w:r>
      <w:r>
        <w:rPr>
          <w:b/>
        </w:rPr>
        <w:t>Hardik CNC Automation</w:t>
      </w:r>
      <w:r>
        <w:t xml:space="preserve"> and the supplier named below. Terms are </w:t>
      </w:r>
      <w:r>
        <w:rPr>
          <w:i/>
        </w:rPr>
        <w:t>indicative</w:t>
      </w:r>
      <w:r>
        <w:t xml:space="preserve"> until countersigned.</w:t>
      </w:r>
    </w:p>
    <w:p>
      <w:pPr>
        <w:pStyle w:val="Heading1"/>
      </w:pPr>
      <w:r>
        <w:t>1. Scope of supply</w:t>
      </w:r>
    </w:p>
    <w:p>
      <w:r>
        <w:t>The supplier shall provide the following items:</w:t>
      </w:r>
    </w:p>
    <w:p>
      <w:pPr>
        <w:pStyle w:val="ListBullet"/>
      </w:pPr>
      <w:r>
        <w:t>Pump housings, cast and machined</w:t>
      </w:r>
    </w:p>
    <w:p>
      <w:pPr>
        <w:pStyle w:val="ListBullet"/>
      </w:pPr>
      <w:r>
        <w:t>Impellers, 140 mm</w:t>
      </w:r>
    </w:p>
    <w:p>
      <w:pPr>
        <w:pStyle w:val="ListBullet"/>
      </w:pPr>
      <w:r>
        <w:t>Shaft seal kits</w:t>
      </w:r>
    </w:p>
    <w:p>
      <w:pPr>
        <w:pStyle w:val="Heading1"/>
      </w:pPr>
      <w:r>
        <w:t>2. Delivery schedule</w:t>
      </w:r>
    </w:p>
    <w:p>
      <w:pPr>
        <w:pStyle w:val="ListNumber"/>
      </w:pPr>
      <w:r>
        <w:t>First batch within 21 days</w:t>
      </w:r>
    </w:p>
    <w:p>
      <w:pPr>
        <w:pStyle w:val="ListNumber"/>
      </w:pPr>
      <w:r>
        <w:t>Remaining batches monthly</w:t>
      </w:r>
    </w:p>
    <w:p>
      <w:pPr>
        <w:pStyle w:val="ListNumber"/>
      </w:pPr>
      <w:r>
        <w:t>Inspection on receipt</w:t>
      </w:r>
    </w:p>
    <w:p>
      <w:pPr>
        <w:pStyle w:val="Heading1"/>
      </w:pPr>
      <w:r>
        <w:t>3. Commercial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Unit cost</w:t>
            </w:r>
          </w:p>
        </w:tc>
      </w:tr>
      <w:tr>
        <w:tc>
          <w:tcPr>
            <w:tcW w:type="dxa" w:w="2880"/>
          </w:tcPr>
          <w:p>
            <w:r>
              <w:t>HCA-1001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184.50</w:t>
            </w:r>
          </w:p>
        </w:tc>
      </w:tr>
      <w:tr>
        <w:tc>
          <w:tcPr>
            <w:tcW w:type="dxa" w:w="2880"/>
          </w:tcPr>
          <w:p>
            <w:r>
              <w:t>HCA-2140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22.75</w:t>
            </w:r>
          </w:p>
        </w:tc>
      </w:tr>
    </w:tbl>
    <w:p>
      <w:pPr>
        <w:pStyle w:val="Heading1"/>
      </w:pPr>
      <w:r>
        <w:t>4. Reference drawing</w:t>
      </w:r>
    </w:p>
    <w:p>
      <w:r>
        <w:drawing>
          <wp:inline xmlns:a="http://schemas.openxmlformats.org/drawingml/2006/main" xmlns:pic="http://schemas.openxmlformats.org/drawingml/2006/picture">
            <wp:extent cx="2926080" cy="1658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5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All disputes shall be settled under the jurisdiction of Rajkot.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