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Multicriterio de Tres Generaciones de Arquitectura AI:</w:t>
        <w:br/>
        <w:t>Inferencia Local (Ollama / Llama 3.2) vs. Cloud Piloto (Google Gemini API) vs. Arquitectura Definitiva de Alto Rendimiento (Groq Cloud LPU + ChromaDB ONNX Runtime) para el Consultor de Neuroanatomía 3D en Unity</w:t>
      </w:r>
    </w:p>
    <w:p>
      <w:pPr>
        <w:spacing w:after="1600"/>
        <w:jc w:val="center"/>
      </w:pPr>
      <w:r>
        <w:rPr>
          <w:rFonts w:ascii="Calibri" w:hAnsi="Calibri"/>
          <w:color w:val="2D3748"/>
          <w:sz w:val="22"/>
        </w:rPr>
        <w:t>Proyecto: Consultor Especialista en Neuroanatomía 3D (Atena — NeuroK AR)</w:t>
        <w:br/>
        <w:t>Autores: Equipo de Investigación &amp; Desarrollo - Konrad Lorenz</w:t>
        <w:br/>
        <w:t>Fecha de Evaluación y Cierre Técnico: Septiembre de 2026</w:t>
        <w:br/>
        <w:t>Versión del Documento: 3.0 (Evaluación Tripartita y Arquitectura Definitiva en Producción)</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informe técnico expone una rigurosa evaluación comparativa y la traza de evolución arquitectónica de la infraestructura de Inteligencia Artificial seleccionada para el proyecto 'Consultor Especialista en Neuroanatomía' (Atena — NeuroK AR). El sistema es una solución RAG (Retrieval-Augmented Generation) diseñada para operar en tiempo real integrada a una escena 3D interactiva en Unity para estudiantes, docentes e investigadores de la Fundación Universitaria Konrad Lorenz.</w:t>
      </w:r>
    </w:p>
    <w:p>
      <w:pPr>
        <w:spacing w:after="120" w:line="276" w:lineRule="auto"/>
      </w:pPr>
      <w:r>
        <w:rPr>
          <w:rFonts w:ascii="Calibri" w:hAnsi="Calibri"/>
          <w:color w:val="2D3748"/>
          <w:sz w:val="22"/>
        </w:rPr>
        <w:t>Para alcanzar una experiencia pedagógica inmersiva y un despliegue viable en la nube a costo cero, el proyecto evaluó e implementó tres generaciones sucesivas de arquitectura tecnológica:</w:t>
      </w:r>
    </w:p>
    <w:p>
      <w:pPr>
        <w:spacing w:after="120" w:line="276" w:lineRule="auto"/>
      </w:pPr>
      <w:r>
        <w:rPr>
          <w:rFonts w:ascii="Calibri" w:hAnsi="Calibri"/>
          <w:b/>
          <w:color w:val="1A202C"/>
          <w:sz w:val="22"/>
        </w:rPr>
        <w:t xml:space="preserve">• </w:t>
      </w:r>
      <w:r>
        <w:rPr>
          <w:rFonts w:ascii="Calibri" w:hAnsi="Calibri"/>
          <w:color w:val="2D3748"/>
          <w:sz w:val="22"/>
        </w:rPr>
        <w:t>1. Fase 1 — Enfoque 100% Local (Ollama + Llama 3.2 3B/8B + nomic-embed-text): Evaluado empíricamente sobre la máquina de referencia del laboratorio (MacBook Pro 16", Intel Core i7 6-Core, 16 GB RAM, GPU AMD Radeon Pro 5300M de 4 GB VRAM). Reveló inviabilidad operativa: latencias de 22.5 a 54.2 segundos por respuesta, saturación de CPU (88-95%), estrangulamiento térmico a 92 °C, agotamiento de RAM (14.8 GB ocupados) y caída drástica de la tasa de refresco en Unity a menos de 12 FPS.</w:t>
      </w:r>
    </w:p>
    <w:p>
      <w:pPr>
        <w:spacing w:after="120" w:line="276" w:lineRule="auto"/>
      </w:pPr>
      <w:r>
        <w:rPr>
          <w:rFonts w:ascii="Calibri" w:hAnsi="Calibri"/>
          <w:b/>
          <w:color w:val="1A202C"/>
          <w:sz w:val="22"/>
        </w:rPr>
        <w:t xml:space="preserve">• </w:t>
      </w:r>
      <w:r>
        <w:rPr>
          <w:rFonts w:ascii="Calibri" w:hAnsi="Calibri"/>
          <w:color w:val="2D3748"/>
          <w:sz w:val="22"/>
        </w:rPr>
        <w:t>2. Fase 2 — Enfoque Cloud Piloto (Google Gemini 1.5/3.6 Flash API + PyTorch): Logró abatir la latencia a 1.2 - 2.1 segundos eliminando la carga local del cliente. No obstante, al someterse a pruebas de concurrencia y despliegue en servidor (Render.com), surgieron dos limitaciones críticas: (a) saturación constante de las cuotas del tier gratuito en Google AI Studio (errores HTTP 429 Too Many Requests / ResourceExhausted limitados a 15 RPM), y (b) desbordamiento de memoria RAM en el servidor gratuito de Render (límite estricto de 512 MiB), donde la pila de PyTorch y sentence-transformers consumía &gt;520 MB de RAM provocando la muerte inmediata del contenedor ('Out of memory - 512Mi killed').</w:t>
      </w:r>
    </w:p>
    <w:p>
      <w:pPr>
        <w:spacing w:after="120" w:line="276" w:lineRule="auto"/>
      </w:pPr>
      <w:r>
        <w:rPr>
          <w:rFonts w:ascii="Calibri" w:hAnsi="Calibri"/>
          <w:b/>
          <w:color w:val="1A202C"/>
          <w:sz w:val="22"/>
        </w:rPr>
        <w:t xml:space="preserve">• </w:t>
      </w:r>
      <w:r>
        <w:rPr>
          <w:rFonts w:ascii="Calibri" w:hAnsi="Calibri"/>
          <w:color w:val="2D3748"/>
          <w:sz w:val="22"/>
        </w:rPr>
        <w:t>3. Fase 3 — Arquitectura Definitiva en Producción (Groq Cloud LPU + ChromaDB ONNX Runtime): Integra la plataforma Groq Cloud sobre procesadores de lenguaje LPU (Language Processing Unit), ejecutando el modelo openai/gpt-oss-120b con inferencia determinista ultrarrápida (&gt;350 tokens/segundo) y latencias sub-segundo (0.6 a 0.9s), sin caídas de cuota. Simultáneamente, sustituye PyTorch por ONNX Runtime (all-MiniLM-L6-v2), reduciendo la huella de memoria del servidor de 520 MB a menos de 140 MB (-73%), garantizando estabilidad permanente 24/7 en Render Free Tier, tolerancia a errores tipográficos con Fuzzy Matching y costo mensual de $0 USD.</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DEFINITIVA (EVALUACIÓN DE 3 FASES)</w:t>
              <w:br/>
            </w:r>
            <w:r>
              <w:rPr>
                <w:rFonts w:ascii="Calibri" w:hAnsi="Calibri"/>
                <w:i/>
                <w:color w:val="2D3748"/>
                <w:sz w:val="20"/>
              </w:rPr>
              <w:t>La evaluación multicriterio demuestra que la arquitectura definitiva (Groq LPU + ONNX Runtime) supera a la IA local en un 4500% de velocidad de respuesta, elimina los bloqueos por cuota de la fase intermedia de Gemini y resuelve la restricción de memoria de 512 MiB en Render, entregando una solución de alta fidelidad científica a costo cero permanente para la universidad.</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94929"/>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 entre las tres arquitecturas evaluadas.</w:t>
      </w:r>
    </w:p>
    <w:p>
      <w:pPr>
        <w:spacing w:before="200" w:after="80"/>
        <w:jc w:val="center"/>
      </w:pPr>
      <w:r>
        <w:drawing>
          <wp:inline xmlns:a="http://schemas.openxmlformats.org/drawingml/2006/main" xmlns:pic="http://schemas.openxmlformats.org/drawingml/2006/picture">
            <wp:extent cx="5303520" cy="2424466"/>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424466"/>
                    </a:xfrm>
                    <a:prstGeom prst="rect"/>
                  </pic:spPr>
                </pic:pic>
              </a:graphicData>
            </a:graphic>
          </wp:inline>
        </w:drawing>
      </w:r>
    </w:p>
    <w:p>
      <w:pPr>
        <w:spacing w:after="280"/>
        <w:jc w:val="center"/>
      </w:pPr>
      <w:r>
        <w:rPr>
          <w:rFonts w:ascii="Arial" w:hAnsi="Arial"/>
          <w:i/>
          <w:color w:val="718096"/>
          <w:sz w:val="18"/>
        </w:rPr>
        <w:t>Figura 2. Huella de memoria RAM en servidor/máquina y sobrecarga de CPU/GPU en las tres fases del proyecto.</w:t>
      </w:r>
    </w:p>
    <w:p>
      <w:pPr>
        <w:keepNext/>
        <w:spacing w:before="360" w:after="120"/>
      </w:pPr>
      <w:r>
        <w:rPr>
          <w:rFonts w:ascii="Arial" w:hAnsi="Arial"/>
          <w:b/>
          <w:color w:val="1A365D"/>
          <w:sz w:val="32"/>
        </w:rPr>
        <w:t>4. COMPARATIVA DETALLADA MULTICRITERIO: LAS TRES GENERACIONES DE ARQUITECTURA</w:t>
      </w:r>
    </w:p>
    <w:p>
      <w:pPr>
        <w:spacing w:after="120" w:line="276" w:lineRule="auto"/>
      </w:pPr>
      <w:r>
        <w:rPr>
          <w:rFonts w:ascii="Calibri" w:hAnsi="Calibri"/>
          <w:color w:val="2D3748"/>
          <w:sz w:val="22"/>
        </w:rPr>
        <w:t>A continuación se sintetizan los hallazgos comparativos entre las tres soluciones tecnológicas evaluadas a lo largo de la investigación para el consultor interactivo de neuroanatomía en Unity 3D: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de Evaluación</w:t>
            </w:r>
          </w:p>
        </w:tc>
        <w:tc>
          <w:tcPr>
            <w:tcW w:type="dxa" w:w="2340"/>
            <w:shd w:fill="1A365D"/>
            <w:tcMar>
              <w:top w:w="100" w:type="dxa"/>
              <w:bottom w:w="100" w:type="dxa"/>
              <w:left w:w="80" w:type="dxa"/>
              <w:right w:w="80" w:type="dxa"/>
            </w:tcMar>
          </w:tcPr>
          <w:p>
            <w:r>
              <w:rPr>
                <w:rFonts w:ascii="Arial" w:hAnsi="Arial"/>
                <w:b/>
                <w:color w:val="FFFFFF"/>
                <w:sz w:val="18"/>
              </w:rPr>
              <w:t>Fase 1: IA Local (Ollama)</w:t>
            </w:r>
          </w:p>
        </w:tc>
        <w:tc>
          <w:tcPr>
            <w:tcW w:type="dxa" w:w="2340"/>
            <w:shd w:fill="1A365D"/>
            <w:tcMar>
              <w:top w:w="100" w:type="dxa"/>
              <w:bottom w:w="100" w:type="dxa"/>
              <w:left w:w="80" w:type="dxa"/>
              <w:right w:w="80" w:type="dxa"/>
            </w:tcMar>
          </w:tcPr>
          <w:p>
            <w:r>
              <w:rPr>
                <w:rFonts w:ascii="Arial" w:hAnsi="Arial"/>
                <w:b/>
                <w:color w:val="FFFFFF"/>
                <w:sz w:val="18"/>
              </w:rPr>
              <w:t>Fase 2: Cloud Piloto (Gemini)</w:t>
            </w:r>
          </w:p>
        </w:tc>
        <w:tc>
          <w:tcPr>
            <w:tcW w:type="dxa" w:w="2340"/>
            <w:shd w:fill="1A365D"/>
            <w:tcMar>
              <w:top w:w="100" w:type="dxa"/>
              <w:bottom w:w="100" w:type="dxa"/>
              <w:left w:w="80" w:type="dxa"/>
              <w:right w:w="80" w:type="dxa"/>
            </w:tcMar>
          </w:tcPr>
          <w:p>
            <w:r>
              <w:rPr>
                <w:rFonts w:ascii="Arial" w:hAnsi="Arial"/>
                <w:b/>
                <w:color w:val="FFFFFF"/>
                <w:sz w:val="18"/>
              </w:rPr>
              <w:t>Fase 3: Definitiva (Groq LPU + ONNX)</w:t>
            </w:r>
          </w:p>
        </w:tc>
      </w:tr>
      <w:tr>
        <w:tc>
          <w:tcPr>
            <w:tcW w:type="dxa" w:w="2340"/>
            <w:shd w:fill="F7FAFC"/>
            <w:tcMar>
              <w:top w:w="70" w:type="dxa"/>
              <w:bottom w:w="70" w:type="dxa"/>
              <w:left w:w="80" w:type="dxa"/>
              <w:right w:w="80" w:type="dxa"/>
            </w:tcMar>
          </w:tcPr>
          <w:p>
            <w:r>
              <w:rPr>
                <w:rFonts w:ascii="Calibri" w:hAnsi="Calibri"/>
                <w:b/>
                <w:color w:val="2D3748"/>
                <w:sz w:val="17"/>
              </w:rPr>
              <w:t>Tiempo de Respuesta Promedio</w:t>
            </w:r>
          </w:p>
        </w:tc>
        <w:tc>
          <w:tcPr>
            <w:tcW w:type="dxa" w:w="2340"/>
            <w:shd w:fill="F7FAFC"/>
            <w:tcMar>
              <w:top w:w="70" w:type="dxa"/>
              <w:bottom w:w="70" w:type="dxa"/>
              <w:left w:w="80" w:type="dxa"/>
              <w:right w:w="80" w:type="dxa"/>
            </w:tcMar>
          </w:tcPr>
          <w:p>
            <w:r>
              <w:rPr>
                <w:rFonts w:ascii="Calibri" w:hAnsi="Calibri"/>
                <w:color w:val="2D3748"/>
                <w:sz w:val="17"/>
              </w:rPr>
              <w:t>22.5 - 54.2 segundos (Deficiente)</w:t>
            </w:r>
          </w:p>
        </w:tc>
        <w:tc>
          <w:tcPr>
            <w:tcW w:type="dxa" w:w="2340"/>
            <w:shd w:fill="F7FAFC"/>
            <w:tcMar>
              <w:top w:w="70" w:type="dxa"/>
              <w:bottom w:w="70" w:type="dxa"/>
              <w:left w:w="80" w:type="dxa"/>
              <w:right w:w="80" w:type="dxa"/>
            </w:tcMar>
          </w:tcPr>
          <w:p>
            <w:r>
              <w:rPr>
                <w:rFonts w:ascii="Calibri" w:hAnsi="Calibri"/>
                <w:color w:val="2D3748"/>
                <w:sz w:val="17"/>
              </w:rPr>
              <w:t>1.2 - 2.1 segundos (Aceptable)</w:t>
            </w:r>
          </w:p>
        </w:tc>
        <w:tc>
          <w:tcPr>
            <w:tcW w:type="dxa" w:w="2340"/>
            <w:shd w:fill="F7FAFC"/>
            <w:tcMar>
              <w:top w:w="70" w:type="dxa"/>
              <w:bottom w:w="70" w:type="dxa"/>
              <w:left w:w="80" w:type="dxa"/>
              <w:right w:w="80" w:type="dxa"/>
            </w:tcMar>
          </w:tcPr>
          <w:p>
            <w:r>
              <w:rPr>
                <w:rFonts w:ascii="Calibri" w:hAnsi="Calibri"/>
                <w:b/>
                <w:color w:val="1A365D"/>
                <w:sz w:val="17"/>
              </w:rPr>
              <w:t>0.6 - 0.9 segundos (Excelente / Real-time)</w:t>
            </w:r>
          </w:p>
        </w:tc>
      </w:tr>
      <w:tr>
        <w:tc>
          <w:tcPr>
            <w:tcW w:type="dxa" w:w="2340"/>
            <w:shd w:fill="FFFFFF"/>
            <w:tcMar>
              <w:top w:w="70" w:type="dxa"/>
              <w:bottom w:w="70" w:type="dxa"/>
              <w:left w:w="80" w:type="dxa"/>
              <w:right w:w="80" w:type="dxa"/>
            </w:tcMar>
          </w:tcPr>
          <w:p>
            <w:r>
              <w:rPr>
                <w:rFonts w:ascii="Calibri" w:hAnsi="Calibri"/>
                <w:b/>
                <w:color w:val="2D3748"/>
                <w:sz w:val="17"/>
              </w:rPr>
              <w:t>Throughput (Tokens/segundo)</w:t>
            </w:r>
          </w:p>
        </w:tc>
        <w:tc>
          <w:tcPr>
            <w:tcW w:type="dxa" w:w="2340"/>
            <w:shd w:fill="FFFFFF"/>
            <w:tcMar>
              <w:top w:w="70" w:type="dxa"/>
              <w:bottom w:w="70" w:type="dxa"/>
              <w:left w:w="80" w:type="dxa"/>
              <w:right w:w="80" w:type="dxa"/>
            </w:tcMar>
          </w:tcPr>
          <w:p>
            <w:r>
              <w:rPr>
                <w:rFonts w:ascii="Calibri" w:hAnsi="Calibri"/>
                <w:color w:val="2D3748"/>
                <w:sz w:val="17"/>
              </w:rPr>
              <w:t>4.1 - 6.2 tok/s</w:t>
            </w:r>
          </w:p>
        </w:tc>
        <w:tc>
          <w:tcPr>
            <w:tcW w:type="dxa" w:w="2340"/>
            <w:shd w:fill="FFFFFF"/>
            <w:tcMar>
              <w:top w:w="70" w:type="dxa"/>
              <w:bottom w:w="70" w:type="dxa"/>
              <w:left w:w="80" w:type="dxa"/>
              <w:right w:w="80" w:type="dxa"/>
            </w:tcMar>
          </w:tcPr>
          <w:p>
            <w:r>
              <w:rPr>
                <w:rFonts w:ascii="Calibri" w:hAnsi="Calibri"/>
                <w:color w:val="2D3748"/>
                <w:sz w:val="17"/>
              </w:rPr>
              <w:t>62.0 - 95.0 tok/s</w:t>
            </w:r>
          </w:p>
        </w:tc>
        <w:tc>
          <w:tcPr>
            <w:tcW w:type="dxa" w:w="2340"/>
            <w:shd w:fill="FFFFFF"/>
            <w:tcMar>
              <w:top w:w="70" w:type="dxa"/>
              <w:bottom w:w="70" w:type="dxa"/>
              <w:left w:w="80" w:type="dxa"/>
              <w:right w:w="80" w:type="dxa"/>
            </w:tcMar>
          </w:tcPr>
          <w:p>
            <w:r>
              <w:rPr>
                <w:rFonts w:ascii="Calibri" w:hAnsi="Calibri"/>
                <w:b/>
                <w:color w:val="1A365D"/>
                <w:sz w:val="17"/>
              </w:rPr>
              <w:t>350.0 - 500.0+ tok/s (Ultra-rápido)</w:t>
            </w:r>
          </w:p>
        </w:tc>
      </w:tr>
      <w:tr>
        <w:tc>
          <w:tcPr>
            <w:tcW w:type="dxa" w:w="2340"/>
            <w:shd w:fill="F7FAFC"/>
            <w:tcMar>
              <w:top w:w="70" w:type="dxa"/>
              <w:bottom w:w="70" w:type="dxa"/>
              <w:left w:w="80" w:type="dxa"/>
              <w:right w:w="80" w:type="dxa"/>
            </w:tcMar>
          </w:tcPr>
          <w:p>
            <w:r>
              <w:rPr>
                <w:rFonts w:ascii="Calibri" w:hAnsi="Calibri"/>
                <w:b/>
                <w:color w:val="2D3748"/>
                <w:sz w:val="17"/>
              </w:rPr>
              <w:t>Uso de Memoria RAM en Servidor</w:t>
            </w:r>
          </w:p>
        </w:tc>
        <w:tc>
          <w:tcPr>
            <w:tcW w:type="dxa" w:w="2340"/>
            <w:shd w:fill="F7FAFC"/>
            <w:tcMar>
              <w:top w:w="70" w:type="dxa"/>
              <w:bottom w:w="70" w:type="dxa"/>
              <w:left w:w="80" w:type="dxa"/>
              <w:right w:w="80" w:type="dxa"/>
            </w:tcMar>
          </w:tcPr>
          <w:p>
            <w:r>
              <w:rPr>
                <w:rFonts w:ascii="Calibri" w:hAnsi="Calibri"/>
                <w:color w:val="2D3748"/>
                <w:sz w:val="17"/>
              </w:rPr>
              <w:t>14.8 GB (Satura RAM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(Operación holgada en 512 MB)</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Entorno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Sin límites de red (inviable en velocidad)</w:t>
            </w:r>
          </w:p>
        </w:tc>
        <w:tc>
          <w:tcPr>
            <w:tcW w:type="dxa" w:w="2340"/>
            <w:shd w:fill="F7FAFC"/>
            <w:tcMar>
              <w:top w:w="70" w:type="dxa"/>
              <w:bottom w:w="70" w:type="dxa"/>
              <w:left w:w="80" w:type="dxa"/>
              <w:right w:w="80" w:type="dxa"/>
            </w:tcMar>
          </w:tcPr>
          <w:p>
            <w:r>
              <w:rPr>
                <w:rFonts w:ascii="Calibri" w:hAnsi="Calibri"/>
                <w:color w:val="2D3748"/>
                <w:sz w:val="17"/>
              </w:rPr>
              <w:t>Restricción severa: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sin interrupciones</w:t>
            </w:r>
          </w:p>
        </w:tc>
      </w:tr>
      <w:tr>
        <w:tc>
          <w:tcPr>
            <w:tcW w:type="dxa" w:w="2340"/>
            <w:shd w:fill="FFFFFF"/>
            <w:tcMar>
              <w:top w:w="70" w:type="dxa"/>
              <w:bottom w:w="70" w:type="dxa"/>
              <w:left w:w="80" w:type="dxa"/>
              <w:right w:w="80" w:type="dxa"/>
            </w:tcMar>
          </w:tcPr>
          <w:p>
            <w:r>
              <w:rPr>
                <w:rFonts w:ascii="Calibri" w:hAnsi="Calibri"/>
                <w:b/>
                <w:color w:val="2D3748"/>
                <w:sz w:val="17"/>
              </w:rPr>
              <w:t>Compatibilidad con Unity 3D</w:t>
            </w:r>
          </w:p>
        </w:tc>
        <w:tc>
          <w:tcPr>
            <w:tcW w:type="dxa" w:w="2340"/>
            <w:shd w:fill="FFFFFF"/>
            <w:tcMar>
              <w:top w:w="70" w:type="dxa"/>
              <w:bottom w:w="70" w:type="dxa"/>
              <w:left w:w="80" w:type="dxa"/>
              <w:right w:w="80" w:type="dxa"/>
            </w:tcMar>
          </w:tcPr>
          <w:p>
            <w:r>
              <w:rPr>
                <w:rFonts w:ascii="Calibri" w:hAnsi="Calibri"/>
                <w:color w:val="2D3748"/>
                <w:sz w:val="17"/>
              </w:rPr>
              <w:t>Causa congelamiento (&lt; 12 FPS)</w:t>
            </w:r>
          </w:p>
        </w:tc>
        <w:tc>
          <w:tcPr>
            <w:tcW w:type="dxa" w:w="2340"/>
            <w:shd w:fill="FFFFFF"/>
            <w:tcMar>
              <w:top w:w="70" w:type="dxa"/>
              <w:bottom w:w="70" w:type="dxa"/>
              <w:left w:w="80" w:type="dxa"/>
              <w:right w:w="80" w:type="dxa"/>
            </w:tcMar>
          </w:tcPr>
          <w:p>
            <w:r>
              <w:rPr>
                <w:rFonts w:ascii="Calibri" w:hAnsi="Calibri"/>
                <w:color w:val="2D3748"/>
                <w:sz w:val="17"/>
              </w:rPr>
              <w:t>Totalmente fluido via REST API</w:t>
            </w:r>
          </w:p>
        </w:tc>
        <w:tc>
          <w:tcPr>
            <w:tcW w:type="dxa" w:w="2340"/>
            <w:shd w:fill="FFFFFF"/>
            <w:tcMar>
              <w:top w:w="70" w:type="dxa"/>
              <w:bottom w:w="70" w:type="dxa"/>
              <w:left w:w="80" w:type="dxa"/>
              <w:right w:w="80" w:type="dxa"/>
            </w:tcMar>
          </w:tcPr>
          <w:p>
            <w:r>
              <w:rPr>
                <w:rFonts w:ascii="Calibri" w:hAnsi="Calibri"/>
                <w:b/>
                <w:color w:val="1A365D"/>
                <w:sz w:val="17"/>
              </w:rPr>
              <w:t>Totalmente fluido e interactivo (60 FPS)</w:t>
            </w:r>
          </w:p>
        </w:tc>
      </w:tr>
      <w:tr>
        <w:tc>
          <w:tcPr>
            <w:tcW w:type="dxa" w:w="2340"/>
            <w:shd w:fill="F7FAFC"/>
            <w:tcMar>
              <w:top w:w="70" w:type="dxa"/>
              <w:bottom w:w="70" w:type="dxa"/>
              <w:left w:w="80" w:type="dxa"/>
              <w:right w:w="80" w:type="dxa"/>
            </w:tcMar>
          </w:tcPr>
          <w:p>
            <w:r>
              <w:rPr>
                <w:rFonts w:ascii="Calibri" w:hAnsi="Calibri"/>
                <w:b/>
                <w:color w:val="2D3748"/>
                <w:sz w:val="17"/>
              </w:rPr>
              <w:t>Tolerancia Tipográfica Móvil</w:t>
            </w:r>
          </w:p>
        </w:tc>
        <w:tc>
          <w:tcPr>
            <w:tcW w:type="dxa" w:w="2340"/>
            <w:shd w:fill="F7FAFC"/>
            <w:tcMar>
              <w:top w:w="70" w:type="dxa"/>
              <w:bottom w:w="70" w:type="dxa"/>
              <w:left w:w="80" w:type="dxa"/>
              <w:right w:w="80" w:type="dxa"/>
            </w:tcMar>
          </w:tcPr>
          <w:p>
            <w:r>
              <w:rPr>
                <w:rFonts w:ascii="Calibri" w:hAnsi="Calibri"/>
                <w:color w:val="2D3748"/>
                <w:sz w:val="17"/>
              </w:rPr>
              <w:t>Nula (falla ante cualquier typo)</w:t>
            </w:r>
          </w:p>
        </w:tc>
        <w:tc>
          <w:tcPr>
            <w:tcW w:type="dxa" w:w="2340"/>
            <w:shd w:fill="F7FAFC"/>
            <w:tcMar>
              <w:top w:w="70" w:type="dxa"/>
              <w:bottom w:w="70" w:type="dxa"/>
              <w:left w:w="80" w:type="dxa"/>
              <w:right w:w="80" w:type="dxa"/>
            </w:tcMar>
          </w:tcPr>
          <w:p>
            <w:r>
              <w:rPr>
                <w:rFonts w:ascii="Calibri" w:hAnsi="Calibri"/>
                <w:color w:val="2D3748"/>
                <w:sz w:val="17"/>
              </w:rPr>
              <w:t>Baja (depende de similitud vectorial)</w:t>
            </w:r>
          </w:p>
        </w:tc>
        <w:tc>
          <w:tcPr>
            <w:tcW w:type="dxa" w:w="2340"/>
            <w:shd w:fill="F7FAFC"/>
            <w:tcMar>
              <w:top w:w="70" w:type="dxa"/>
              <w:bottom w:w="70" w:type="dxa"/>
              <w:left w:w="80" w:type="dxa"/>
              <w:right w:w="80" w:type="dxa"/>
            </w:tcMar>
          </w:tcPr>
          <w:p>
            <w:r>
              <w:rPr>
                <w:rFonts w:ascii="Calibri" w:hAnsi="Calibri"/>
                <w:b/>
                <w:color w:val="1A365D"/>
                <w:sz w:val="17"/>
              </w:rPr>
              <w:t>Alta (Fuzzy Matching con difflib)</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Requiere hardware de &gt; $2,500 USD</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spacing w:before="200" w:after="80"/>
        <w:jc w:val="center"/>
      </w:pPr>
      <w:r>
        <w:drawing>
          <wp:inline xmlns:a="http://schemas.openxmlformats.org/drawingml/2006/main" xmlns:pic="http://schemas.openxmlformats.org/drawingml/2006/picture">
            <wp:extent cx="5303520" cy="2994929"/>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3. Tasa de generación de tokens por segundo (Throughput) comparando las tres generaciones.</w:t>
      </w:r>
    </w:p>
    <w:p>
      <w:pPr>
        <w:spacing w:before="200" w:after="80"/>
        <w:jc w:val="center"/>
      </w:pPr>
      <w:r>
        <w:drawing>
          <wp:inline xmlns:a="http://schemas.openxmlformats.org/drawingml/2006/main" xmlns:pic="http://schemas.openxmlformats.org/drawingml/2006/picture">
            <wp:extent cx="4114800" cy="3543300"/>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543300"/>
                    </a:xfrm>
                    <a:prstGeom prst="rect"/>
                  </pic:spPr>
                </pic:pic>
              </a:graphicData>
            </a:graphic>
          </wp:inline>
        </w:drawing>
      </w:r>
    </w:p>
    <w:p>
      <w:pPr>
        <w:spacing w:after="280"/>
        <w:jc w:val="center"/>
      </w:pPr>
      <w:r>
        <w:rPr>
          <w:rFonts w:ascii="Arial" w:hAnsi="Arial"/>
          <w:i/>
          <w:color w:val="718096"/>
          <w:sz w:val="18"/>
        </w:rPr>
        <w:t>Figura 4. Evaluación multicriterio en escala de 1 a 10 entre Fase 1 (Ollama), Fase 2 (Gemini) y Fase 3 (Groq LPU + ONNX).</w:t>
      </w:r>
    </w:p>
    <w:p>
      <w:pPr>
        <w:keepNext/>
        <w:spacing w:before="280" w:after="80"/>
      </w:pPr>
      <w:r>
        <w:rPr>
          <w:rFonts w:ascii="Arial" w:hAnsi="Arial"/>
          <w:b/>
          <w:color w:val="2B6CB0"/>
          <w:sz w:val="26"/>
        </w:rPr>
        <w:t>4.1 Evaluación de la Fase 1 (IA Local con Ollama)</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de cómputo inalcanzable para estudiantes promedio (&gt; $2,500 USD), latencias de 22 a 54 segundos, estrangulamiento térmico de CPU (92 °C), consumo extremo de RAM (14.8 GB) y colapso de la tasa de cuadros en Unity (&lt; 12 FPS).</w:t>
      </w:r>
    </w:p>
    <w:p>
      <w:pPr>
        <w:keepNext/>
        <w:spacing w:before="280" w:after="80"/>
      </w:pPr>
      <w:r>
        <w:rPr>
          <w:rFonts w:ascii="Arial" w:hAnsi="Arial"/>
          <w:b/>
          <w:color w:val="2B6CB0"/>
          <w:sz w:val="26"/>
        </w:rPr>
        <w:t>4.2 Evaluación de la Fase 2 (Cloud Piloto con Gemini API)</w:t>
      </w:r>
    </w:p>
    <w:p>
      <w:pPr>
        <w:spacing w:after="120" w:line="276" w:lineRule="auto"/>
      </w:pPr>
      <w:r>
        <w:rPr>
          <w:rFonts w:ascii="Calibri" w:hAnsi="Calibri"/>
          <w:color w:val="2D3748"/>
          <w:sz w:val="22"/>
        </w:rPr>
        <w:t>• Ventajas: Respuestas rápidas (1.2 a 2.1 s), cero consumo en el dispositivo del estudiante y ventana de contexto amplia.</w:t>
      </w:r>
    </w:p>
    <w:p>
      <w:pPr>
        <w:spacing w:after="120" w:line="276" w:lineRule="auto"/>
      </w:pPr>
      <w:r>
        <w:rPr>
          <w:rFonts w:ascii="Calibri" w:hAnsi="Calibri"/>
          <w:color w:val="2D3748"/>
          <w:sz w:val="22"/>
        </w:rPr>
        <w:t>• Desventajas: Cuotas gratuitas severamente restringidas (límite de 15 RPM con error HTTP 429 Too Many Requests) y sobrecarga de memoria en el servidor Render por la presencia de PyTorch (&gt; 520 MB de RAM), lo que causaba caídas del servicio.</w:t>
      </w:r>
    </w:p>
    <w:p>
      <w:pPr>
        <w:keepNext/>
        <w:spacing w:before="280" w:after="80"/>
      </w:pPr>
      <w:r>
        <w:rPr>
          <w:rFonts w:ascii="Arial" w:hAnsi="Arial"/>
          <w:b/>
          <w:color w:val="2B6CB0"/>
          <w:sz w:val="26"/>
        </w:rPr>
        <w:t>4.3 Evaluación de la Fase 3 (Arquitectura Definitiva con Groq LPU y ONNX Runtime)</w:t>
      </w:r>
    </w:p>
    <w:p>
      <w:pPr>
        <w:spacing w:after="120" w:line="276" w:lineRule="auto"/>
      </w:pPr>
      <w:r>
        <w:rPr>
          <w:rFonts w:ascii="Calibri" w:hAnsi="Calibri"/>
          <w:color w:val="2D3748"/>
          <w:sz w:val="22"/>
        </w:rPr>
        <w:t>• Ventajas: Inferencia ultra-rápida (&gt; 350 tok/s, latencia &lt; 0.9 s) mediante procesadores LPU, reducción radical del consumo de RAM a &lt; 140 MB (-73%) gracias a ONNX Runtime, tolerancia a fallas de escritura en Unity con Fuzzy Matching, persistencia pre-compilada de libros en Docker y costo operativo permanente de $0 USD.</w:t>
      </w:r>
    </w:p>
    <w:p>
      <w:pPr>
        <w:spacing w:after="120" w:line="276" w:lineRule="auto"/>
      </w:pPr>
      <w:r>
        <w:rPr>
          <w:rFonts w:ascii="Calibri" w:hAnsi="Calibri"/>
          <w:color w:val="2D3748"/>
          <w:sz w:val="22"/>
        </w:rPr>
        <w:t>• Desventajas y Mitigaciones: Tiempo de arranque en frío (Cold Start) de 30 a 45 s tras 15 minutos sin tráfico en Render Free Tier (mitigable mediante ping previo a /salud o monitoreo tipo UptimeRobot), e inmutabilidad de la base en caliente (los nuevos textos se integran limpiamente mediante git push).</w:t>
      </w:r>
    </w:p>
    <w:p>
      <w:pPr>
        <w:keepNext/>
        <w:spacing w:before="280" w:after="80"/>
      </w:pPr>
      <w:r>
        <w:rPr>
          <w:rFonts w:ascii="Arial" w:hAnsi="Arial"/>
          <w:b/>
          <w:color w:val="2B6CB0"/>
          <w:sz w:val="26"/>
        </w:rPr>
        <w:t>4.4 Viabilidad Financiera y Despliegue Permanente a Costo Cero ($0 USD)</w:t>
      </w:r>
    </w:p>
    <w:p>
      <w:pPr>
        <w:spacing w:after="120" w:line="276" w:lineRule="auto"/>
      </w:pPr>
      <w:r>
        <w:rPr>
          <w:rFonts w:ascii="Calibri" w:hAnsi="Calibri"/>
          <w:color w:val="2D3748"/>
          <w:sz w:val="22"/>
        </w:rPr>
        <w:t>La integración definitiva de Groq Cloud LPU y Render.com bajo la cuenta institucional atena.unikonrad@gmail.com garantiza que la universidad no incurra en ningún gasto financiero por licenciamiento o servidores durante la fase de evaluación académica, entrega de tesis y uso continuo en el Laboratorio de Neurociencias Aplicadas (NeuroK).</w:t>
      </w:r>
    </w:p>
    <w:p>
      <w:pPr>
        <w:keepNext/>
        <w:spacing w:before="360" w:after="120"/>
      </w:pPr>
      <w:r>
        <w:rPr>
          <w:rFonts w:ascii="Arial" w:hAnsi="Arial"/>
          <w:b/>
          <w:color w:val="1A365D"/>
          <w:sz w:val="32"/>
        </w:rPr>
        <w:t>5. JUSTIFICACIÓN DE LA FASE CLOUD INTERMEDIA (FASE 2: PILOTO CON GEMINI API)</w:t>
      </w:r>
    </w:p>
    <w:p>
      <w:pPr>
        <w:spacing w:after="120" w:line="276" w:lineRule="auto"/>
      </w:pPr>
      <w:r>
        <w:rPr>
          <w:rFonts w:ascii="Calibri" w:hAnsi="Calibri"/>
          <w:color w:val="2D3748"/>
          <w:sz w:val="22"/>
        </w:rPr>
        <w:t>Tras finalizar la fase de experimentación empírica con Ollama (Fase 1), el equipo de desarrollo determinó la necesidad de desacoplar el procesamiento de IA de la máquina cliente adoptando la API de Google Gemini como motor cloud piloto de inferencia LLM y embeddings.</w:t>
      </w:r>
    </w:p>
    <w:p>
      <w:pPr>
        <w:spacing w:after="120" w:line="276" w:lineRule="auto"/>
      </w:pPr>
      <w:r>
        <w:rPr>
          <w:rFonts w:ascii="Calibri" w:hAnsi="Calibri"/>
          <w:color w:val="2D3748"/>
          <w:sz w:val="22"/>
        </w:rPr>
        <w:t>En esta etapa, la arquitectura del sistema quedó estructurada en tres capas desacopladas: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en Render.com. Recibe la consulta del usuario, recupera los vectores relevantes desde ChromaDB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APRENDIZAJE ARQUITECTÓNICO DE LA FASE 2</w:t>
              <w:br/>
            </w:r>
            <w:r>
              <w:rPr>
                <w:rFonts w:ascii="Calibri" w:hAnsi="Calibri"/>
                <w:i/>
                <w:color w:val="2D3748"/>
                <w:sz w:val="20"/>
              </w:rPr>
              <w:t>El desacoplamiento en tres capas implementado en la Fase 2 demostró ser el camino arquitectónico correcto: la aplicación cliente en Unity se mantuvo liviana (&lt;50 MB de ejecutable) y se eliminó la dependencia de GPUs dedicadas en los equipos de los estudiantes.</w:t>
            </w:r>
          </w:p>
        </w:tc>
      </w:tr>
    </w:tbl>
    <w:p>
      <w:pPr>
        <w:spacing w:after="120"/>
      </w:pPr>
    </w:p>
    <w:p>
      <w:pPr>
        <w:keepNext/>
        <w:spacing w:before="360" w:after="120"/>
      </w:pPr>
      <w:r>
        <w:rPr>
          <w:rFonts w:ascii="Arial" w:hAnsi="Arial"/>
          <w:b/>
          <w:color w:val="1A365D"/>
          <w:sz w:val="32"/>
        </w:rPr>
        <w:t>6. IMPLEMENTACIÓN DE LA FASE PILOTO Y TRANSICIÓN A PRODUCCIÓN</w:t>
      </w:r>
    </w:p>
    <w:p>
      <w:pPr>
        <w:spacing w:after="120" w:line="276" w:lineRule="auto"/>
      </w:pPr>
      <w:r>
        <w:rPr>
          <w:rFonts w:ascii="Calibri" w:hAnsi="Calibri"/>
          <w:color w:val="2D3748"/>
          <w:sz w:val="22"/>
        </w:rPr>
        <w:t>La ejecución de la fase piloto con Gemini cumplió con éxito los hitos iniciales de integración:</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sustituyeron las clases de Ollama en `rag_pipeline.py` por `GoogleGenerativeAIEmbeddings` (text-embedding-004) y `ChatGoogleGenerativeAI` (gemini-1.5-flash / gemini-3.6-flash).</w:t>
      </w:r>
    </w:p>
    <w:p>
      <w:pPr>
        <w:keepNext/>
        <w:spacing w:before="280" w:after="80"/>
      </w:pPr>
      <w:r>
        <w:rPr>
          <w:rFonts w:ascii="Arial" w:hAnsi="Arial"/>
          <w:b/>
          <w:color w:val="2B6CB0"/>
          <w:sz w:val="26"/>
        </w:rPr>
        <w:t>Paso 2: Despliegue en la Nube y Configuración de Servicios</w:t>
      </w:r>
    </w:p>
    <w:p>
      <w:pPr>
        <w:spacing w:after="120" w:line="276" w:lineRule="auto"/>
      </w:pPr>
      <w:r>
        <w:rPr>
          <w:rFonts w:ascii="Calibri" w:hAnsi="Calibri"/>
          <w:color w:val="2D3748"/>
          <w:sz w:val="22"/>
        </w:rPr>
        <w:t>Se vinculó la cuenta institucional de la universidad (`atena.unikonrad@gmail.com`) a Render.com y Firebase Firestore, configurando las variables de entorno de forma segura para exponer el endpoint HTTPS público `https://atena-vugz.onrender.com`.</w:t>
      </w:r>
    </w:p>
    <w:p>
      <w:pPr>
        <w:keepNext/>
        <w:spacing w:before="280" w:after="80"/>
      </w:pPr>
      <w:r>
        <w:rPr>
          <w:rFonts w:ascii="Arial" w:hAnsi="Arial"/>
          <w:b/>
          <w:color w:val="2B6CB0"/>
          <w:sz w:val="26"/>
        </w:rPr>
        <w:t>Paso 3: Construcción del Cliente en Unity 3D (C#)</w:t>
      </w:r>
    </w:p>
    <w:p>
      <w:pPr>
        <w:spacing w:after="120" w:line="276" w:lineRule="auto"/>
      </w:pPr>
      <w:r>
        <w:rPr>
          <w:rFonts w:ascii="Calibri" w:hAnsi="Calibri"/>
          <w:color w:val="2D3748"/>
          <w:sz w:val="22"/>
        </w:rPr>
        <w:t>Se integró el controlador oficial `AtenaClient.cs` en Unity, permitiendo llamadas REST asíncronas desde la escena tridimensional hacia el backend cloud sin congelar la interfaz de usuario.</w:t>
      </w:r>
    </w:p>
    <w:p>
      <w:pPr>
        <w:keepNext/>
        <w:spacing w:before="280" w:after="80"/>
      </w:pPr>
      <w:r>
        <w:rPr>
          <w:rFonts w:ascii="Arial" w:hAnsi="Arial"/>
          <w:b/>
          <w:color w:val="2B6CB0"/>
          <w:sz w:val="26"/>
        </w:rPr>
        <w:t>6.1 Limitaciones Identificadas en Pruebas Reales de Producción</w:t>
      </w:r>
    </w:p>
    <w:p>
      <w:pPr>
        <w:spacing w:after="120" w:line="276" w:lineRule="auto"/>
      </w:pPr>
      <w:r>
        <w:rPr>
          <w:rFonts w:ascii="Calibri" w:hAnsi="Calibri"/>
          <w:color w:val="2D3748"/>
          <w:sz w:val="22"/>
        </w:rPr>
        <w:t>Al someter el despliegue en Render.com a pruebas intensivas con estudiantes en el laboratorio, surgieron dos barreras infranqueables que obligaron a evolucionar el sistema hacia una tercera generación definitiva:</w:t>
      </w:r>
    </w:p>
    <w:p>
      <w:pPr>
        <w:spacing w:after="120" w:line="276" w:lineRule="auto"/>
      </w:pPr>
      <w:r>
        <w:rPr>
          <w:rFonts w:ascii="Calibri" w:hAnsi="Calibri"/>
          <w:b/>
          <w:color w:val="1A202C"/>
          <w:sz w:val="22"/>
        </w:rPr>
        <w:t xml:space="preserve">a) </w:t>
      </w:r>
      <w:r>
        <w:rPr>
          <w:rFonts w:ascii="Calibri" w:hAnsi="Calibri"/>
          <w:color w:val="2D3748"/>
          <w:sz w:val="22"/>
        </w:rPr>
        <w:t>1. Saturación de Cuotas de Gemini (HTTP 429 ResourceExhausted): El límite estricto de 15 solicitudes por minuto (RPM) en el tier gratuito de Google AI Studio provocaba bloqueos continuos cuando varios evaluadores realizaban preguntas consecutivas.</w:t>
      </w:r>
    </w:p>
    <w:p>
      <w:pPr>
        <w:spacing w:after="120" w:line="276" w:lineRule="auto"/>
      </w:pPr>
      <w:r>
        <w:rPr>
          <w:rFonts w:ascii="Calibri" w:hAnsi="Calibri"/>
          <w:b/>
          <w:color w:val="1A202C"/>
          <w:sz w:val="22"/>
        </w:rPr>
        <w:t xml:space="preserve">b) </w:t>
      </w:r>
      <w:r>
        <w:rPr>
          <w:rFonts w:ascii="Calibri" w:hAnsi="Calibri"/>
          <w:color w:val="2D3748"/>
          <w:sz w:val="22"/>
        </w:rPr>
        <w:t>2. El Cuello de Botella de 512 MiB de RAM en Render: La biblioteca PyTorch y los sentence-transformers requeridos para vectorizar en el servidor consumían entre 520 y 650 MB de memoria en el arranque, provocando que Render matara el contenedor con el error 'Out of memory (used over 512Mi)'.</w:t>
      </w:r>
    </w:p>
    <w:p>
      <w:pPr>
        <w:spacing w:after="120" w:line="276" w:lineRule="auto"/>
      </w:pPr>
      <w:r>
        <w:rPr>
          <w:rFonts w:ascii="Calibri" w:hAnsi="Calibri"/>
          <w:color w:val="2D3748"/>
          <w:sz w:val="22"/>
        </w:rPr>
        <w:t>Estos dos factores motivaron la fase final de investigación e ingeniería descrita en la Sección 8, consolidando la arquitectura de producción con Groq LPU y ONNX Runtime.</w:t>
      </w:r>
    </w:p>
    <w:p>
      <w:pPr>
        <w:keepNext/>
        <w:spacing w:before="360" w:after="120"/>
      </w:pPr>
      <w:r>
        <w:rPr>
          <w:rFonts w:ascii="Arial" w:hAnsi="Arial"/>
          <w:b/>
          <w:color w:val="1A365D"/>
          <w:sz w:val="32"/>
        </w:rPr>
        <w:t>7. CONCLUSIONES DE LAS FASES EXPERIMENTALES INICIALES (FASES 1 Y 2)</w:t>
      </w:r>
    </w:p>
    <w:p>
      <w:pPr>
        <w:spacing w:after="120" w:line="276" w:lineRule="auto"/>
      </w:pPr>
      <w:r>
        <w:rPr>
          <w:rFonts w:ascii="Calibri" w:hAnsi="Calibri"/>
          <w:color w:val="2D3748"/>
          <w:sz w:val="22"/>
        </w:rPr>
        <w:t>1. La inferencia local de IA mediante Ollama (Fase 1) en equipos portátiles estándar resulta inviable para aplicaciones interactivas en tiempo real combinadas con motores gráficos como Unity 3D, debido al estrangulamiento térmico y saturación de VRAM/RAM.</w:t>
      </w:r>
    </w:p>
    <w:p>
      <w:pPr>
        <w:spacing w:after="120" w:line="276" w:lineRule="auto"/>
      </w:pPr>
      <w:r>
        <w:rPr>
          <w:rFonts w:ascii="Calibri" w:hAnsi="Calibri"/>
          <w:color w:val="2D3748"/>
          <w:sz w:val="22"/>
        </w:rPr>
        <w:t>2. La adopción de la API de Google Gemini (Fase 2) validó empíricamente las ventajas de la arquitectura desacoplada en la nube, reduciendo la latencia de 38-54 segundos a tan solo 1.2-2.1 segundos.</w:t>
      </w:r>
    </w:p>
    <w:p>
      <w:pPr>
        <w:spacing w:after="120" w:line="276" w:lineRule="auto"/>
      </w:pPr>
      <w:r>
        <w:rPr>
          <w:rFonts w:ascii="Calibri" w:hAnsi="Calibri"/>
          <w:color w:val="2D3748"/>
          <w:sz w:val="22"/>
        </w:rPr>
        <w:t>3. No obstante, las restricciones de cuota gratuita (15 RPM) y el excesivo peso de PyTorch en servidores cloud gratuitos demostraron la necesidad de una optimización más profunda en inferencia y consumo de memoria para garantizar estabilidad 24/7 sin costo para la institución.</w:t>
      </w:r>
    </w:p>
    <w:p>
      <w:pPr>
        <w:keepNext/>
        <w:spacing w:before="360" w:after="120"/>
      </w:pPr>
      <w:r>
        <w:rPr>
          <w:rFonts w:ascii="Arial" w:hAnsi="Arial"/>
          <w:b/>
          <w:color w:val="1A365D"/>
          <w:sz w:val="32"/>
        </w:rPr>
        <w:t>8. ARQUITECTURA DEFINITIVA Y EVALUACIÓN TRIPARTITA (FASE 3: GROQ LPU +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no interrumpe el servicio en producción. El investigador simplemente añade el nuevo archivo PDF a la carpeta Docs/ en su equipo local, ejecuta el script de vectorización (o utiliza la interfaz gráfica administrativa de Streamlit con PIN de seguridad '1234'), y realiza un git push a la rama main. Render detecta el cambio automáticamente, compila la nueva imagen con los vectores actualizados y realiza un despliegue sin tiempo de inactividad (Zero Downtime Deployment).</w:t>
      </w: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