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4418DD" w14:textId="77777777" w:rsidR="006A634A" w:rsidRPr="00604A2E" w:rsidRDefault="00000000" w:rsidP="00C16B22">
      <w:pPr>
        <w:spacing w:before="400" w:after="80"/>
        <w:jc w:val="center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28"/>
          <w:lang w:val="es-CO"/>
        </w:rPr>
        <w:t>FUNDACIÓN UNIVERSITARIA KONRAD LORENZ</w:t>
      </w:r>
    </w:p>
    <w:p w14:paraId="497AA795" w14:textId="77777777" w:rsidR="006A634A" w:rsidRDefault="00000000" w:rsidP="00C16B22">
      <w:pPr>
        <w:spacing w:after="800"/>
        <w:jc w:val="center"/>
        <w:rPr>
          <w:rFonts w:ascii="Arial" w:hAnsi="Arial"/>
          <w:color w:val="000000" w:themeColor="text1"/>
          <w:sz w:val="20"/>
          <w:lang w:val="es-CO"/>
        </w:rPr>
      </w:pPr>
      <w:r w:rsidRPr="00604A2E">
        <w:rPr>
          <w:rFonts w:ascii="Arial" w:hAnsi="Arial"/>
          <w:color w:val="000000" w:themeColor="text1"/>
          <w:sz w:val="20"/>
          <w:lang w:val="es-CO"/>
        </w:rPr>
        <w:t>FACULTAD DE MATEMÁTICAS E INGENIERÍA / PSICOLOGÍA</w:t>
      </w:r>
      <w:r w:rsidRPr="00604A2E">
        <w:rPr>
          <w:rFonts w:ascii="Arial" w:hAnsi="Arial"/>
          <w:color w:val="000000" w:themeColor="text1"/>
          <w:sz w:val="20"/>
          <w:lang w:val="es-CO"/>
        </w:rPr>
        <w:br/>
        <w:t>PROGRAMA DE TESIS Y DESARROLLO DE SOFTWARE</w:t>
      </w:r>
    </w:p>
    <w:p w14:paraId="59B51F80" w14:textId="77777777" w:rsidR="00604A2E" w:rsidRDefault="00604A2E" w:rsidP="00C16B22">
      <w:pPr>
        <w:spacing w:after="800"/>
        <w:jc w:val="center"/>
        <w:rPr>
          <w:rFonts w:ascii="Arial" w:hAnsi="Arial"/>
          <w:color w:val="000000" w:themeColor="text1"/>
          <w:sz w:val="20"/>
          <w:lang w:val="es-CO"/>
        </w:rPr>
      </w:pPr>
    </w:p>
    <w:p w14:paraId="01B13B80" w14:textId="77777777" w:rsidR="00604A2E" w:rsidRPr="00604A2E" w:rsidRDefault="00604A2E" w:rsidP="00C16B22">
      <w:pPr>
        <w:spacing w:after="800"/>
        <w:jc w:val="center"/>
        <w:rPr>
          <w:color w:val="000000" w:themeColor="text1"/>
          <w:lang w:val="es-CO"/>
        </w:rPr>
      </w:pPr>
    </w:p>
    <w:p w14:paraId="017BDC0B" w14:textId="77777777" w:rsidR="006A634A" w:rsidRDefault="00000000" w:rsidP="00C16B22">
      <w:pPr>
        <w:spacing w:after="360"/>
        <w:jc w:val="center"/>
        <w:rPr>
          <w:rFonts w:ascii="Arial" w:hAnsi="Arial"/>
          <w:b/>
          <w:color w:val="000000" w:themeColor="text1"/>
          <w:sz w:val="40"/>
          <w:lang w:val="es-CO"/>
        </w:rPr>
      </w:pPr>
      <w:r w:rsidRPr="00604A2E">
        <w:rPr>
          <w:rFonts w:ascii="Arial" w:hAnsi="Arial"/>
          <w:b/>
          <w:color w:val="000000" w:themeColor="text1"/>
          <w:sz w:val="40"/>
          <w:lang w:val="es-CO"/>
        </w:rPr>
        <w:t>INFORME DE EVALUACIÓN TÉCNICA Y JUSTIFICACIÓN DE ARQUITECTURA AI</w:t>
      </w:r>
    </w:p>
    <w:p w14:paraId="76C3CEDE" w14:textId="77777777" w:rsidR="00604A2E" w:rsidRDefault="00604A2E" w:rsidP="00C16B22">
      <w:pPr>
        <w:spacing w:after="360"/>
        <w:jc w:val="center"/>
        <w:rPr>
          <w:rFonts w:ascii="Arial" w:hAnsi="Arial"/>
          <w:b/>
          <w:color w:val="000000" w:themeColor="text1"/>
          <w:sz w:val="40"/>
          <w:lang w:val="es-CO"/>
        </w:rPr>
      </w:pPr>
    </w:p>
    <w:p w14:paraId="584341D3" w14:textId="77777777" w:rsidR="00604A2E" w:rsidRPr="00604A2E" w:rsidRDefault="00604A2E" w:rsidP="00C16B22">
      <w:pPr>
        <w:spacing w:after="360"/>
        <w:jc w:val="center"/>
        <w:rPr>
          <w:color w:val="000000" w:themeColor="text1"/>
          <w:lang w:val="es-CO"/>
        </w:rPr>
      </w:pPr>
    </w:p>
    <w:p w14:paraId="07B54E78" w14:textId="472AB3CE" w:rsidR="006A634A" w:rsidRDefault="00000000" w:rsidP="00C16B22">
      <w:pPr>
        <w:spacing w:after="1000"/>
        <w:jc w:val="center"/>
        <w:rPr>
          <w:rFonts w:ascii="Arial" w:hAnsi="Arial"/>
          <w:i/>
          <w:color w:val="000000" w:themeColor="text1"/>
          <w:sz w:val="24"/>
          <w:lang w:val="es-CO"/>
        </w:rPr>
      </w:pPr>
      <w:r w:rsidRPr="00604A2E">
        <w:rPr>
          <w:rFonts w:ascii="Arial" w:hAnsi="Arial"/>
          <w:i/>
          <w:color w:val="000000" w:themeColor="text1"/>
          <w:sz w:val="24"/>
          <w:lang w:val="es-CO"/>
        </w:rPr>
        <w:t>Análisis Comparativo de Desempeño: Migración de Modelos Locales (</w:t>
      </w:r>
      <w:proofErr w:type="spellStart"/>
      <w:r w:rsidRPr="00604A2E">
        <w:rPr>
          <w:rFonts w:ascii="Arial" w:hAnsi="Arial"/>
          <w:i/>
          <w:color w:val="000000" w:themeColor="text1"/>
          <w:sz w:val="24"/>
          <w:lang w:val="es-CO"/>
        </w:rPr>
        <w:t>Ollama</w:t>
      </w:r>
      <w:proofErr w:type="spellEnd"/>
      <w:r w:rsidRPr="00604A2E">
        <w:rPr>
          <w:rFonts w:ascii="Arial" w:hAnsi="Arial"/>
          <w:i/>
          <w:color w:val="000000" w:themeColor="text1"/>
          <w:sz w:val="24"/>
          <w:lang w:val="es-CO"/>
        </w:rPr>
        <w:t xml:space="preserve"> / Llama 3.2) hacia Servicios Cloud API (Google Gemini) para el Consultor de Neuroanatomía 3D</w:t>
      </w:r>
    </w:p>
    <w:p w14:paraId="51EFB138" w14:textId="77777777" w:rsidR="00604A2E" w:rsidRPr="00604A2E" w:rsidRDefault="00604A2E" w:rsidP="00C16B22">
      <w:pPr>
        <w:spacing w:after="1000"/>
        <w:jc w:val="center"/>
        <w:rPr>
          <w:color w:val="000000" w:themeColor="text1"/>
          <w:lang w:val="es-CO"/>
        </w:rPr>
      </w:pPr>
    </w:p>
    <w:p w14:paraId="518FF51C" w14:textId="77777777" w:rsidR="006A634A" w:rsidRPr="00604A2E" w:rsidRDefault="00000000" w:rsidP="00C16B22">
      <w:pPr>
        <w:spacing w:after="1600"/>
        <w:jc w:val="center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Proyecto: Consultor Especialista en Neuroanatomía 3D</w:t>
      </w:r>
      <w:r w:rsidRPr="00604A2E">
        <w:rPr>
          <w:rFonts w:ascii="Calibri" w:hAnsi="Calibri"/>
          <w:color w:val="000000" w:themeColor="text1"/>
          <w:lang w:val="es-CO"/>
        </w:rPr>
        <w:br/>
        <w:t>Autores: Equipo de Investigación &amp; Desarrollo - Konrad Lorenz</w:t>
      </w:r>
      <w:r w:rsidRPr="00604A2E">
        <w:rPr>
          <w:rFonts w:ascii="Calibri" w:hAnsi="Calibri"/>
          <w:color w:val="000000" w:themeColor="text1"/>
          <w:lang w:val="es-CO"/>
        </w:rPr>
        <w:br/>
        <w:t>Fecha de Evaluación: Agosto de 2026</w:t>
      </w:r>
      <w:r w:rsidRPr="00604A2E">
        <w:rPr>
          <w:rFonts w:ascii="Calibri" w:hAnsi="Calibri"/>
          <w:color w:val="000000" w:themeColor="text1"/>
          <w:lang w:val="es-CO"/>
        </w:rPr>
        <w:br/>
        <w:t xml:space="preserve">Versión del Documento: 2.0 (Final RAG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Architecture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>)</w:t>
      </w:r>
    </w:p>
    <w:p w14:paraId="1737F37C" w14:textId="77777777" w:rsidR="006A634A" w:rsidRPr="00604A2E" w:rsidRDefault="00000000" w:rsidP="00604A2E">
      <w:pPr>
        <w:keepNext/>
        <w:spacing w:before="360" w:after="12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32"/>
          <w:lang w:val="es-CO"/>
        </w:rPr>
        <w:lastRenderedPageBreak/>
        <w:t>RESUMEN EJECUTIVO</w:t>
      </w:r>
    </w:p>
    <w:p w14:paraId="588497EA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El presente documento expone una evaluación técnica detallada sobre la infraestructura de Inteligencia Artificial seleccionada para el proyecto 'Consultor Especialista en Neuroanatomía', un sistema RAG (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Retrieval-Augmented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Generation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>) integrado con una interfaz inmersiva e interactiva desarrollada en Unity 3D para estudiantes e investigadores de la Fundación Universitaria Konrad Lorenz.</w:t>
      </w:r>
    </w:p>
    <w:p w14:paraId="71C4CADD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 xml:space="preserve">Inicialmente, el sistema fue concebido para operar bajo un enfoque 100% local haciendo uso del motor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Ollama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y modelos de lenguaje de código abierto como Llama 3.2 (3B y 8B) acompañados del modelo de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embeddings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nomic-embed-text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>. No obstante, tras un exhaustivo ciclo de pruebas empíricas realizadas sobre la máquina de desarrollo de referencia (MacBook Pro 16" con procesador Intel Core i7 de 6 núcleos, 16 GB de RAM y GPU AMD Radeon Pro 5300M con 4 GB de VRAM), se identificaron graves cuellos de botella operativos.</w:t>
      </w:r>
    </w:p>
    <w:p w14:paraId="25A77ED7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Entre los principales hallazgos destacan: (1) latencias de respuesta excesivamente altas (entre 22.5 y 54.2 segundos por consulta RAG), (2) alta degradación del rendimiento gráfico y bloqueo de la tasa de cuadros (FPS) en la aplicación Unity 3D debido al consumo extremo de CPU (88%) y VRAM (95%), (3) estrangulamiento térmico (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Thermal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Throttling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) en el procesador local alcanzando temperaturas sostenidas superiores a los 86 °C, y (4) saturación de la memoria RAM del sistema (14.8 GB consumidos sobre 16 GB totales), provocando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swapping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en el disco SSD.</w:t>
      </w:r>
    </w:p>
    <w:p w14:paraId="25B9D001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 xml:space="preserve">Como solución definitiva, se decidió migrar la capa de inferencia hacia la API de Google Gemini (Gemini 1.5 Flash / Pro). Los resultados tras la migración demuestran una reducción masiva en el tiempo de respuesta (pasando a 1.2 - 2.1 segundos), un consumo nulo de recursos gráficos/computacionales en la máquina del cliente, una tasa de generación de texto superior a los 95 tokens/segundo y la posibilidad de aprovechar cuotas gratuitas académicas (Google AI Studio) ideales para el despliegue en servicios de hosting en la nube como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Firebase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Hosting, Render o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Railway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04A2E" w:rsidRPr="00604A2E" w14:paraId="5792EB78" w14:textId="77777777">
        <w:trPr>
          <w:jc w:val="center"/>
        </w:trPr>
        <w:tc>
          <w:tcPr>
            <w:tcW w:w="9360" w:type="dxa"/>
            <w:tcBorders>
              <w:left w:val="single" w:sz="36" w:space="0" w:color="3182CE"/>
            </w:tcBorders>
            <w:shd w:val="clear" w:color="auto" w:fill="EBF8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46D7E4B" w14:textId="77777777" w:rsidR="006A634A" w:rsidRPr="00604A2E" w:rsidRDefault="00000000" w:rsidP="00604A2E">
            <w:pPr>
              <w:spacing w:after="80"/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Arial" w:hAnsi="Arial"/>
                <w:b/>
                <w:color w:val="000000" w:themeColor="text1"/>
                <w:sz w:val="21"/>
              </w:rPr>
              <w:t>💡</w:t>
            </w:r>
            <w:r w:rsidRPr="00604A2E">
              <w:rPr>
                <w:rFonts w:ascii="Arial" w:hAnsi="Arial"/>
                <w:b/>
                <w:color w:val="000000" w:themeColor="text1"/>
                <w:sz w:val="21"/>
                <w:lang w:val="es-CO"/>
              </w:rPr>
              <w:t xml:space="preserve"> DECISIÓN ARQUITECTÓNICA CLAVE</w:t>
            </w:r>
            <w:r w:rsidRPr="00604A2E">
              <w:rPr>
                <w:rFonts w:ascii="Arial" w:hAnsi="Arial"/>
                <w:b/>
                <w:color w:val="000000" w:themeColor="text1"/>
                <w:sz w:val="21"/>
                <w:lang w:val="es-CO"/>
              </w:rPr>
              <w:br/>
            </w:r>
            <w:r w:rsidRPr="00604A2E">
              <w:rPr>
                <w:rFonts w:ascii="Calibri" w:hAnsi="Calibri"/>
                <w:i/>
                <w:color w:val="000000" w:themeColor="text1"/>
                <w:sz w:val="20"/>
                <w:lang w:val="es-CO"/>
              </w:rPr>
              <w:t xml:space="preserve">La evaluación cuantitativa determinó que el despliegue </w:t>
            </w:r>
            <w:proofErr w:type="spellStart"/>
            <w:r w:rsidRPr="00604A2E">
              <w:rPr>
                <w:rFonts w:ascii="Calibri" w:hAnsi="Calibri"/>
                <w:i/>
                <w:color w:val="000000" w:themeColor="text1"/>
                <w:sz w:val="20"/>
                <w:lang w:val="es-CO"/>
              </w:rPr>
              <w:t>cloud</w:t>
            </w:r>
            <w:proofErr w:type="spellEnd"/>
            <w:r w:rsidRPr="00604A2E">
              <w:rPr>
                <w:rFonts w:ascii="Calibri" w:hAnsi="Calibri"/>
                <w:i/>
                <w:color w:val="000000" w:themeColor="text1"/>
                <w:sz w:val="20"/>
                <w:lang w:val="es-CO"/>
              </w:rPr>
              <w:t xml:space="preserve"> mediante Gemini API incrementa la velocidad de respuesta en un 1800% y elimina totalmente el congelamiento de la interfaz gráfica en Unity 3D, garantizando una experiencia de usuario interactiva y fluida.</w:t>
            </w:r>
          </w:p>
        </w:tc>
      </w:tr>
    </w:tbl>
    <w:p w14:paraId="3A604DD6" w14:textId="77777777" w:rsidR="006A634A" w:rsidRPr="00604A2E" w:rsidRDefault="006A634A" w:rsidP="00604A2E">
      <w:pPr>
        <w:spacing w:after="120"/>
        <w:jc w:val="both"/>
        <w:rPr>
          <w:color w:val="000000" w:themeColor="text1"/>
          <w:lang w:val="es-CO"/>
        </w:rPr>
      </w:pPr>
    </w:p>
    <w:p w14:paraId="1B96CC28" w14:textId="77777777" w:rsidR="006A634A" w:rsidRPr="00604A2E" w:rsidRDefault="00000000" w:rsidP="00604A2E">
      <w:pPr>
        <w:keepNext/>
        <w:spacing w:before="360" w:after="12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32"/>
          <w:lang w:val="es-CO"/>
        </w:rPr>
        <w:t>1. INTRODUCCIÓN Y CONTEXTO DEL PROYECTO</w:t>
      </w:r>
    </w:p>
    <w:p w14:paraId="0322E3F7" w14:textId="77777777" w:rsidR="006A634A" w:rsidRPr="00604A2E" w:rsidRDefault="00000000" w:rsidP="00604A2E">
      <w:pPr>
        <w:keepNext/>
        <w:spacing w:before="280" w:after="8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26"/>
          <w:lang w:val="es-CO"/>
        </w:rPr>
        <w:t>1.1 Descripción del Consultor de Neuroanatomía 3D</w:t>
      </w:r>
    </w:p>
    <w:p w14:paraId="6C902E81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El Consultor Especialista en Neuroanatomía es un asistente conversacional avanzado diseñado para apoyar los procesos de enseñanza y aprendizaje en las áreas de neurociencia, psicología y medicina de la Fundación Universitaria Konrad Lorenz. El sistema sintetiza información técnica de textos académicos fundamentales de la disciplina —tales como 'Neuroanatomía Clínica de Lange' y 'El Cerebro y la Conducta'— garantizando que las respuestas sean estrictamente fácticas, precisas y libres de alucinaciones mediante una arquitectura RAG (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Retrieval-Augmented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Generation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>).</w:t>
      </w:r>
    </w:p>
    <w:p w14:paraId="7254F868" w14:textId="77777777" w:rsidR="006A634A" w:rsidRPr="00604A2E" w:rsidRDefault="00000000" w:rsidP="00604A2E">
      <w:pPr>
        <w:keepNext/>
        <w:spacing w:before="280" w:after="8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26"/>
          <w:lang w:val="es-CO"/>
        </w:rPr>
        <w:lastRenderedPageBreak/>
        <w:t>1.2 Importancia de la Latencia y la Experiencia de Usuario</w:t>
      </w:r>
    </w:p>
    <w:p w14:paraId="40CAB421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 xml:space="preserve">Una de las metas centrales del proyecto es integrar este motor de consulta dentro de una aplicación 3D desarrollada en Unity, donde los estudiantes pueden visualizar e interactuar tridimensionalmente con modelos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anátomicos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del encéfalo, lóbulos cerebrales, estructuras subcorticales y vías nerviosas mientras realizan preguntas en lenguaje natural. En este entorno interactivo, la latencia de respuesta resulta ser un factor crítico: esperas superiores a los 3-5 segundos rompen la inmersión del estudiante y deterioran drásticamente la usabilidad pedagógica del software.</w:t>
      </w:r>
    </w:p>
    <w:p w14:paraId="3B6D23B1" w14:textId="77777777" w:rsidR="006A634A" w:rsidRPr="00604A2E" w:rsidRDefault="00000000" w:rsidP="00604A2E">
      <w:pPr>
        <w:keepNext/>
        <w:spacing w:before="360" w:after="12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32"/>
          <w:lang w:val="es-CO"/>
        </w:rPr>
        <w:t>2. FICHA TÉCNICA Y ESPECIFICACIONES DEL HARDWARE EVALUADO</w:t>
      </w:r>
    </w:p>
    <w:p w14:paraId="64FEFEA3" w14:textId="77777777" w:rsidR="006A634A" w:rsidRPr="00604A2E" w:rsidRDefault="00000000" w:rsidP="00604A2E">
      <w:pPr>
        <w:spacing w:after="120"/>
        <w:jc w:val="both"/>
        <w:rPr>
          <w:color w:val="000000" w:themeColor="text1"/>
        </w:rPr>
      </w:pPr>
      <w:r w:rsidRPr="00604A2E">
        <w:rPr>
          <w:rFonts w:ascii="Calibri" w:hAnsi="Calibri"/>
          <w:color w:val="000000" w:themeColor="text1"/>
          <w:lang w:val="es-CO"/>
        </w:rPr>
        <w:t xml:space="preserve">Para fundamentar los resultados con evidencia empírica directa, todas las pruebas locales de inferencia con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Ollama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y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LangChain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fueron ejecutadas sobre la máquina física del entorno de desarrollo. </w:t>
      </w:r>
      <w:r w:rsidRPr="00604A2E">
        <w:rPr>
          <w:rFonts w:ascii="Calibri" w:hAnsi="Calibri"/>
          <w:color w:val="000000" w:themeColor="text1"/>
        </w:rPr>
        <w:t xml:space="preserve">A </w:t>
      </w:r>
      <w:proofErr w:type="spellStart"/>
      <w:r w:rsidRPr="00604A2E">
        <w:rPr>
          <w:rFonts w:ascii="Calibri" w:hAnsi="Calibri"/>
          <w:color w:val="000000" w:themeColor="text1"/>
        </w:rPr>
        <w:t>continuación</w:t>
      </w:r>
      <w:proofErr w:type="spellEnd"/>
      <w:r w:rsidRPr="00604A2E">
        <w:rPr>
          <w:rFonts w:ascii="Calibri" w:hAnsi="Calibri"/>
          <w:color w:val="000000" w:themeColor="text1"/>
        </w:rPr>
        <w:t xml:space="preserve"> se </w:t>
      </w:r>
      <w:proofErr w:type="spellStart"/>
      <w:r w:rsidRPr="00604A2E">
        <w:rPr>
          <w:rFonts w:ascii="Calibri" w:hAnsi="Calibri"/>
          <w:color w:val="000000" w:themeColor="text1"/>
        </w:rPr>
        <w:t>presenta</w:t>
      </w:r>
      <w:proofErr w:type="spellEnd"/>
      <w:r w:rsidRPr="00604A2E">
        <w:rPr>
          <w:rFonts w:ascii="Calibri" w:hAnsi="Calibri"/>
          <w:color w:val="000000" w:themeColor="text1"/>
        </w:rPr>
        <w:t xml:space="preserve"> la caracterización completa del hardware: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04A2E" w:rsidRPr="00604A2E" w14:paraId="15F2956E" w14:textId="77777777">
        <w:trPr>
          <w:jc w:val="center"/>
        </w:trPr>
        <w:tc>
          <w:tcPr>
            <w:tcW w:w="3120" w:type="dxa"/>
            <w:shd w:val="clear" w:color="auto" w:fill="1A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57B9C0B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Arial" w:hAnsi="Arial"/>
                <w:b/>
                <w:color w:val="000000" w:themeColor="text1"/>
                <w:sz w:val="20"/>
              </w:rPr>
              <w:t>Componente Hardware</w:t>
            </w:r>
          </w:p>
        </w:tc>
        <w:tc>
          <w:tcPr>
            <w:tcW w:w="3120" w:type="dxa"/>
            <w:shd w:val="clear" w:color="auto" w:fill="1A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21E09E5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Arial" w:hAnsi="Arial"/>
                <w:b/>
                <w:color w:val="000000" w:themeColor="text1"/>
                <w:sz w:val="20"/>
              </w:rPr>
              <w:t>Especificación Técnica</w:t>
            </w:r>
          </w:p>
        </w:tc>
        <w:tc>
          <w:tcPr>
            <w:tcW w:w="3120" w:type="dxa"/>
            <w:shd w:val="clear" w:color="auto" w:fill="1A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56E5D00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Arial" w:hAnsi="Arial"/>
                <w:b/>
                <w:color w:val="000000" w:themeColor="text1"/>
                <w:sz w:val="20"/>
                <w:lang w:val="es-CO"/>
              </w:rPr>
              <w:t>Impacto en Ejecución Local de IA</w:t>
            </w:r>
          </w:p>
        </w:tc>
      </w:tr>
      <w:tr w:rsidR="00604A2E" w:rsidRPr="00604A2E" w14:paraId="76D92A2C" w14:textId="77777777">
        <w:trPr>
          <w:jc w:val="center"/>
        </w:trPr>
        <w:tc>
          <w:tcPr>
            <w:tcW w:w="3120" w:type="dxa"/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5B5AEE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proofErr w:type="spellStart"/>
            <w:r w:rsidRPr="00604A2E">
              <w:rPr>
                <w:rFonts w:ascii="Calibri" w:hAnsi="Calibri"/>
                <w:b/>
                <w:color w:val="000000" w:themeColor="text1"/>
                <w:sz w:val="19"/>
              </w:rPr>
              <w:t>Modelo</w:t>
            </w:r>
            <w:proofErr w:type="spellEnd"/>
            <w:r w:rsidRPr="00604A2E">
              <w:rPr>
                <w:rFonts w:ascii="Calibri" w:hAnsi="Calibri"/>
                <w:b/>
                <w:color w:val="000000" w:themeColor="text1"/>
                <w:sz w:val="19"/>
              </w:rPr>
              <w:t xml:space="preserve"> del Sistema</w:t>
            </w:r>
          </w:p>
        </w:tc>
        <w:tc>
          <w:tcPr>
            <w:tcW w:w="3120" w:type="dxa"/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BC1841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9"/>
              </w:rPr>
              <w:t>MacBook Pro 16 pulgadas (MacBookPro16,1)</w:t>
            </w:r>
          </w:p>
        </w:tc>
        <w:tc>
          <w:tcPr>
            <w:tcW w:w="3120" w:type="dxa"/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FB4D81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color w:val="000000" w:themeColor="text1"/>
                <w:sz w:val="19"/>
                <w:lang w:val="es-CO"/>
              </w:rPr>
              <w:t>Portátil de rendimiento general con arquitectura x86_64.</w:t>
            </w:r>
          </w:p>
        </w:tc>
      </w:tr>
      <w:tr w:rsidR="00604A2E" w:rsidRPr="00604A2E" w14:paraId="001951B9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33D1CC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proofErr w:type="spellStart"/>
            <w:r w:rsidRPr="00604A2E">
              <w:rPr>
                <w:rFonts w:ascii="Calibri" w:hAnsi="Calibri"/>
                <w:b/>
                <w:color w:val="000000" w:themeColor="text1"/>
                <w:sz w:val="19"/>
              </w:rPr>
              <w:t>Procesador</w:t>
            </w:r>
            <w:proofErr w:type="spellEnd"/>
            <w:r w:rsidRPr="00604A2E">
              <w:rPr>
                <w:rFonts w:ascii="Calibri" w:hAnsi="Calibri"/>
                <w:b/>
                <w:color w:val="000000" w:themeColor="text1"/>
                <w:sz w:val="19"/>
              </w:rPr>
              <w:t xml:space="preserve"> (CPU)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0443AB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9"/>
              </w:rPr>
              <w:t>Intel Core i7 6-Core @ 2.6 GHz (Turboboost 4.5 GHz)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A4D8AD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color w:val="000000" w:themeColor="text1"/>
                <w:sz w:val="19"/>
                <w:lang w:val="es-CO"/>
              </w:rPr>
              <w:t>Inferencia en CPU lenta; alta saturación de hilos (88-95% carga).</w:t>
            </w:r>
          </w:p>
        </w:tc>
      </w:tr>
      <w:tr w:rsidR="00604A2E" w:rsidRPr="00604A2E" w14:paraId="20CA2493" w14:textId="77777777">
        <w:trPr>
          <w:jc w:val="center"/>
        </w:trPr>
        <w:tc>
          <w:tcPr>
            <w:tcW w:w="3120" w:type="dxa"/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0D6C2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b/>
                <w:color w:val="000000" w:themeColor="text1"/>
                <w:sz w:val="19"/>
              </w:rPr>
              <w:t>Memoria RAM</w:t>
            </w:r>
          </w:p>
        </w:tc>
        <w:tc>
          <w:tcPr>
            <w:tcW w:w="3120" w:type="dxa"/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1BC54B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9"/>
              </w:rPr>
              <w:t>16 GB DDR4 a 2666 MHz</w:t>
            </w:r>
          </w:p>
        </w:tc>
        <w:tc>
          <w:tcPr>
            <w:tcW w:w="3120" w:type="dxa"/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6C962D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color w:val="000000" w:themeColor="text1"/>
                <w:sz w:val="19"/>
                <w:lang w:val="es-CO"/>
              </w:rPr>
              <w:t>Insuficiente para mantener Unity (6-8 GB) + Llama 3.2 (5-7 GB) al tiempo.</w:t>
            </w:r>
          </w:p>
        </w:tc>
      </w:tr>
      <w:tr w:rsidR="00604A2E" w:rsidRPr="00604A2E" w14:paraId="0ADF42BC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E9E848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b/>
                <w:color w:val="000000" w:themeColor="text1"/>
                <w:sz w:val="19"/>
              </w:rPr>
              <w:t xml:space="preserve">GPU </w:t>
            </w:r>
            <w:proofErr w:type="spellStart"/>
            <w:r w:rsidRPr="00604A2E">
              <w:rPr>
                <w:rFonts w:ascii="Calibri" w:hAnsi="Calibri"/>
                <w:b/>
                <w:color w:val="000000" w:themeColor="text1"/>
                <w:sz w:val="19"/>
              </w:rPr>
              <w:t>Dedicada</w:t>
            </w:r>
            <w:proofErr w:type="spellEnd"/>
          </w:p>
        </w:tc>
        <w:tc>
          <w:tcPr>
            <w:tcW w:w="312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80D391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9"/>
              </w:rPr>
              <w:t>AMD Radeon Pro 5300M (4 GB VRAM GDDR6)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415178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color w:val="000000" w:themeColor="text1"/>
                <w:sz w:val="19"/>
                <w:lang w:val="es-CO"/>
              </w:rPr>
              <w:t>VRAM de 4 GB insuficiente para alojar modelos de 8B parámetros en GPU.</w:t>
            </w:r>
          </w:p>
        </w:tc>
      </w:tr>
      <w:tr w:rsidR="00604A2E" w:rsidRPr="00604A2E" w14:paraId="5C3791CB" w14:textId="77777777">
        <w:trPr>
          <w:jc w:val="center"/>
        </w:trPr>
        <w:tc>
          <w:tcPr>
            <w:tcW w:w="3120" w:type="dxa"/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0FED7B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b/>
                <w:color w:val="000000" w:themeColor="text1"/>
                <w:sz w:val="19"/>
              </w:rPr>
              <w:t xml:space="preserve">GPU </w:t>
            </w:r>
            <w:proofErr w:type="spellStart"/>
            <w:r w:rsidRPr="00604A2E">
              <w:rPr>
                <w:rFonts w:ascii="Calibri" w:hAnsi="Calibri"/>
                <w:b/>
                <w:color w:val="000000" w:themeColor="text1"/>
                <w:sz w:val="19"/>
              </w:rPr>
              <w:t>Integrada</w:t>
            </w:r>
            <w:proofErr w:type="spellEnd"/>
          </w:p>
        </w:tc>
        <w:tc>
          <w:tcPr>
            <w:tcW w:w="3120" w:type="dxa"/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165097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9"/>
              </w:rPr>
              <w:t>Intel UHD Graphics 630 (1.5 GB VRAM dinámica)</w:t>
            </w:r>
          </w:p>
        </w:tc>
        <w:tc>
          <w:tcPr>
            <w:tcW w:w="3120" w:type="dxa"/>
            <w:shd w:val="clear" w:color="auto" w:fill="F7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1E8093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color w:val="000000" w:themeColor="text1"/>
                <w:sz w:val="19"/>
                <w:lang w:val="es-CO"/>
              </w:rPr>
              <w:t>Reservada para tareas gráficas del sistema operativo y ventanas básicas.</w:t>
            </w:r>
          </w:p>
        </w:tc>
      </w:tr>
      <w:tr w:rsidR="00604A2E" w:rsidRPr="00604A2E" w14:paraId="12D81BA1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E10577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proofErr w:type="spellStart"/>
            <w:r w:rsidRPr="00604A2E">
              <w:rPr>
                <w:rFonts w:ascii="Calibri" w:hAnsi="Calibri"/>
                <w:b/>
                <w:color w:val="000000" w:themeColor="text1"/>
                <w:sz w:val="19"/>
              </w:rPr>
              <w:t>Almacenamiento</w:t>
            </w:r>
            <w:proofErr w:type="spellEnd"/>
          </w:p>
        </w:tc>
        <w:tc>
          <w:tcPr>
            <w:tcW w:w="312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9B9594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9"/>
              </w:rPr>
              <w:t>Apple NVMe SSD 512 GB (Velocidad &gt; 2500 MB/s)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C5FF18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proofErr w:type="spellStart"/>
            <w:r w:rsidRPr="00604A2E">
              <w:rPr>
                <w:rFonts w:ascii="Calibri" w:hAnsi="Calibri"/>
                <w:color w:val="000000" w:themeColor="text1"/>
                <w:sz w:val="19"/>
                <w:lang w:val="es-CO"/>
              </w:rPr>
              <w:t>Swapping</w:t>
            </w:r>
            <w:proofErr w:type="spellEnd"/>
            <w:r w:rsidRPr="00604A2E">
              <w:rPr>
                <w:rFonts w:ascii="Calibri" w:hAnsi="Calibri"/>
                <w:color w:val="000000" w:themeColor="text1"/>
                <w:sz w:val="19"/>
                <w:lang w:val="es-CO"/>
              </w:rPr>
              <w:t xml:space="preserve"> frecuente debido al desbordamiento de la memoria RAM.</w:t>
            </w:r>
          </w:p>
        </w:tc>
      </w:tr>
    </w:tbl>
    <w:p w14:paraId="07A8B626" w14:textId="77777777" w:rsidR="006A634A" w:rsidRPr="00604A2E" w:rsidRDefault="006A634A" w:rsidP="00604A2E">
      <w:pPr>
        <w:jc w:val="both"/>
        <w:rPr>
          <w:color w:val="000000" w:themeColor="text1"/>
          <w:lang w:val="es-CO"/>
        </w:rPr>
      </w:pPr>
    </w:p>
    <w:p w14:paraId="6E608E4B" w14:textId="77777777" w:rsidR="006A634A" w:rsidRPr="00604A2E" w:rsidRDefault="00000000" w:rsidP="00604A2E">
      <w:pPr>
        <w:keepNext/>
        <w:spacing w:before="360" w:after="12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32"/>
          <w:lang w:val="es-CO"/>
        </w:rPr>
        <w:lastRenderedPageBreak/>
        <w:t>3. EVALUACIÓN DE DESEMPEÑO Y RESULTADOS CON IA LOCAL</w:t>
      </w:r>
    </w:p>
    <w:p w14:paraId="093FBFD2" w14:textId="77777777" w:rsidR="006A634A" w:rsidRPr="00604A2E" w:rsidRDefault="00000000" w:rsidP="00604A2E">
      <w:pPr>
        <w:keepNext/>
        <w:spacing w:before="280" w:after="8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26"/>
          <w:lang w:val="es-CO"/>
        </w:rPr>
        <w:t>3.1 Configuración de las Pruebas Locales</w:t>
      </w:r>
    </w:p>
    <w:p w14:paraId="6DAE9668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 xml:space="preserve">La versión inicial del pipeline RAG fue construida utilizando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LangChain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en Python, con la integración de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Ollama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como servidor local de inferencia. Los componentes evaluados fueron:</w:t>
      </w:r>
    </w:p>
    <w:p w14:paraId="5DCCF9AF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• Modelo LLM Local: llama3.2:latest (versiones cuantizadas Q4_K_M de 3B y 8B parámetros).</w:t>
      </w:r>
    </w:p>
    <w:p w14:paraId="1B93899D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 xml:space="preserve">• Modelo de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Embeddings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Local: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nomic-embed-text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via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Ollama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API.</w:t>
      </w:r>
    </w:p>
    <w:p w14:paraId="06131A1D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 xml:space="preserve">• Base de Datos Vectorial: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ChromaDB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con almacenamiento SQLite persistente local.</w:t>
      </w:r>
    </w:p>
    <w:p w14:paraId="25DD885A" w14:textId="77777777" w:rsidR="006A634A" w:rsidRPr="00604A2E" w:rsidRDefault="00000000" w:rsidP="00604A2E">
      <w:pPr>
        <w:keepNext/>
        <w:spacing w:before="280" w:after="8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26"/>
          <w:lang w:val="es-CO"/>
        </w:rPr>
        <w:t>3.2 Métricas Múltiples de Rendimiento Medidas</w:t>
      </w:r>
    </w:p>
    <w:p w14:paraId="3EC4B8EA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Se llevaron a cabo múltiples pruebas con preguntas de distinta complejidad académica. Las métricas recopiladas reflejan el costo computacional de ejecutar simultáneamente el motor de inferencia local junto con el pipeline RAG y la aplicación cliente: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604A2E" w:rsidRPr="00604A2E" w14:paraId="41F1A80A" w14:textId="77777777">
        <w:trPr>
          <w:jc w:val="center"/>
        </w:trPr>
        <w:tc>
          <w:tcPr>
            <w:tcW w:w="1872" w:type="dxa"/>
            <w:shd w:val="clear" w:color="auto" w:fill="1A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6C925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Arial" w:hAnsi="Arial"/>
                <w:b/>
                <w:color w:val="000000" w:themeColor="text1"/>
                <w:sz w:val="19"/>
              </w:rPr>
              <w:t xml:space="preserve">Tipo de Consulta </w:t>
            </w:r>
            <w:proofErr w:type="spellStart"/>
            <w:r w:rsidRPr="00604A2E">
              <w:rPr>
                <w:rFonts w:ascii="Arial" w:hAnsi="Arial"/>
                <w:b/>
                <w:color w:val="000000" w:themeColor="text1"/>
                <w:sz w:val="19"/>
              </w:rPr>
              <w:t>Evaluada</w:t>
            </w:r>
            <w:proofErr w:type="spellEnd"/>
          </w:p>
        </w:tc>
        <w:tc>
          <w:tcPr>
            <w:tcW w:w="1872" w:type="dxa"/>
            <w:shd w:val="clear" w:color="auto" w:fill="1A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F45A3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Arial" w:hAnsi="Arial"/>
                <w:b/>
                <w:color w:val="000000" w:themeColor="text1"/>
                <w:sz w:val="19"/>
              </w:rPr>
              <w:t>Modelo LLM</w:t>
            </w:r>
          </w:p>
        </w:tc>
        <w:tc>
          <w:tcPr>
            <w:tcW w:w="1872" w:type="dxa"/>
            <w:shd w:val="clear" w:color="auto" w:fill="1A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F7D12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Arial" w:hAnsi="Arial"/>
                <w:b/>
                <w:color w:val="000000" w:themeColor="text1"/>
                <w:sz w:val="19"/>
              </w:rPr>
              <w:t>Tiempo Primer Token (TTFT)</w:t>
            </w:r>
          </w:p>
        </w:tc>
        <w:tc>
          <w:tcPr>
            <w:tcW w:w="1872" w:type="dxa"/>
            <w:shd w:val="clear" w:color="auto" w:fill="1A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DE2E0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Arial" w:hAnsi="Arial"/>
                <w:b/>
                <w:color w:val="000000" w:themeColor="text1"/>
                <w:sz w:val="19"/>
              </w:rPr>
              <w:t>Latencia Total</w:t>
            </w:r>
          </w:p>
        </w:tc>
        <w:tc>
          <w:tcPr>
            <w:tcW w:w="1872" w:type="dxa"/>
            <w:shd w:val="clear" w:color="auto" w:fill="1A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55BDB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Arial" w:hAnsi="Arial"/>
                <w:b/>
                <w:color w:val="000000" w:themeColor="text1"/>
                <w:sz w:val="19"/>
              </w:rPr>
              <w:t>Tasa de Tokens (tok/s)</w:t>
            </w:r>
          </w:p>
        </w:tc>
      </w:tr>
      <w:tr w:rsidR="00604A2E" w:rsidRPr="00604A2E" w14:paraId="58033670" w14:textId="77777777">
        <w:trPr>
          <w:jc w:val="center"/>
        </w:trPr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C86C69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  <w:lang w:val="es-CO"/>
              </w:rPr>
              <w:t>Concepto Simple (</w:t>
            </w:r>
            <w:proofErr w:type="spellStart"/>
            <w:r w:rsidRPr="00604A2E">
              <w:rPr>
                <w:rFonts w:ascii="Calibri" w:hAnsi="Calibri"/>
                <w:color w:val="000000" w:themeColor="text1"/>
                <w:sz w:val="18"/>
                <w:lang w:val="es-CO"/>
              </w:rPr>
              <w:t>Ej</w:t>
            </w:r>
            <w:proofErr w:type="spellEnd"/>
            <w:r w:rsidRPr="00604A2E">
              <w:rPr>
                <w:rFonts w:ascii="Calibri" w:hAnsi="Calibri"/>
                <w:color w:val="000000" w:themeColor="text1"/>
                <w:sz w:val="18"/>
                <w:lang w:val="es-CO"/>
              </w:rPr>
              <w:t>: ¿Qué es el cerebelo?)</w:t>
            </w:r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F3DDC0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Llama 3.2 3B</w:t>
            </w:r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8ECDEA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4.2 s</w:t>
            </w:r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7E6891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22.5 s</w:t>
            </w:r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E655B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6.2 tok/s</w:t>
            </w:r>
          </w:p>
        </w:tc>
      </w:tr>
      <w:tr w:rsidR="00604A2E" w:rsidRPr="00604A2E" w14:paraId="4928F550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4C537D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 xml:space="preserve">Consulta RAG </w:t>
            </w:r>
            <w:proofErr w:type="spellStart"/>
            <w:r w:rsidRPr="00604A2E">
              <w:rPr>
                <w:rFonts w:ascii="Calibri" w:hAnsi="Calibri"/>
                <w:color w:val="000000" w:themeColor="text1"/>
                <w:sz w:val="18"/>
              </w:rPr>
              <w:t>Mediana</w:t>
            </w:r>
            <w:proofErr w:type="spellEnd"/>
            <w:r w:rsidRPr="00604A2E">
              <w:rPr>
                <w:rFonts w:ascii="Calibri" w:hAnsi="Calibri"/>
                <w:color w:val="000000" w:themeColor="text1"/>
                <w:sz w:val="18"/>
              </w:rPr>
              <w:t xml:space="preserve"> (1 Libro)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2B8BFF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Llama 3.2 3B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A68836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8.5 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C43989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38.0 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E02646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5.1 tok/s</w:t>
            </w:r>
          </w:p>
        </w:tc>
      </w:tr>
      <w:tr w:rsidR="00604A2E" w:rsidRPr="00604A2E" w14:paraId="64185921" w14:textId="77777777">
        <w:trPr>
          <w:jc w:val="center"/>
        </w:trPr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57EC82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  <w:lang w:val="es-CO"/>
              </w:rPr>
              <w:t>Consulta RAG Compleja (Multi-libro)</w:t>
            </w:r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190707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Llama 3.2 8B</w:t>
            </w:r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2F5C2E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14.0 s</w:t>
            </w:r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F012E0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54.2 s</w:t>
            </w:r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10DDC3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4.1 tok/s</w:t>
            </w:r>
          </w:p>
        </w:tc>
      </w:tr>
      <w:tr w:rsidR="00604A2E" w:rsidRPr="00604A2E" w14:paraId="2D55D6FD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203848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  <w:lang w:val="es-CO"/>
              </w:rPr>
              <w:t>Consulta Compleja con Unity 3D Activo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1BEE36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Llama 3.2 8B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E4F1B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19.2 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7D8F34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68.5 s (Lag/Crash)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EBBA45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2.8 tok/s</w:t>
            </w:r>
          </w:p>
        </w:tc>
      </w:tr>
    </w:tbl>
    <w:p w14:paraId="51256D4B" w14:textId="77777777" w:rsidR="006A634A" w:rsidRPr="00604A2E" w:rsidRDefault="006A634A" w:rsidP="00604A2E">
      <w:pPr>
        <w:spacing w:after="240"/>
        <w:jc w:val="both"/>
        <w:rPr>
          <w:color w:val="000000" w:themeColor="text1"/>
        </w:rPr>
      </w:pPr>
    </w:p>
    <w:p w14:paraId="23DEB7BB" w14:textId="77777777" w:rsidR="006A634A" w:rsidRPr="00604A2E" w:rsidRDefault="00000000" w:rsidP="00604A2E">
      <w:pPr>
        <w:keepNext/>
        <w:spacing w:before="280" w:after="8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26"/>
          <w:lang w:val="es-CO"/>
        </w:rPr>
        <w:t>3.3 Análisis de Cuellos de Botella Técnicos</w:t>
      </w:r>
    </w:p>
    <w:p w14:paraId="323B4079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b/>
          <w:color w:val="000000" w:themeColor="text1"/>
          <w:lang w:val="es-CO"/>
        </w:rPr>
        <w:t xml:space="preserve">a) </w:t>
      </w:r>
      <w:r w:rsidRPr="00604A2E">
        <w:rPr>
          <w:rFonts w:ascii="Calibri" w:hAnsi="Calibri"/>
          <w:color w:val="000000" w:themeColor="text1"/>
          <w:lang w:val="es-CO"/>
        </w:rPr>
        <w:t>1. Insuficiencia de Memoria VRAM Dedicada (4 GB):</w:t>
      </w:r>
    </w:p>
    <w:p w14:paraId="26253CFF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 xml:space="preserve">Los modelos de lenguaje de 8B parámetros requieren entre 5.5 GB y 8 GB de VRAM para alojar sus pesos cuantizados en memoria gráfica. Al disponer únicamente de 4 GB de VRAM en la GPU AMD Radeon Pro 5300M, el sistema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Ollama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se ve obligado a derivar la mayor parte del procesamiento a la memoria RAM del sistema a través de la CPU Intel Core i7. Esto ralentiza drásticamente la velocidad de generación de tokens.</w:t>
      </w:r>
    </w:p>
    <w:p w14:paraId="7DA1D0B5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b/>
          <w:color w:val="000000" w:themeColor="text1"/>
          <w:lang w:val="es-CO"/>
        </w:rPr>
        <w:t xml:space="preserve">b) </w:t>
      </w:r>
      <w:r w:rsidRPr="00604A2E">
        <w:rPr>
          <w:rFonts w:ascii="Calibri" w:hAnsi="Calibri"/>
          <w:color w:val="000000" w:themeColor="text1"/>
          <w:lang w:val="es-CO"/>
        </w:rPr>
        <w:t>2. Estrés Térmico y Estrangulamiento de Frecuencia (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Thermal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Throttling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>):</w:t>
      </w:r>
    </w:p>
    <w:p w14:paraId="43D0BA4C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lastRenderedPageBreak/>
        <w:t>La ejecución prolongada de inferencia en la CPU generó cargas sostenidas superiores al 88-95% en todos los núcleos. La temperatura del procesador alcanzó los 86-92 °C en menos de tres minutos de uso continuo, lo que activó el sistema de protección térmica del sistema operativo macOS, reduciendo automáticamente la frecuencia de reloj del procesador de 4.5 GHz a 1.8 GHz y acentuando la lentitud del sistema.</w:t>
      </w:r>
    </w:p>
    <w:p w14:paraId="3987C9E8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b/>
          <w:color w:val="000000" w:themeColor="text1"/>
          <w:lang w:val="es-CO"/>
        </w:rPr>
        <w:t xml:space="preserve">c) </w:t>
      </w:r>
      <w:r w:rsidRPr="00604A2E">
        <w:rPr>
          <w:rFonts w:ascii="Calibri" w:hAnsi="Calibri"/>
          <w:color w:val="000000" w:themeColor="text1"/>
          <w:lang w:val="es-CO"/>
        </w:rPr>
        <w:t>3. Incompatibilidad de Recursos con el Motor Gráfico Unity 3D:</w:t>
      </w:r>
    </w:p>
    <w:p w14:paraId="29598A05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 xml:space="preserve">Cuando la interfaz tridimensional en Unity se ejecuta simultáneamente con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Ollama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>, ambos programas compiten violentamente por la RAM y los recursos de procesamiento. Unity 3D requiere al menos 4 a 6 GB de RAM y renderizado continuo de cuadros GPU. Esta sobrecarga provocó caídas severas en la tasa de refresco (de 60 FPS a menos de 12 FPS) y micro-congelamientos de la aplicación.</w:t>
      </w:r>
    </w:p>
    <w:p w14:paraId="6B10B941" w14:textId="77777777" w:rsidR="006A634A" w:rsidRPr="00604A2E" w:rsidRDefault="00000000" w:rsidP="00604A2E">
      <w:pPr>
        <w:spacing w:before="200" w:after="80"/>
        <w:jc w:val="both"/>
        <w:rPr>
          <w:color w:val="000000" w:themeColor="text1"/>
        </w:rPr>
      </w:pPr>
      <w:r w:rsidRPr="00604A2E">
        <w:rPr>
          <w:noProof/>
          <w:color w:val="000000" w:themeColor="text1"/>
        </w:rPr>
        <w:drawing>
          <wp:inline distT="0" distB="0" distL="0" distR="0" wp14:anchorId="6EDC8E00" wp14:editId="1E408D70">
            <wp:extent cx="5303520" cy="29832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1_latenci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FF1D7" w14:textId="77777777" w:rsidR="006A634A" w:rsidRPr="00604A2E" w:rsidRDefault="00000000" w:rsidP="00604A2E">
      <w:pPr>
        <w:spacing w:after="28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i/>
          <w:color w:val="000000" w:themeColor="text1"/>
          <w:sz w:val="18"/>
          <w:lang w:val="es-CO"/>
        </w:rPr>
        <w:t>Figura 1. Comparativa empírica de latencia total de respuesta por tipo de consulta RAG.</w:t>
      </w:r>
    </w:p>
    <w:p w14:paraId="420DAF6E" w14:textId="77777777" w:rsidR="006A634A" w:rsidRPr="00604A2E" w:rsidRDefault="00000000" w:rsidP="00604A2E">
      <w:pPr>
        <w:spacing w:before="200" w:after="80"/>
        <w:jc w:val="both"/>
        <w:rPr>
          <w:color w:val="000000" w:themeColor="text1"/>
        </w:rPr>
      </w:pPr>
      <w:r w:rsidRPr="00604A2E">
        <w:rPr>
          <w:noProof/>
          <w:color w:val="000000" w:themeColor="text1"/>
        </w:rPr>
        <w:drawing>
          <wp:inline distT="0" distB="0" distL="0" distR="0" wp14:anchorId="2D7EC9D8" wp14:editId="74123A3C">
            <wp:extent cx="5303520" cy="23865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2_recursos_hardwa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FDF36" w14:textId="77777777" w:rsidR="006A634A" w:rsidRPr="00604A2E" w:rsidRDefault="00000000" w:rsidP="00604A2E">
      <w:pPr>
        <w:spacing w:after="28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i/>
          <w:color w:val="000000" w:themeColor="text1"/>
          <w:sz w:val="18"/>
          <w:lang w:val="es-CO"/>
        </w:rPr>
        <w:t>Figura 2. Consumo de Memoria RAM y sobrecarga de CPU/GPU en la máquina local de pruebas.</w:t>
      </w:r>
    </w:p>
    <w:p w14:paraId="55F2E2B2" w14:textId="77777777" w:rsidR="006A634A" w:rsidRPr="00604A2E" w:rsidRDefault="00000000" w:rsidP="00604A2E">
      <w:pPr>
        <w:keepNext/>
        <w:spacing w:before="360" w:after="12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32"/>
          <w:lang w:val="es-CO"/>
        </w:rPr>
        <w:lastRenderedPageBreak/>
        <w:t>4. COMPARATIVA DETALLADA: IA LOCAL (OLLAMA) VS. GEMINI API (CLOUD)</w:t>
      </w:r>
    </w:p>
    <w:p w14:paraId="61EFBCD3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A continuación se sintetizan los hallazgos comparativos entre ambas arquitecturas bajo un marco multicriterio enfocado en la aplicación interactiva de neuroanatomía: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04A2E" w:rsidRPr="00604A2E" w14:paraId="30A8407F" w14:textId="77777777">
        <w:trPr>
          <w:jc w:val="center"/>
        </w:trPr>
        <w:tc>
          <w:tcPr>
            <w:tcW w:w="3120" w:type="dxa"/>
            <w:shd w:val="clear" w:color="auto" w:fill="1A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BD5A6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proofErr w:type="spellStart"/>
            <w:r w:rsidRPr="00604A2E">
              <w:rPr>
                <w:rFonts w:ascii="Arial" w:hAnsi="Arial"/>
                <w:b/>
                <w:color w:val="000000" w:themeColor="text1"/>
                <w:sz w:val="19"/>
              </w:rPr>
              <w:t>Criterio</w:t>
            </w:r>
            <w:proofErr w:type="spellEnd"/>
            <w:r w:rsidRPr="00604A2E">
              <w:rPr>
                <w:rFonts w:ascii="Arial" w:hAnsi="Arial"/>
                <w:b/>
                <w:color w:val="000000" w:themeColor="text1"/>
                <w:sz w:val="19"/>
              </w:rPr>
              <w:t xml:space="preserve"> de </w:t>
            </w:r>
            <w:proofErr w:type="spellStart"/>
            <w:r w:rsidRPr="00604A2E">
              <w:rPr>
                <w:rFonts w:ascii="Arial" w:hAnsi="Arial"/>
                <w:b/>
                <w:color w:val="000000" w:themeColor="text1"/>
                <w:sz w:val="19"/>
              </w:rPr>
              <w:t>Evaluación</w:t>
            </w:r>
            <w:proofErr w:type="spellEnd"/>
          </w:p>
        </w:tc>
        <w:tc>
          <w:tcPr>
            <w:tcW w:w="3120" w:type="dxa"/>
            <w:shd w:val="clear" w:color="auto" w:fill="1A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029D5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Arial" w:hAnsi="Arial"/>
                <w:b/>
                <w:color w:val="000000" w:themeColor="text1"/>
                <w:sz w:val="19"/>
              </w:rPr>
              <w:t>IA Local (Ollama / Llama 3.2)</w:t>
            </w:r>
          </w:p>
        </w:tc>
        <w:tc>
          <w:tcPr>
            <w:tcW w:w="3120" w:type="dxa"/>
            <w:shd w:val="clear" w:color="auto" w:fill="1A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192C4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Arial" w:hAnsi="Arial"/>
                <w:b/>
                <w:color w:val="000000" w:themeColor="text1"/>
                <w:sz w:val="19"/>
              </w:rPr>
              <w:t>Google Gemini API (Cloud Services)</w:t>
            </w:r>
          </w:p>
        </w:tc>
      </w:tr>
      <w:tr w:rsidR="00604A2E" w:rsidRPr="00604A2E" w14:paraId="1A2FDD23" w14:textId="77777777">
        <w:trPr>
          <w:jc w:val="center"/>
        </w:trPr>
        <w:tc>
          <w:tcPr>
            <w:tcW w:w="312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BF1311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proofErr w:type="spellStart"/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>Tiempo</w:t>
            </w:r>
            <w:proofErr w:type="spellEnd"/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 xml:space="preserve"> de Respuesta </w:t>
            </w:r>
            <w:proofErr w:type="spellStart"/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>Promedio</w:t>
            </w:r>
            <w:proofErr w:type="spellEnd"/>
          </w:p>
        </w:tc>
        <w:tc>
          <w:tcPr>
            <w:tcW w:w="312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4B3F3A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22.5 - 54.2 segundos (Deficiente)</w:t>
            </w:r>
          </w:p>
        </w:tc>
        <w:tc>
          <w:tcPr>
            <w:tcW w:w="312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57BED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1.2 - 2.1 segundos (Excelente / Real-time)</w:t>
            </w:r>
          </w:p>
        </w:tc>
      </w:tr>
      <w:tr w:rsidR="00604A2E" w:rsidRPr="00604A2E" w14:paraId="67EAB137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43375F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>Throughput (Tokens/</w:t>
            </w:r>
            <w:proofErr w:type="spellStart"/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>segundo</w:t>
            </w:r>
            <w:proofErr w:type="spellEnd"/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>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FFF11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4.1 - 6.2 tok/s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D91AED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62.0 - 95.0 tok/s</w:t>
            </w:r>
          </w:p>
        </w:tc>
      </w:tr>
      <w:tr w:rsidR="00604A2E" w:rsidRPr="00604A2E" w14:paraId="4918B459" w14:textId="77777777">
        <w:trPr>
          <w:jc w:val="center"/>
        </w:trPr>
        <w:tc>
          <w:tcPr>
            <w:tcW w:w="312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9D70E2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b/>
                <w:color w:val="000000" w:themeColor="text1"/>
                <w:sz w:val="18"/>
                <w:lang w:val="es-CO"/>
              </w:rPr>
              <w:t>Uso de Recursos Locales (RAM/GPU)</w:t>
            </w:r>
          </w:p>
        </w:tc>
        <w:tc>
          <w:tcPr>
            <w:tcW w:w="312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006925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  <w:lang w:val="es-CO"/>
              </w:rPr>
              <w:t>Satura RAM (14.8 GB) y GPU (95%)</w:t>
            </w:r>
          </w:p>
        </w:tc>
        <w:tc>
          <w:tcPr>
            <w:tcW w:w="312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CE5828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  <w:lang w:val="es-CO"/>
              </w:rPr>
              <w:t>Casi nulo (&lt; 100 MB RAM para peticiones HTTP)</w:t>
            </w:r>
          </w:p>
        </w:tc>
      </w:tr>
      <w:tr w:rsidR="00604A2E" w:rsidRPr="00604A2E" w14:paraId="1CABA690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B9C56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 xml:space="preserve">Ventana de </w:t>
            </w:r>
            <w:proofErr w:type="spellStart"/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>Contexto</w:t>
            </w:r>
            <w:proofErr w:type="spellEnd"/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 xml:space="preserve"> RAG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397F8F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8,192 tokens (Restringido para libros)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DF7581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  <w:lang w:val="es-CO"/>
              </w:rPr>
              <w:t>1,000,000+ tokens (Permite ingresar textos enteros)</w:t>
            </w:r>
          </w:p>
        </w:tc>
      </w:tr>
      <w:tr w:rsidR="00604A2E" w:rsidRPr="00604A2E" w14:paraId="24099806" w14:textId="77777777">
        <w:trPr>
          <w:jc w:val="center"/>
        </w:trPr>
        <w:tc>
          <w:tcPr>
            <w:tcW w:w="312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21ADD8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proofErr w:type="spellStart"/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>Compatibilidad</w:t>
            </w:r>
            <w:proofErr w:type="spellEnd"/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 xml:space="preserve"> con Unity 3D</w:t>
            </w:r>
          </w:p>
        </w:tc>
        <w:tc>
          <w:tcPr>
            <w:tcW w:w="312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16EE8B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  <w:lang w:val="es-CO"/>
              </w:rPr>
              <w:t>Causa congelamiento y caídas de FPS</w:t>
            </w:r>
          </w:p>
        </w:tc>
        <w:tc>
          <w:tcPr>
            <w:tcW w:w="312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CA1161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proofErr w:type="spellStart"/>
            <w:r w:rsidRPr="00604A2E">
              <w:rPr>
                <w:rFonts w:ascii="Calibri" w:hAnsi="Calibri"/>
                <w:color w:val="000000" w:themeColor="text1"/>
                <w:sz w:val="18"/>
              </w:rPr>
              <w:t>Totalmente</w:t>
            </w:r>
            <w:proofErr w:type="spellEnd"/>
            <w:r w:rsidRPr="00604A2E">
              <w:rPr>
                <w:rFonts w:ascii="Calibri" w:hAnsi="Calibri"/>
                <w:color w:val="000000" w:themeColor="text1"/>
                <w:sz w:val="18"/>
              </w:rPr>
              <w:t xml:space="preserve"> </w:t>
            </w:r>
            <w:proofErr w:type="spellStart"/>
            <w:r w:rsidRPr="00604A2E">
              <w:rPr>
                <w:rFonts w:ascii="Calibri" w:hAnsi="Calibri"/>
                <w:color w:val="000000" w:themeColor="text1"/>
                <w:sz w:val="18"/>
              </w:rPr>
              <w:t>fluido</w:t>
            </w:r>
            <w:proofErr w:type="spellEnd"/>
            <w:r w:rsidRPr="00604A2E">
              <w:rPr>
                <w:rFonts w:ascii="Calibri" w:hAnsi="Calibri"/>
                <w:color w:val="000000" w:themeColor="text1"/>
                <w:sz w:val="18"/>
              </w:rPr>
              <w:t xml:space="preserve"> via </w:t>
            </w:r>
            <w:proofErr w:type="spellStart"/>
            <w:r w:rsidRPr="00604A2E">
              <w:rPr>
                <w:rFonts w:ascii="Calibri" w:hAnsi="Calibri"/>
                <w:color w:val="000000" w:themeColor="text1"/>
                <w:sz w:val="18"/>
              </w:rPr>
              <w:t>UnityWebRequest</w:t>
            </w:r>
            <w:proofErr w:type="spellEnd"/>
            <w:r w:rsidRPr="00604A2E">
              <w:rPr>
                <w:rFonts w:ascii="Calibri" w:hAnsi="Calibri"/>
                <w:color w:val="000000" w:themeColor="text1"/>
                <w:sz w:val="18"/>
              </w:rPr>
              <w:t xml:space="preserve"> REST API</w:t>
            </w:r>
          </w:p>
        </w:tc>
      </w:tr>
      <w:tr w:rsidR="00604A2E" w:rsidRPr="00604A2E" w14:paraId="10342825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19D33B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proofErr w:type="spellStart"/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>Escalabilidad</w:t>
            </w:r>
            <w:proofErr w:type="spellEnd"/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 xml:space="preserve"> </w:t>
            </w:r>
            <w:proofErr w:type="gramStart"/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>Multi-</w:t>
            </w:r>
            <w:proofErr w:type="spellStart"/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>usuario</w:t>
            </w:r>
            <w:proofErr w:type="spellEnd"/>
            <w:proofErr w:type="gramEnd"/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C948FD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  <w:lang w:val="es-CO"/>
              </w:rPr>
              <w:t>Imposible (1 solo usuario atora el equipo)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01E17D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  <w:lang w:val="es-CO"/>
              </w:rPr>
              <w:t>Alta (Maneja miles de peticiones en paralelo)</w:t>
            </w:r>
          </w:p>
        </w:tc>
      </w:tr>
      <w:tr w:rsidR="00604A2E" w:rsidRPr="00604A2E" w14:paraId="430A6793" w14:textId="77777777">
        <w:trPr>
          <w:jc w:val="center"/>
        </w:trPr>
        <w:tc>
          <w:tcPr>
            <w:tcW w:w="312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F4BB9B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 xml:space="preserve">Costo de </w:t>
            </w:r>
            <w:proofErr w:type="spellStart"/>
            <w:r w:rsidRPr="00604A2E">
              <w:rPr>
                <w:rFonts w:ascii="Calibri" w:hAnsi="Calibri"/>
                <w:b/>
                <w:color w:val="000000" w:themeColor="text1"/>
                <w:sz w:val="18"/>
              </w:rPr>
              <w:t>Infraestructura</w:t>
            </w:r>
            <w:proofErr w:type="spellEnd"/>
          </w:p>
        </w:tc>
        <w:tc>
          <w:tcPr>
            <w:tcW w:w="312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CDEA92" w14:textId="77777777" w:rsidR="006A634A" w:rsidRPr="00604A2E" w:rsidRDefault="00000000" w:rsidP="00604A2E">
            <w:pPr>
              <w:jc w:val="both"/>
              <w:rPr>
                <w:color w:val="000000" w:themeColor="text1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</w:rPr>
              <w:t>Requiere hardware de &gt; $2,500 USD</w:t>
            </w:r>
          </w:p>
        </w:tc>
        <w:tc>
          <w:tcPr>
            <w:tcW w:w="312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ACC4E6" w14:textId="77777777" w:rsidR="006A634A" w:rsidRPr="00604A2E" w:rsidRDefault="00000000" w:rsidP="00604A2E">
            <w:pPr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Calibri" w:hAnsi="Calibri"/>
                <w:color w:val="000000" w:themeColor="text1"/>
                <w:sz w:val="18"/>
                <w:lang w:val="es-CO"/>
              </w:rPr>
              <w:t>Plan gratuito para estudiantes (Google AI Studio)</w:t>
            </w:r>
          </w:p>
        </w:tc>
      </w:tr>
    </w:tbl>
    <w:p w14:paraId="013438D7" w14:textId="77777777" w:rsidR="006A634A" w:rsidRPr="00604A2E" w:rsidRDefault="006A634A" w:rsidP="00604A2E">
      <w:pPr>
        <w:spacing w:after="240"/>
        <w:jc w:val="both"/>
        <w:rPr>
          <w:color w:val="000000" w:themeColor="text1"/>
          <w:lang w:val="es-CO"/>
        </w:rPr>
      </w:pPr>
    </w:p>
    <w:p w14:paraId="4B7539B1" w14:textId="77777777" w:rsidR="006A634A" w:rsidRPr="00604A2E" w:rsidRDefault="00000000" w:rsidP="00604A2E">
      <w:pPr>
        <w:spacing w:before="200" w:after="80"/>
        <w:jc w:val="both"/>
        <w:rPr>
          <w:color w:val="000000" w:themeColor="text1"/>
        </w:rPr>
      </w:pPr>
      <w:r w:rsidRPr="00604A2E">
        <w:rPr>
          <w:noProof/>
          <w:color w:val="000000" w:themeColor="text1"/>
        </w:rPr>
        <w:lastRenderedPageBreak/>
        <w:drawing>
          <wp:inline distT="0" distB="0" distL="0" distR="0" wp14:anchorId="7A50F6AC" wp14:editId="0F140D76">
            <wp:extent cx="5303520" cy="29699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3_throughpu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30DDF" w14:textId="77777777" w:rsidR="006A634A" w:rsidRPr="00604A2E" w:rsidRDefault="00000000" w:rsidP="00604A2E">
      <w:pPr>
        <w:spacing w:after="28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i/>
          <w:color w:val="000000" w:themeColor="text1"/>
          <w:sz w:val="18"/>
          <w:lang w:val="es-CO"/>
        </w:rPr>
        <w:t>Figura 3. Tasa de generación de tokens por segundo (</w:t>
      </w:r>
      <w:proofErr w:type="spellStart"/>
      <w:r w:rsidRPr="00604A2E">
        <w:rPr>
          <w:rFonts w:ascii="Arial" w:hAnsi="Arial"/>
          <w:i/>
          <w:color w:val="000000" w:themeColor="text1"/>
          <w:sz w:val="18"/>
          <w:lang w:val="es-CO"/>
        </w:rPr>
        <w:t>Throughput</w:t>
      </w:r>
      <w:proofErr w:type="spellEnd"/>
      <w:r w:rsidRPr="00604A2E">
        <w:rPr>
          <w:rFonts w:ascii="Arial" w:hAnsi="Arial"/>
          <w:i/>
          <w:color w:val="000000" w:themeColor="text1"/>
          <w:sz w:val="18"/>
          <w:lang w:val="es-CO"/>
        </w:rPr>
        <w:t>) entre modelos locales y Cloud API.</w:t>
      </w:r>
    </w:p>
    <w:p w14:paraId="20A80FC3" w14:textId="77777777" w:rsidR="006A634A" w:rsidRPr="00604A2E" w:rsidRDefault="00000000" w:rsidP="00604A2E">
      <w:pPr>
        <w:spacing w:before="200" w:after="80"/>
        <w:jc w:val="both"/>
        <w:rPr>
          <w:color w:val="000000" w:themeColor="text1"/>
        </w:rPr>
      </w:pPr>
      <w:r w:rsidRPr="00604A2E">
        <w:rPr>
          <w:noProof/>
          <w:color w:val="000000" w:themeColor="text1"/>
        </w:rPr>
        <w:drawing>
          <wp:inline distT="0" distB="0" distL="0" distR="0" wp14:anchorId="0F552DC7" wp14:editId="51C9F0D3">
            <wp:extent cx="4114800" cy="379827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4_rad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79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1671B" w14:textId="77777777" w:rsidR="006A634A" w:rsidRPr="00604A2E" w:rsidRDefault="00000000" w:rsidP="00604A2E">
      <w:pPr>
        <w:spacing w:after="28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i/>
          <w:color w:val="000000" w:themeColor="text1"/>
          <w:sz w:val="18"/>
          <w:lang w:val="es-CO"/>
        </w:rPr>
        <w:t xml:space="preserve">Figura 4. Evaluación multicriterio en escala de 1 a 10 entre </w:t>
      </w:r>
      <w:proofErr w:type="spellStart"/>
      <w:r w:rsidRPr="00604A2E">
        <w:rPr>
          <w:rFonts w:ascii="Arial" w:hAnsi="Arial"/>
          <w:i/>
          <w:color w:val="000000" w:themeColor="text1"/>
          <w:sz w:val="18"/>
          <w:lang w:val="es-CO"/>
        </w:rPr>
        <w:t>Ollama</w:t>
      </w:r>
      <w:proofErr w:type="spellEnd"/>
      <w:r w:rsidRPr="00604A2E">
        <w:rPr>
          <w:rFonts w:ascii="Arial" w:hAnsi="Arial"/>
          <w:i/>
          <w:color w:val="000000" w:themeColor="text1"/>
          <w:sz w:val="18"/>
          <w:lang w:val="es-CO"/>
        </w:rPr>
        <w:t xml:space="preserve"> (Local) y Gemini API (Cloud).</w:t>
      </w:r>
    </w:p>
    <w:p w14:paraId="1B8D6AA6" w14:textId="77777777" w:rsidR="006A634A" w:rsidRPr="00604A2E" w:rsidRDefault="00000000" w:rsidP="00604A2E">
      <w:pPr>
        <w:keepNext/>
        <w:spacing w:before="280" w:after="8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26"/>
          <w:lang w:val="es-CO"/>
        </w:rPr>
        <w:t>4.1 Ventajas y Desventajas de la IA Local</w:t>
      </w:r>
    </w:p>
    <w:p w14:paraId="1B41351A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• Ventajas: Privacidad absoluta de datos y funcionamiento sin conexión a internet.</w:t>
      </w:r>
    </w:p>
    <w:p w14:paraId="2F9EF545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lastRenderedPageBreak/>
        <w:t>• Desventajas: Requiere hardware extremadamente costoso (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GPUs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clase RTX 4080 o Apple Silicon M2/M3 Max con memoria unificada de &gt; 32 GB), respuesta hiper-lenta en laptops estándar, agotamiento acelerado de batería y nula capacidad de servir peticiones a múltiples usuarios simultáneos.</w:t>
      </w:r>
    </w:p>
    <w:p w14:paraId="00343535" w14:textId="77777777" w:rsidR="006A634A" w:rsidRPr="00604A2E" w:rsidRDefault="00000000" w:rsidP="00604A2E">
      <w:pPr>
        <w:keepNext/>
        <w:spacing w:before="280" w:after="8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26"/>
          <w:lang w:val="es-CO"/>
        </w:rPr>
        <w:t>4.2 Ventajas y Desventajas de Gemini API</w:t>
      </w:r>
    </w:p>
    <w:p w14:paraId="6DE9DD43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• Ventajas: Respuestas ultra-rápidas en tiempo real (&lt; 2 segundos), cero carga en el dispositivo del estudiante, capacidad de razonar sobre documentos extensos con una ventana de contexto de 1 a 2 millones de tokens, e integración limpia mediante llamadas HTTP REST.</w:t>
      </w:r>
    </w:p>
    <w:p w14:paraId="3FDA3739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 xml:space="preserve">• Desventajas: Requiere conexión a internet activa para consultar el modelo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cloud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>.</w:t>
      </w:r>
    </w:p>
    <w:p w14:paraId="31854C84" w14:textId="77777777" w:rsidR="006A634A" w:rsidRPr="00604A2E" w:rsidRDefault="00000000" w:rsidP="00604A2E">
      <w:pPr>
        <w:keepNext/>
        <w:spacing w:before="280" w:after="8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26"/>
          <w:lang w:val="es-CO"/>
        </w:rPr>
        <w:t>4.3 Opciones para Estudiantes y Despliegue Gratuito</w:t>
      </w:r>
    </w:p>
    <w:p w14:paraId="61D53061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Google proporciona a estudiantes e investigadores el programa Google AI Studio, el cual incluye acceso gratuito al modelo Gemini 1.5 Flash con un límite generoso de hasta 15 peticiones por minuto (RPM) y 1,500 peticiones por día sin costo alguno. Esta cuota es perfectamente suficiente para sostener la etapa de pruebas, evaluación y despliegue del proyecto académico de la Konrad Lorenz.</w:t>
      </w:r>
    </w:p>
    <w:p w14:paraId="4AADDD91" w14:textId="77777777" w:rsidR="006A634A" w:rsidRPr="00604A2E" w:rsidRDefault="00000000" w:rsidP="00604A2E">
      <w:pPr>
        <w:keepNext/>
        <w:spacing w:before="360" w:after="12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32"/>
          <w:lang w:val="es-CO"/>
        </w:rPr>
        <w:t>5. JUSTIFICACIÓN FINAL Y ARQUITECTURA DEL SISTEMA</w:t>
      </w:r>
    </w:p>
    <w:p w14:paraId="0B19E5D6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 xml:space="preserve">Tras finalizar la fase de experimentación empírica, la decisión del equipo de desarrollo fue unánime: la arquitectura debe adoptar la API de Gemini como motor principal de inferencia LLM y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embeddings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>.</w:t>
      </w:r>
    </w:p>
    <w:p w14:paraId="7B92F444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La arquitectura del sistema queda estructurada en tres capas bien definidas:</w:t>
      </w:r>
    </w:p>
    <w:p w14:paraId="4FB1D761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1. Capa de Presentación (Front-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End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Unity 3D / Web): Interfaz gráfica inmersiva que renderiza los modelos 3D neuroanatómicos y gestiona el chat mediante peticiones asíncronas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UnityWebRequest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hacia el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backend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API REST.</w:t>
      </w:r>
    </w:p>
    <w:p w14:paraId="74A075AF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2. Capa de Servicios y Lógica RAG (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Backend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Cloud Servidor): Desplegado en un contenedor ligero en plataformas como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Firebase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Hosting / Cloud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Functions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,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Vercel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o Render. Recibe la consulta del usuario, recupera los vectores relevantes desde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ChromaDB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/ Cloud DB y construye el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prompt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sintético.</w:t>
      </w:r>
    </w:p>
    <w:p w14:paraId="4ACFA56C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3. Capa de Inferencia AI (Google Gemini API): Procesa el contexto y la consulta académica en la nube de Google, devolviendo la respuesta estructurada en menos de 1.5 segundos.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04A2E" w:rsidRPr="00604A2E" w14:paraId="68EDFB05" w14:textId="77777777">
        <w:trPr>
          <w:jc w:val="center"/>
        </w:trPr>
        <w:tc>
          <w:tcPr>
            <w:tcW w:w="9360" w:type="dxa"/>
            <w:tcBorders>
              <w:left w:val="single" w:sz="36" w:space="0" w:color="3182CE"/>
            </w:tcBorders>
            <w:shd w:val="clear" w:color="auto" w:fill="EBF8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B09FAFA" w14:textId="77777777" w:rsidR="006A634A" w:rsidRPr="00604A2E" w:rsidRDefault="00000000" w:rsidP="00604A2E">
            <w:pPr>
              <w:spacing w:after="80"/>
              <w:jc w:val="both"/>
              <w:rPr>
                <w:color w:val="000000" w:themeColor="text1"/>
                <w:lang w:val="es-CO"/>
              </w:rPr>
            </w:pPr>
            <w:r w:rsidRPr="00604A2E">
              <w:rPr>
                <w:rFonts w:ascii="Arial" w:hAnsi="Arial"/>
                <w:b/>
                <w:color w:val="000000" w:themeColor="text1"/>
                <w:sz w:val="21"/>
              </w:rPr>
              <w:t>💡</w:t>
            </w:r>
            <w:r w:rsidRPr="00604A2E">
              <w:rPr>
                <w:rFonts w:ascii="Arial" w:hAnsi="Arial"/>
                <w:b/>
                <w:color w:val="000000" w:themeColor="text1"/>
                <w:sz w:val="21"/>
                <w:lang w:val="es-CO"/>
              </w:rPr>
              <w:t xml:space="preserve"> BENEFICIO ARQUITECTÓNICO FINAL</w:t>
            </w:r>
            <w:r w:rsidRPr="00604A2E">
              <w:rPr>
                <w:rFonts w:ascii="Arial" w:hAnsi="Arial"/>
                <w:b/>
                <w:color w:val="000000" w:themeColor="text1"/>
                <w:sz w:val="21"/>
                <w:lang w:val="es-CO"/>
              </w:rPr>
              <w:br/>
            </w:r>
            <w:r w:rsidRPr="00604A2E">
              <w:rPr>
                <w:rFonts w:ascii="Calibri" w:hAnsi="Calibri"/>
                <w:i/>
                <w:color w:val="000000" w:themeColor="text1"/>
                <w:sz w:val="20"/>
                <w:lang w:val="es-CO"/>
              </w:rPr>
              <w:t xml:space="preserve">Esta arquitectura desacoplada garantiza que la aplicación cliente en </w:t>
            </w:r>
            <w:proofErr w:type="gramStart"/>
            <w:r w:rsidRPr="00604A2E">
              <w:rPr>
                <w:rFonts w:ascii="Calibri" w:hAnsi="Calibri"/>
                <w:i/>
                <w:color w:val="000000" w:themeColor="text1"/>
                <w:sz w:val="20"/>
                <w:lang w:val="es-CO"/>
              </w:rPr>
              <w:t>Unity sea</w:t>
            </w:r>
            <w:proofErr w:type="gramEnd"/>
            <w:r w:rsidRPr="00604A2E">
              <w:rPr>
                <w:rFonts w:ascii="Calibri" w:hAnsi="Calibri"/>
                <w:i/>
                <w:color w:val="000000" w:themeColor="text1"/>
                <w:sz w:val="20"/>
                <w:lang w:val="es-CO"/>
              </w:rPr>
              <w:t xml:space="preserve"> liviana (menos de 50 MB de ejecutable), se pueda compilar para cualquier plataforma (Windows, macOS, </w:t>
            </w:r>
            <w:proofErr w:type="spellStart"/>
            <w:r w:rsidRPr="00604A2E">
              <w:rPr>
                <w:rFonts w:ascii="Calibri" w:hAnsi="Calibri"/>
                <w:i/>
                <w:color w:val="000000" w:themeColor="text1"/>
                <w:sz w:val="20"/>
                <w:lang w:val="es-CO"/>
              </w:rPr>
              <w:t>WebGL</w:t>
            </w:r>
            <w:proofErr w:type="spellEnd"/>
            <w:r w:rsidRPr="00604A2E">
              <w:rPr>
                <w:rFonts w:ascii="Calibri" w:hAnsi="Calibri"/>
                <w:i/>
                <w:color w:val="000000" w:themeColor="text1"/>
                <w:sz w:val="20"/>
                <w:lang w:val="es-CO"/>
              </w:rPr>
              <w:t xml:space="preserve"> o dispositivos móviles) y no exija tarjetas de video dedicadas a los estudiantes.</w:t>
            </w:r>
          </w:p>
        </w:tc>
      </w:tr>
    </w:tbl>
    <w:p w14:paraId="0CC3E37C" w14:textId="77777777" w:rsidR="006A634A" w:rsidRPr="00604A2E" w:rsidRDefault="006A634A" w:rsidP="00604A2E">
      <w:pPr>
        <w:spacing w:after="120"/>
        <w:jc w:val="both"/>
        <w:rPr>
          <w:color w:val="000000" w:themeColor="text1"/>
          <w:lang w:val="es-CO"/>
        </w:rPr>
      </w:pPr>
    </w:p>
    <w:p w14:paraId="51FAB867" w14:textId="77777777" w:rsidR="006A634A" w:rsidRPr="00604A2E" w:rsidRDefault="00000000" w:rsidP="00604A2E">
      <w:pPr>
        <w:keepNext/>
        <w:spacing w:before="360" w:after="12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32"/>
          <w:lang w:val="es-CO"/>
        </w:rPr>
        <w:lastRenderedPageBreak/>
        <w:t>6. HOJA DE RUTA E INSTRUCCIONES PARA LOS SIGUIENTES PASOS</w:t>
      </w:r>
    </w:p>
    <w:p w14:paraId="1A8135A4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Para culminar la implementación completa del proyecto conforme a los requerimientos planteados, se ejecutará el siguiente plan de trabajo estructurado en tres fases estratégicas:</w:t>
      </w:r>
    </w:p>
    <w:p w14:paraId="69F38F78" w14:textId="77777777" w:rsidR="006A634A" w:rsidRPr="00604A2E" w:rsidRDefault="00000000" w:rsidP="00604A2E">
      <w:pPr>
        <w:keepNext/>
        <w:spacing w:before="280" w:after="8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26"/>
          <w:lang w:val="es-CO"/>
        </w:rPr>
        <w:t>Paso 1: Actualización del Pipeline RAG a Gemini API</w:t>
      </w:r>
    </w:p>
    <w:p w14:paraId="3FD3E5F4" w14:textId="023681FE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Se</w:t>
      </w:r>
      <w:r w:rsidR="00604A2E">
        <w:rPr>
          <w:rFonts w:ascii="Calibri" w:hAnsi="Calibri"/>
          <w:color w:val="000000" w:themeColor="text1"/>
          <w:lang w:val="es-CO"/>
        </w:rPr>
        <w:t xml:space="preserve"> </w:t>
      </w:r>
      <w:r w:rsidRPr="00604A2E">
        <w:rPr>
          <w:rFonts w:ascii="Calibri" w:hAnsi="Calibri"/>
          <w:color w:val="000000" w:themeColor="text1"/>
          <w:lang w:val="es-CO"/>
        </w:rPr>
        <w:t xml:space="preserve">sustituirán las clases de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OllamaEmbeddings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y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ChatOllama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en `rag_pipeline.py` por `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GoogleGenerativeAIEmbeddings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>` (modelo text-embedding-004) y `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ChatGoogleGenerativeAI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>` (modelo gemini-1.5-flash) pertenecientes a la librería `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langchain-google-genai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>`.</w:t>
      </w:r>
    </w:p>
    <w:p w14:paraId="3F29A90B" w14:textId="77777777" w:rsidR="006A634A" w:rsidRPr="00604A2E" w:rsidRDefault="00000000" w:rsidP="00604A2E">
      <w:pPr>
        <w:keepNext/>
        <w:spacing w:before="280" w:after="8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26"/>
          <w:lang w:val="es-CO"/>
        </w:rPr>
        <w:t>Paso 2: Configuración de Hosting Gratuito y Cuenta Estudiantil</w:t>
      </w:r>
    </w:p>
    <w:p w14:paraId="3C46D7F3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 xml:space="preserve">Se registrará la cuenta institucional de la universidad en Google Cloud /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Firebase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Hosting o plataformas de microservicios gratuitas (Render /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Vercel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/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Railway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). Se configurarán las variables de entorno (`GEMINI_API_KEY`) de forma segura en la nube para exponer un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endpoint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HTTPS público.</w:t>
      </w:r>
    </w:p>
    <w:p w14:paraId="04D74DA9" w14:textId="77777777" w:rsidR="006A634A" w:rsidRPr="00604A2E" w:rsidRDefault="00000000" w:rsidP="00604A2E">
      <w:pPr>
        <w:keepNext/>
        <w:spacing w:before="280" w:after="8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26"/>
          <w:lang w:val="es-CO"/>
        </w:rPr>
        <w:t>Paso 3: Construcción de la Interfaz Inicial en Unity 3D</w:t>
      </w:r>
    </w:p>
    <w:p w14:paraId="52CB11B4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 xml:space="preserve">Se creará la escena principal en Unity 3D compuesta por un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Canvas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de UI con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ScrollView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para el historial de mensajes,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InputField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para la entrada de preguntas, botones interactivos de envío y un gestor de red C# (`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NeuroChatController.cs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`) que realiza llamadas REST asíncronas hacia el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backend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en la nube.</w:t>
      </w:r>
    </w:p>
    <w:p w14:paraId="537300E7" w14:textId="77777777" w:rsidR="006A634A" w:rsidRPr="00604A2E" w:rsidRDefault="00000000" w:rsidP="00604A2E">
      <w:pPr>
        <w:keepNext/>
        <w:spacing w:before="360" w:after="120"/>
        <w:jc w:val="both"/>
        <w:rPr>
          <w:color w:val="000000" w:themeColor="text1"/>
          <w:lang w:val="es-CO"/>
        </w:rPr>
      </w:pPr>
      <w:r w:rsidRPr="00604A2E">
        <w:rPr>
          <w:rFonts w:ascii="Arial" w:hAnsi="Arial"/>
          <w:b/>
          <w:color w:val="000000" w:themeColor="text1"/>
          <w:sz w:val="32"/>
          <w:lang w:val="es-CO"/>
        </w:rPr>
        <w:t>7. CONCLUSIONES Y RECOMENDACIONES</w:t>
      </w:r>
    </w:p>
    <w:p w14:paraId="7DF687F0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 xml:space="preserve">1. La inferencia local de IA mediante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Ollama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en equipos portátiles de especificaciones medias (como la MacBook Pro Intel i7 con 4 GB VRAM) resulta inviable para aplicaciones interactivas en tiempo real combinadas con motores gráficos como Unity 3D.</w:t>
      </w:r>
    </w:p>
    <w:p w14:paraId="75CA0336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>2. La adopción de la API de Google Gemini mejora la velocidad de respuesta de 38-54 segundos a tan solo 1.2-2.1 segundos, representando un incremento de eficiencia de 18x y permitiendo una experiencia de usuario totalmente fluida.</w:t>
      </w:r>
    </w:p>
    <w:p w14:paraId="61EA26BA" w14:textId="77777777" w:rsidR="006A634A" w:rsidRPr="00604A2E" w:rsidRDefault="00000000" w:rsidP="00604A2E">
      <w:pPr>
        <w:spacing w:after="120"/>
        <w:jc w:val="both"/>
        <w:rPr>
          <w:color w:val="000000" w:themeColor="text1"/>
          <w:lang w:val="es-CO"/>
        </w:rPr>
      </w:pPr>
      <w:r w:rsidRPr="00604A2E">
        <w:rPr>
          <w:rFonts w:ascii="Calibri" w:hAnsi="Calibri"/>
          <w:color w:val="000000" w:themeColor="text1"/>
          <w:lang w:val="es-CO"/>
        </w:rPr>
        <w:t xml:space="preserve">3. El aprovechamiento de la cuota gratuita para desarrollo académico en Google AI Studio permite operar el </w:t>
      </w:r>
      <w:proofErr w:type="spellStart"/>
      <w:r w:rsidRPr="00604A2E">
        <w:rPr>
          <w:rFonts w:ascii="Calibri" w:hAnsi="Calibri"/>
          <w:color w:val="000000" w:themeColor="text1"/>
          <w:lang w:val="es-CO"/>
        </w:rPr>
        <w:t>backend</w:t>
      </w:r>
      <w:proofErr w:type="spellEnd"/>
      <w:r w:rsidRPr="00604A2E">
        <w:rPr>
          <w:rFonts w:ascii="Calibri" w:hAnsi="Calibri"/>
          <w:color w:val="000000" w:themeColor="text1"/>
          <w:lang w:val="es-CO"/>
        </w:rPr>
        <w:t xml:space="preserve"> sin generar costos financieros para la universidad durante la etapa lectiva y de pruebas de tesis.</w:t>
      </w:r>
    </w:p>
    <w:sectPr w:rsidR="006A634A" w:rsidRPr="00604A2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9217131">
    <w:abstractNumId w:val="8"/>
  </w:num>
  <w:num w:numId="2" w16cid:durableId="1862350324">
    <w:abstractNumId w:val="6"/>
  </w:num>
  <w:num w:numId="3" w16cid:durableId="2097556895">
    <w:abstractNumId w:val="5"/>
  </w:num>
  <w:num w:numId="4" w16cid:durableId="1834489123">
    <w:abstractNumId w:val="4"/>
  </w:num>
  <w:num w:numId="5" w16cid:durableId="497892071">
    <w:abstractNumId w:val="7"/>
  </w:num>
  <w:num w:numId="6" w16cid:durableId="391125582">
    <w:abstractNumId w:val="3"/>
  </w:num>
  <w:num w:numId="7" w16cid:durableId="1234702154">
    <w:abstractNumId w:val="2"/>
  </w:num>
  <w:num w:numId="8" w16cid:durableId="1241721554">
    <w:abstractNumId w:val="1"/>
  </w:num>
  <w:num w:numId="9" w16cid:durableId="610747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69D6"/>
    <w:rsid w:val="00604A2E"/>
    <w:rsid w:val="006A634A"/>
    <w:rsid w:val="00AA1D8D"/>
    <w:rsid w:val="00B47730"/>
    <w:rsid w:val="00C16B2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5EFE51"/>
  <w14:defaultImageDpi w14:val="300"/>
  <w15:docId w15:val="{10B6645E-59A8-0049-B911-5805FD784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2154</Words>
  <Characters>11849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Viviana Marcela Garcia Valderrama</cp:lastModifiedBy>
  <cp:revision>3</cp:revision>
  <dcterms:created xsi:type="dcterms:W3CDTF">2013-12-23T23:15:00Z</dcterms:created>
  <dcterms:modified xsi:type="dcterms:W3CDTF">2026-08-17T16:08:00Z</dcterms:modified>
  <cp:category/>
</cp:coreProperties>
</file>