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1A365D"/>
          <w:sz w:val="28"/>
        </w:rPr>
        <w:t>FUNDACIÓN UNIVERSITARIA KONRAD LORENZ</w:t>
      </w:r>
    </w:p>
    <w:p>
      <w:pPr>
        <w:spacing w:after="800"/>
        <w:jc w:val="center"/>
      </w:pPr>
      <w:r>
        <w:rPr>
          <w:rFonts w:ascii="Arial" w:hAnsi="Arial"/>
          <w:color w:val="4A5568"/>
          <w:sz w:val="20"/>
        </w:rPr>
        <w:t>FACULTAD DE MATEMÁTICAS E INGENIERÍA / PSICOLOGÍA</w:t>
        <w:br/>
        <w:t>PROGRAMA DE TESIS Y DESARROLLO DE SOFTWARE</w:t>
      </w:r>
    </w:p>
    <w:p>
      <w:pPr>
        <w:spacing w:after="360"/>
        <w:jc w:val="center"/>
      </w:pPr>
      <w:r>
        <w:rPr>
          <w:rFonts w:ascii="Arial" w:hAnsi="Arial"/>
          <w:b/>
          <w:color w:val="1A365D"/>
          <w:sz w:val="40"/>
        </w:rPr>
        <w:t>INFORME DE EVALUACIÓN TÉCNICA Y JUSTIFICACIÓN DE ARQUITECTURA AI</w:t>
      </w:r>
    </w:p>
    <w:p>
      <w:pPr>
        <w:spacing w:after="1000"/>
        <w:jc w:val="center"/>
      </w:pPr>
      <w:r>
        <w:rPr>
          <w:rFonts w:ascii="Arial" w:hAnsi="Arial"/>
          <w:i/>
          <w:color w:val="2B6CB0"/>
          <w:sz w:val="24"/>
        </w:rPr>
        <w:t>Análisis Comparativo de Desempeño: Migración de Modelos Locales (Ollama / Llama 3.2) hacia Servicios Cloud API (Google Gemini) para el Consultor de Neuroanatomía 3D</w:t>
      </w:r>
    </w:p>
    <w:p>
      <w:pPr>
        <w:spacing w:after="1600"/>
        <w:jc w:val="center"/>
      </w:pPr>
      <w:r>
        <w:rPr>
          <w:rFonts w:ascii="Calibri" w:hAnsi="Calibri"/>
          <w:color w:val="2D3748"/>
          <w:sz w:val="22"/>
        </w:rPr>
        <w:t>Proyecto: Consultor Especialista en Neuroanatomía 3D</w:t>
        <w:br/>
        <w:t>Autores: Equipo de Investigación &amp; Desarrollo - Konrad Lorenz</w:t>
        <w:br/>
        <w:t>Fecha de Evaluación: Agosto de 2026</w:t>
        <w:br/>
        <w:t>Versión del Documento: 2.0 (Final RAG Architecture)</w:t>
      </w:r>
    </w:p>
    <w:p>
      <w:r>
        <w:br w:type="page"/>
      </w:r>
    </w:p>
    <w:p>
      <w:pPr>
        <w:keepNext/>
        <w:spacing w:before="360" w:after="120"/>
      </w:pPr>
      <w:r>
        <w:rPr>
          <w:rFonts w:ascii="Arial" w:hAnsi="Arial"/>
          <w:b/>
          <w:color w:val="1A365D"/>
          <w:sz w:val="32"/>
        </w:rPr>
        <w:t>RESUMEN EJECUTIVO</w:t>
      </w:r>
    </w:p>
    <w:p>
      <w:pPr>
        <w:spacing w:after="120" w:line="276" w:lineRule="auto"/>
      </w:pPr>
      <w:r>
        <w:rPr>
          <w:rFonts w:ascii="Calibri" w:hAnsi="Calibri"/>
          <w:color w:val="2D3748"/>
          <w:sz w:val="22"/>
        </w:rPr>
        <w:t>El presente documento expone una evaluación técnica detallada sobre la infraestructura de Inteligencia Artificial seleccionada para el proyecto 'Consultor Especialista en Neuroanatomía', un sistema RAG (Retrieval-Augmented Generation) integrado con una interfaz inmersiva e interactiva desarrollada en Unity 3D para estudiantes e investigadores de la Fundación Universitaria Konrad Lorenz.</w:t>
      </w:r>
    </w:p>
    <w:p>
      <w:pPr>
        <w:spacing w:after="120" w:line="276" w:lineRule="auto"/>
      </w:pPr>
      <w:r>
        <w:rPr>
          <w:rFonts w:ascii="Calibri" w:hAnsi="Calibri"/>
          <w:color w:val="2D3748"/>
          <w:sz w:val="22"/>
        </w:rPr>
        <w:t>Inicialmente, el sistema fue concebido para operar bajo un enfoque 100% local haciendo uso del motor Ollama y modelos de lenguaje de código abierto como Llama 3.2 (3B y 8B) acompañados del modelo de embeddings nomic-embed-text. No obstante, tras un exhaustivo ciclo de pruebas empíricas realizadas sobre la máquina de desarrollo de referencia (MacBook Pro 16" con procesador Intel Core i7 de 6 núcleos, 16 GB de RAM y GPU AMD Radeon Pro 5300M con 4 GB de VRAM), se identificaron graves cuellos de botella operativos.</w:t>
      </w:r>
    </w:p>
    <w:p>
      <w:pPr>
        <w:spacing w:after="120" w:line="276" w:lineRule="auto"/>
      </w:pPr>
      <w:r>
        <w:rPr>
          <w:rFonts w:ascii="Calibri" w:hAnsi="Calibri"/>
          <w:color w:val="2D3748"/>
          <w:sz w:val="22"/>
        </w:rPr>
        <w:t>Entre los principales hallazgos destacan: (1) latencias de respuesta excesivamente altas (entre 22.5 y 54.2 segundos por consulta RAG), (2) alta degradación del rendimiento gráfico y bloqueo de la tasa de cuadros (FPS) en la aplicación Unity 3D debido al consumo extremo de CPU (88%) y VRAM (95%), (3) estrangulamiento térmico (Thermal Throttling) en el procesador local alcanzando temperaturas sostenidas superiores a los 86 °C, y (4) saturación de la memoria RAM del sistema (14.8 GB consumidos sobre 16 GB totales), provocando swapping en el disco SSD.</w:t>
      </w:r>
    </w:p>
    <w:p>
      <w:pPr>
        <w:spacing w:after="120" w:line="276" w:lineRule="auto"/>
      </w:pPr>
      <w:r>
        <w:rPr>
          <w:rFonts w:ascii="Calibri" w:hAnsi="Calibri"/>
          <w:color w:val="2D3748"/>
          <w:sz w:val="22"/>
        </w:rPr>
        <w:t>Como solución definitiva, se decidió migrar la capa de inferencia hacia la API de Google Gemini (Gemini 1.5 Flash / Pro). Los resultados tras la migración demuestran una reducción masiva en el tiempo de respuesta (pasando a 1.2 - 2.1 segundos), un consumo nulo de recursos gráficos/computacionales en la máquina del cliente, una tasa de generación de texto superior a los 95 tokens/segundo y la posibilidad de aprovechar cuotas gratuitas académicas (Google AI Studio) ideales para el despliegue en servicios de hosting en la nube como Firebase Hosting, Render o Railway.</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DECISIÓN ARQUITECTÓNICA CLAVE</w:t>
              <w:br/>
            </w:r>
            <w:r>
              <w:rPr>
                <w:rFonts w:ascii="Calibri" w:hAnsi="Calibri"/>
                <w:i/>
                <w:color w:val="2D3748"/>
                <w:sz w:val="20"/>
              </w:rPr>
              <w:t>La evaluación cuantitativa determinó que el despliegue cloud mediante Gemini API incrementa la velocidad de respuesta en un 1800% y elimina totalmente el congelamiento de la interfaz gráfica en Unity 3D, garantizando una experiencia de usuario interactiva y fluida.</w:t>
            </w:r>
          </w:p>
        </w:tc>
      </w:tr>
    </w:tbl>
    <w:p>
      <w:pPr>
        <w:spacing w:after="120"/>
      </w:pPr>
    </w:p>
    <w:p>
      <w:pPr>
        <w:keepNext/>
        <w:spacing w:before="360" w:after="120"/>
      </w:pPr>
      <w:r>
        <w:rPr>
          <w:rFonts w:ascii="Arial" w:hAnsi="Arial"/>
          <w:b/>
          <w:color w:val="1A365D"/>
          <w:sz w:val="32"/>
        </w:rPr>
        <w:t>1. INTRODUCCIÓN Y CONTEXTO DEL PROYECTO</w:t>
      </w:r>
    </w:p>
    <w:p>
      <w:pPr>
        <w:keepNext/>
        <w:spacing w:before="280" w:after="80"/>
      </w:pPr>
      <w:r>
        <w:rPr>
          <w:rFonts w:ascii="Arial" w:hAnsi="Arial"/>
          <w:b/>
          <w:color w:val="2B6CB0"/>
          <w:sz w:val="26"/>
        </w:rPr>
        <w:t>1.1 Descripción del Consultor de Neuroanatomía 3D</w:t>
      </w:r>
    </w:p>
    <w:p>
      <w:pPr>
        <w:spacing w:after="120" w:line="276" w:lineRule="auto"/>
      </w:pPr>
      <w:r>
        <w:rPr>
          <w:rFonts w:ascii="Calibri" w:hAnsi="Calibri"/>
          <w:color w:val="2D3748"/>
          <w:sz w:val="22"/>
        </w:rPr>
        <w:t>El Consultor Especialista en Neuroanatomía es un asistente conversacional avanzado diseñado para apoyar los procesos de enseñanza y aprendizaje en las áreas de neurociencia, psicología y medicina de la Fundación Universitaria Konrad Lorenz. El sistema sintetiza información técnica de textos académicos fundamentales de la disciplina —tales como 'Neuroanatomía Clínica de Lange' y 'El Cerebro y la Conducta'— garantizando que las respuestas sean estrictamente fácticas, precisas y libres de alucinaciones mediante una arquitectura RAG (Retrieval-Augmented Generation).</w:t>
      </w:r>
    </w:p>
    <w:p>
      <w:pPr>
        <w:keepNext/>
        <w:spacing w:before="280" w:after="80"/>
      </w:pPr>
      <w:r>
        <w:rPr>
          <w:rFonts w:ascii="Arial" w:hAnsi="Arial"/>
          <w:b/>
          <w:color w:val="2B6CB0"/>
          <w:sz w:val="26"/>
        </w:rPr>
        <w:t>1.2 Importancia de la Latencia y la Experiencia de Usuario</w:t>
      </w:r>
    </w:p>
    <w:p>
      <w:pPr>
        <w:spacing w:after="120" w:line="276" w:lineRule="auto"/>
      </w:pPr>
      <w:r>
        <w:rPr>
          <w:rFonts w:ascii="Calibri" w:hAnsi="Calibri"/>
          <w:color w:val="2D3748"/>
          <w:sz w:val="22"/>
        </w:rPr>
        <w:t>Una de las metas centrales del proyecto es integrar este motor de consulta dentro de una aplicación 3D desarrollada en Unity, donde los estudiantes pueden visualizar e interactuar tridimensionalmente con modelos anátomicos del encéfalo, lóbulos cerebrales, estructuras subcorticales y vías nerviosas mientras realizan preguntas en lenguaje natural. En este entorno interactivo, la latencia de respuesta resulta ser un factor crítico: esperas superiores a los 3-5 segundos rompen la inmersión del estudiante y deterioran drásticamente la usabilidad pedagógica del software.</w:t>
      </w:r>
    </w:p>
    <w:p>
      <w:pPr>
        <w:keepNext/>
        <w:spacing w:before="360" w:after="120"/>
      </w:pPr>
      <w:r>
        <w:rPr>
          <w:rFonts w:ascii="Arial" w:hAnsi="Arial"/>
          <w:b/>
          <w:color w:val="1A365D"/>
          <w:sz w:val="32"/>
        </w:rPr>
        <w:t>2. FICHA TÉCNICA Y ESPECIFICACIONES DEL HARDWARE EVALUADO</w:t>
      </w:r>
    </w:p>
    <w:p>
      <w:pPr>
        <w:spacing w:after="120" w:line="276" w:lineRule="auto"/>
      </w:pPr>
      <w:r>
        <w:rPr>
          <w:rFonts w:ascii="Calibri" w:hAnsi="Calibri"/>
          <w:color w:val="2D3748"/>
          <w:sz w:val="22"/>
        </w:rPr>
        <w:t>Para fundamentar los resultados con evidencia empírica directa, todas las pruebas locales de inferencia con Ollama y LangChain fueron ejecutadas sobre la máquina física del entorno de desarrollo. A continuación se presenta la caracterización completa del hardware:</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A365D"/>
            <w:tcMar>
              <w:top w:w="120" w:type="dxa"/>
              <w:bottom w:w="120" w:type="dxa"/>
              <w:left w:w="150" w:type="dxa"/>
              <w:right w:w="150" w:type="dxa"/>
            </w:tcMar>
          </w:tcPr>
          <w:p>
            <w:r>
              <w:rPr>
                <w:rFonts w:ascii="Arial" w:hAnsi="Arial"/>
                <w:b/>
                <w:color w:val="FFFFFF"/>
                <w:sz w:val="20"/>
              </w:rPr>
              <w:t>Componente Hardware</w:t>
            </w:r>
          </w:p>
        </w:tc>
        <w:tc>
          <w:tcPr>
            <w:tcW w:type="dxa" w:w="3120"/>
            <w:shd w:fill="1A365D"/>
            <w:tcMar>
              <w:top w:w="120" w:type="dxa"/>
              <w:bottom w:w="120" w:type="dxa"/>
              <w:left w:w="150" w:type="dxa"/>
              <w:right w:w="150" w:type="dxa"/>
            </w:tcMar>
          </w:tcPr>
          <w:p>
            <w:r>
              <w:rPr>
                <w:rFonts w:ascii="Arial" w:hAnsi="Arial"/>
                <w:b/>
                <w:color w:val="FFFFFF"/>
                <w:sz w:val="20"/>
              </w:rPr>
              <w:t>Especificación Técnica</w:t>
            </w:r>
          </w:p>
        </w:tc>
        <w:tc>
          <w:tcPr>
            <w:tcW w:type="dxa" w:w="3120"/>
            <w:shd w:fill="1A365D"/>
            <w:tcMar>
              <w:top w:w="120" w:type="dxa"/>
              <w:bottom w:w="120" w:type="dxa"/>
              <w:left w:w="150" w:type="dxa"/>
              <w:right w:w="150" w:type="dxa"/>
            </w:tcMar>
          </w:tcPr>
          <w:p>
            <w:r>
              <w:rPr>
                <w:rFonts w:ascii="Arial" w:hAnsi="Arial"/>
                <w:b/>
                <w:color w:val="FFFFFF"/>
                <w:sz w:val="20"/>
              </w:rPr>
              <w:t>Impacto en Ejecución Local de IA</w:t>
            </w:r>
          </w:p>
        </w:tc>
      </w:tr>
      <w:tr>
        <w:tc>
          <w:tcPr>
            <w:tcW w:type="dxa" w:w="3120"/>
            <w:shd w:fill="F7FAFC"/>
            <w:tcMar>
              <w:top w:w="100" w:type="dxa"/>
              <w:bottom w:w="100" w:type="dxa"/>
              <w:left w:w="120" w:type="dxa"/>
              <w:right w:w="120" w:type="dxa"/>
            </w:tcMar>
          </w:tcPr>
          <w:p>
            <w:r>
              <w:rPr>
                <w:rFonts w:ascii="Calibri" w:hAnsi="Calibri"/>
                <w:b/>
                <w:color w:val="2D3748"/>
                <w:sz w:val="19"/>
              </w:rPr>
              <w:t>Modelo del Sistema</w:t>
            </w:r>
          </w:p>
        </w:tc>
        <w:tc>
          <w:tcPr>
            <w:tcW w:type="dxa" w:w="3120"/>
            <w:shd w:fill="F7FAFC"/>
            <w:tcMar>
              <w:top w:w="100" w:type="dxa"/>
              <w:bottom w:w="100" w:type="dxa"/>
              <w:left w:w="120" w:type="dxa"/>
              <w:right w:w="120" w:type="dxa"/>
            </w:tcMar>
          </w:tcPr>
          <w:p>
            <w:r>
              <w:rPr>
                <w:rFonts w:ascii="Calibri" w:hAnsi="Calibri"/>
                <w:color w:val="2D3748"/>
                <w:sz w:val="19"/>
              </w:rPr>
              <w:t>MacBook Pro 16 pulgadas (MacBookPro16,1)</w:t>
            </w:r>
          </w:p>
        </w:tc>
        <w:tc>
          <w:tcPr>
            <w:tcW w:type="dxa" w:w="3120"/>
            <w:shd w:fill="F7FAFC"/>
            <w:tcMar>
              <w:top w:w="100" w:type="dxa"/>
              <w:bottom w:w="100" w:type="dxa"/>
              <w:left w:w="120" w:type="dxa"/>
              <w:right w:w="120" w:type="dxa"/>
            </w:tcMar>
          </w:tcPr>
          <w:p>
            <w:r>
              <w:rPr>
                <w:rFonts w:ascii="Calibri" w:hAnsi="Calibri"/>
                <w:color w:val="2D3748"/>
                <w:sz w:val="19"/>
              </w:rPr>
              <w:t>Portátil de rendimiento general con arquitectura x86_64.</w:t>
            </w:r>
          </w:p>
        </w:tc>
      </w:tr>
      <w:tr>
        <w:tc>
          <w:tcPr>
            <w:tcW w:type="dxa" w:w="3120"/>
            <w:shd w:fill="FFFFFF"/>
            <w:tcMar>
              <w:top w:w="100" w:type="dxa"/>
              <w:bottom w:w="100" w:type="dxa"/>
              <w:left w:w="120" w:type="dxa"/>
              <w:right w:w="120" w:type="dxa"/>
            </w:tcMar>
          </w:tcPr>
          <w:p>
            <w:r>
              <w:rPr>
                <w:rFonts w:ascii="Calibri" w:hAnsi="Calibri"/>
                <w:b/>
                <w:color w:val="2D3748"/>
                <w:sz w:val="19"/>
              </w:rPr>
              <w:t>Procesador (CPU)</w:t>
            </w:r>
          </w:p>
        </w:tc>
        <w:tc>
          <w:tcPr>
            <w:tcW w:type="dxa" w:w="3120"/>
            <w:shd w:fill="FFFFFF"/>
            <w:tcMar>
              <w:top w:w="100" w:type="dxa"/>
              <w:bottom w:w="100" w:type="dxa"/>
              <w:left w:w="120" w:type="dxa"/>
              <w:right w:w="120" w:type="dxa"/>
            </w:tcMar>
          </w:tcPr>
          <w:p>
            <w:r>
              <w:rPr>
                <w:rFonts w:ascii="Calibri" w:hAnsi="Calibri"/>
                <w:color w:val="2D3748"/>
                <w:sz w:val="19"/>
              </w:rPr>
              <w:t>Intel Core i7 6-Core @ 2.6 GHz (Turboboost 4.5 GHz)</w:t>
            </w:r>
          </w:p>
        </w:tc>
        <w:tc>
          <w:tcPr>
            <w:tcW w:type="dxa" w:w="3120"/>
            <w:shd w:fill="FFFFFF"/>
            <w:tcMar>
              <w:top w:w="100" w:type="dxa"/>
              <w:bottom w:w="100" w:type="dxa"/>
              <w:left w:w="120" w:type="dxa"/>
              <w:right w:w="120" w:type="dxa"/>
            </w:tcMar>
          </w:tcPr>
          <w:p>
            <w:r>
              <w:rPr>
                <w:rFonts w:ascii="Calibri" w:hAnsi="Calibri"/>
                <w:color w:val="2D3748"/>
                <w:sz w:val="19"/>
              </w:rPr>
              <w:t>Inferencia en CPU lenta; alta saturación de hilos (88-95% carga).</w:t>
            </w:r>
          </w:p>
        </w:tc>
      </w:tr>
      <w:tr>
        <w:tc>
          <w:tcPr>
            <w:tcW w:type="dxa" w:w="3120"/>
            <w:shd w:fill="F7FAFC"/>
            <w:tcMar>
              <w:top w:w="100" w:type="dxa"/>
              <w:bottom w:w="100" w:type="dxa"/>
              <w:left w:w="120" w:type="dxa"/>
              <w:right w:w="120" w:type="dxa"/>
            </w:tcMar>
          </w:tcPr>
          <w:p>
            <w:r>
              <w:rPr>
                <w:rFonts w:ascii="Calibri" w:hAnsi="Calibri"/>
                <w:b/>
                <w:color w:val="2D3748"/>
                <w:sz w:val="19"/>
              </w:rPr>
              <w:t>Memoria RAM</w:t>
            </w:r>
          </w:p>
        </w:tc>
        <w:tc>
          <w:tcPr>
            <w:tcW w:type="dxa" w:w="3120"/>
            <w:shd w:fill="F7FAFC"/>
            <w:tcMar>
              <w:top w:w="100" w:type="dxa"/>
              <w:bottom w:w="100" w:type="dxa"/>
              <w:left w:w="120" w:type="dxa"/>
              <w:right w:w="120" w:type="dxa"/>
            </w:tcMar>
          </w:tcPr>
          <w:p>
            <w:r>
              <w:rPr>
                <w:rFonts w:ascii="Calibri" w:hAnsi="Calibri"/>
                <w:color w:val="2D3748"/>
                <w:sz w:val="19"/>
              </w:rPr>
              <w:t>16 GB DDR4 a 2666 MHz</w:t>
            </w:r>
          </w:p>
        </w:tc>
        <w:tc>
          <w:tcPr>
            <w:tcW w:type="dxa" w:w="3120"/>
            <w:shd w:fill="F7FAFC"/>
            <w:tcMar>
              <w:top w:w="100" w:type="dxa"/>
              <w:bottom w:w="100" w:type="dxa"/>
              <w:left w:w="120" w:type="dxa"/>
              <w:right w:w="120" w:type="dxa"/>
            </w:tcMar>
          </w:tcPr>
          <w:p>
            <w:r>
              <w:rPr>
                <w:rFonts w:ascii="Calibri" w:hAnsi="Calibri"/>
                <w:color w:val="2D3748"/>
                <w:sz w:val="19"/>
              </w:rPr>
              <w:t>Insuficiente para mantener Unity (6-8 GB) + Llama 3.2 (5-7 GB) al tiempo.</w:t>
            </w:r>
          </w:p>
        </w:tc>
      </w:tr>
      <w:tr>
        <w:tc>
          <w:tcPr>
            <w:tcW w:type="dxa" w:w="3120"/>
            <w:shd w:fill="FFFFFF"/>
            <w:tcMar>
              <w:top w:w="100" w:type="dxa"/>
              <w:bottom w:w="100" w:type="dxa"/>
              <w:left w:w="120" w:type="dxa"/>
              <w:right w:w="120" w:type="dxa"/>
            </w:tcMar>
          </w:tcPr>
          <w:p>
            <w:r>
              <w:rPr>
                <w:rFonts w:ascii="Calibri" w:hAnsi="Calibri"/>
                <w:b/>
                <w:color w:val="2D3748"/>
                <w:sz w:val="19"/>
              </w:rPr>
              <w:t>GPU Dedicada</w:t>
            </w:r>
          </w:p>
        </w:tc>
        <w:tc>
          <w:tcPr>
            <w:tcW w:type="dxa" w:w="3120"/>
            <w:shd w:fill="FFFFFF"/>
            <w:tcMar>
              <w:top w:w="100" w:type="dxa"/>
              <w:bottom w:w="100" w:type="dxa"/>
              <w:left w:w="120" w:type="dxa"/>
              <w:right w:w="120" w:type="dxa"/>
            </w:tcMar>
          </w:tcPr>
          <w:p>
            <w:r>
              <w:rPr>
                <w:rFonts w:ascii="Calibri" w:hAnsi="Calibri"/>
                <w:color w:val="2D3748"/>
                <w:sz w:val="19"/>
              </w:rPr>
              <w:t>AMD Radeon Pro 5300M (4 GB VRAM GDDR6)</w:t>
            </w:r>
          </w:p>
        </w:tc>
        <w:tc>
          <w:tcPr>
            <w:tcW w:type="dxa" w:w="3120"/>
            <w:shd w:fill="FFFFFF"/>
            <w:tcMar>
              <w:top w:w="100" w:type="dxa"/>
              <w:bottom w:w="100" w:type="dxa"/>
              <w:left w:w="120" w:type="dxa"/>
              <w:right w:w="120" w:type="dxa"/>
            </w:tcMar>
          </w:tcPr>
          <w:p>
            <w:r>
              <w:rPr>
                <w:rFonts w:ascii="Calibri" w:hAnsi="Calibri"/>
                <w:color w:val="2D3748"/>
                <w:sz w:val="19"/>
              </w:rPr>
              <w:t>VRAM de 4 GB insuficiente para alojar modelos de 8B parámetros en GPU.</w:t>
            </w:r>
          </w:p>
        </w:tc>
      </w:tr>
      <w:tr>
        <w:tc>
          <w:tcPr>
            <w:tcW w:type="dxa" w:w="3120"/>
            <w:shd w:fill="F7FAFC"/>
            <w:tcMar>
              <w:top w:w="100" w:type="dxa"/>
              <w:bottom w:w="100" w:type="dxa"/>
              <w:left w:w="120" w:type="dxa"/>
              <w:right w:w="120" w:type="dxa"/>
            </w:tcMar>
          </w:tcPr>
          <w:p>
            <w:r>
              <w:rPr>
                <w:rFonts w:ascii="Calibri" w:hAnsi="Calibri"/>
                <w:b/>
                <w:color w:val="2D3748"/>
                <w:sz w:val="19"/>
              </w:rPr>
              <w:t>GPU Integrada</w:t>
            </w:r>
          </w:p>
        </w:tc>
        <w:tc>
          <w:tcPr>
            <w:tcW w:type="dxa" w:w="3120"/>
            <w:shd w:fill="F7FAFC"/>
            <w:tcMar>
              <w:top w:w="100" w:type="dxa"/>
              <w:bottom w:w="100" w:type="dxa"/>
              <w:left w:w="120" w:type="dxa"/>
              <w:right w:w="120" w:type="dxa"/>
            </w:tcMar>
          </w:tcPr>
          <w:p>
            <w:r>
              <w:rPr>
                <w:rFonts w:ascii="Calibri" w:hAnsi="Calibri"/>
                <w:color w:val="2D3748"/>
                <w:sz w:val="19"/>
              </w:rPr>
              <w:t>Intel UHD Graphics 630 (1.5 GB VRAM dinámica)</w:t>
            </w:r>
          </w:p>
        </w:tc>
        <w:tc>
          <w:tcPr>
            <w:tcW w:type="dxa" w:w="3120"/>
            <w:shd w:fill="F7FAFC"/>
            <w:tcMar>
              <w:top w:w="100" w:type="dxa"/>
              <w:bottom w:w="100" w:type="dxa"/>
              <w:left w:w="120" w:type="dxa"/>
              <w:right w:w="120" w:type="dxa"/>
            </w:tcMar>
          </w:tcPr>
          <w:p>
            <w:r>
              <w:rPr>
                <w:rFonts w:ascii="Calibri" w:hAnsi="Calibri"/>
                <w:color w:val="2D3748"/>
                <w:sz w:val="19"/>
              </w:rPr>
              <w:t>Reservada para tareas gráficas del sistema operativo y ventanas básicas.</w:t>
            </w:r>
          </w:p>
        </w:tc>
      </w:tr>
      <w:tr>
        <w:tc>
          <w:tcPr>
            <w:tcW w:type="dxa" w:w="3120"/>
            <w:shd w:fill="FFFFFF"/>
            <w:tcMar>
              <w:top w:w="100" w:type="dxa"/>
              <w:bottom w:w="100" w:type="dxa"/>
              <w:left w:w="120" w:type="dxa"/>
              <w:right w:w="120" w:type="dxa"/>
            </w:tcMar>
          </w:tcPr>
          <w:p>
            <w:r>
              <w:rPr>
                <w:rFonts w:ascii="Calibri" w:hAnsi="Calibri"/>
                <w:b/>
                <w:color w:val="2D3748"/>
                <w:sz w:val="19"/>
              </w:rPr>
              <w:t>Almacenamiento</w:t>
            </w:r>
          </w:p>
        </w:tc>
        <w:tc>
          <w:tcPr>
            <w:tcW w:type="dxa" w:w="3120"/>
            <w:shd w:fill="FFFFFF"/>
            <w:tcMar>
              <w:top w:w="100" w:type="dxa"/>
              <w:bottom w:w="100" w:type="dxa"/>
              <w:left w:w="120" w:type="dxa"/>
              <w:right w:w="120" w:type="dxa"/>
            </w:tcMar>
          </w:tcPr>
          <w:p>
            <w:r>
              <w:rPr>
                <w:rFonts w:ascii="Calibri" w:hAnsi="Calibri"/>
                <w:color w:val="2D3748"/>
                <w:sz w:val="19"/>
              </w:rPr>
              <w:t>Apple NVMe SSD 512 GB (Velocidad &gt; 2500 MB/s)</w:t>
            </w:r>
          </w:p>
        </w:tc>
        <w:tc>
          <w:tcPr>
            <w:tcW w:type="dxa" w:w="3120"/>
            <w:shd w:fill="FFFFFF"/>
            <w:tcMar>
              <w:top w:w="100" w:type="dxa"/>
              <w:bottom w:w="100" w:type="dxa"/>
              <w:left w:w="120" w:type="dxa"/>
              <w:right w:w="120" w:type="dxa"/>
            </w:tcMar>
          </w:tcPr>
          <w:p>
            <w:r>
              <w:rPr>
                <w:rFonts w:ascii="Calibri" w:hAnsi="Calibri"/>
                <w:color w:val="2D3748"/>
                <w:sz w:val="19"/>
              </w:rPr>
              <w:t>Swapping frecuente debido al desbordamiento de la memoria RAM.</w:t>
            </w:r>
          </w:p>
        </w:tc>
      </w:tr>
    </w:tbl>
    <w:p>
      <w:pPr>
        <w:spacing w:after="200"/>
      </w:pPr>
    </w:p>
    <w:p>
      <w:pPr>
        <w:keepNext/>
        <w:spacing w:before="360" w:after="120"/>
      </w:pPr>
      <w:r>
        <w:rPr>
          <w:rFonts w:ascii="Arial" w:hAnsi="Arial"/>
          <w:b/>
          <w:color w:val="1A365D"/>
          <w:sz w:val="32"/>
        </w:rPr>
        <w:t>3. EVALUACIÓN DE DESEMPEÑO Y RESULTADOS CON IA LOCAL</w:t>
      </w:r>
    </w:p>
    <w:p>
      <w:pPr>
        <w:keepNext/>
        <w:spacing w:before="280" w:after="80"/>
      </w:pPr>
      <w:r>
        <w:rPr>
          <w:rFonts w:ascii="Arial" w:hAnsi="Arial"/>
          <w:b/>
          <w:color w:val="2B6CB0"/>
          <w:sz w:val="26"/>
        </w:rPr>
        <w:t>3.1 Configuración de las Pruebas Locales</w:t>
      </w:r>
    </w:p>
    <w:p>
      <w:pPr>
        <w:spacing w:after="120" w:line="276" w:lineRule="auto"/>
      </w:pPr>
      <w:r>
        <w:rPr>
          <w:rFonts w:ascii="Calibri" w:hAnsi="Calibri"/>
          <w:color w:val="2D3748"/>
          <w:sz w:val="22"/>
        </w:rPr>
        <w:t>La versión inicial del pipeline RAG fue construida utilizando LangChain en Python, con la integración de Ollama como servidor local de inferencia. Los componentes evaluados fueron:</w:t>
      </w:r>
    </w:p>
    <w:p>
      <w:pPr>
        <w:spacing w:after="120" w:line="276" w:lineRule="auto"/>
      </w:pPr>
      <w:r>
        <w:rPr>
          <w:rFonts w:ascii="Calibri" w:hAnsi="Calibri"/>
          <w:color w:val="2D3748"/>
          <w:sz w:val="22"/>
        </w:rPr>
        <w:t>• Modelo LLM Local: llama3.2:latest (versiones cuantizadas Q4_K_M de 3B y 8B parámetros).</w:t>
      </w:r>
    </w:p>
    <w:p>
      <w:pPr>
        <w:spacing w:after="120" w:line="276" w:lineRule="auto"/>
      </w:pPr>
      <w:r>
        <w:rPr>
          <w:rFonts w:ascii="Calibri" w:hAnsi="Calibri"/>
          <w:color w:val="2D3748"/>
          <w:sz w:val="22"/>
        </w:rPr>
        <w:t>• Modelo de Embeddings Local: nomic-embed-text via Ollama API.</w:t>
      </w:r>
    </w:p>
    <w:p>
      <w:pPr>
        <w:spacing w:after="120" w:line="276" w:lineRule="auto"/>
      </w:pPr>
      <w:r>
        <w:rPr>
          <w:rFonts w:ascii="Calibri" w:hAnsi="Calibri"/>
          <w:color w:val="2D3748"/>
          <w:sz w:val="22"/>
        </w:rPr>
        <w:t>• Base de Datos Vectorial: ChromaDB con almacenamiento SQLite persistente local.</w:t>
      </w:r>
    </w:p>
    <w:p>
      <w:pPr>
        <w:keepNext/>
        <w:spacing w:before="280" w:after="80"/>
      </w:pPr>
      <w:r>
        <w:rPr>
          <w:rFonts w:ascii="Arial" w:hAnsi="Arial"/>
          <w:b/>
          <w:color w:val="2B6CB0"/>
          <w:sz w:val="26"/>
        </w:rPr>
        <w:t>3.2 Métricas Múltiples de Rendimiento Medidas</w:t>
      </w:r>
    </w:p>
    <w:p>
      <w:pPr>
        <w:spacing w:after="120" w:line="276" w:lineRule="auto"/>
      </w:pPr>
      <w:r>
        <w:rPr>
          <w:rFonts w:ascii="Calibri" w:hAnsi="Calibri"/>
          <w:color w:val="2D3748"/>
          <w:sz w:val="22"/>
        </w:rPr>
        <w:t>Se llevaron a cabo múltiples pruebas con preguntas de distinta complejidad académica. Las métricas recopiladas reflejan el costo computacional de ejecutar simultáneamente el motor de inferencia local junto con el pipeline RAG y la aplicación cliente: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A365D"/>
            <w:tcMar>
              <w:top w:w="100" w:type="dxa"/>
              <w:bottom w:w="100" w:type="dxa"/>
              <w:left w:w="100" w:type="dxa"/>
              <w:right w:w="100" w:type="dxa"/>
            </w:tcMar>
          </w:tcPr>
          <w:p>
            <w:r>
              <w:rPr>
                <w:rFonts w:ascii="Arial" w:hAnsi="Arial"/>
                <w:b/>
                <w:color w:val="FFFFFF"/>
                <w:sz w:val="19"/>
              </w:rPr>
              <w:t>Tipo de Consulta Evaluada</w:t>
            </w:r>
          </w:p>
        </w:tc>
        <w:tc>
          <w:tcPr>
            <w:tcW w:type="dxa" w:w="1872"/>
            <w:shd w:fill="1A365D"/>
            <w:tcMar>
              <w:top w:w="100" w:type="dxa"/>
              <w:bottom w:w="100" w:type="dxa"/>
              <w:left w:w="100" w:type="dxa"/>
              <w:right w:w="100" w:type="dxa"/>
            </w:tcMar>
          </w:tcPr>
          <w:p>
            <w:r>
              <w:rPr>
                <w:rFonts w:ascii="Arial" w:hAnsi="Arial"/>
                <w:b/>
                <w:color w:val="FFFFFF"/>
                <w:sz w:val="19"/>
              </w:rPr>
              <w:t>Modelo LLM</w:t>
            </w:r>
          </w:p>
        </w:tc>
        <w:tc>
          <w:tcPr>
            <w:tcW w:type="dxa" w:w="1872"/>
            <w:shd w:fill="1A365D"/>
            <w:tcMar>
              <w:top w:w="100" w:type="dxa"/>
              <w:bottom w:w="100" w:type="dxa"/>
              <w:left w:w="100" w:type="dxa"/>
              <w:right w:w="100" w:type="dxa"/>
            </w:tcMar>
          </w:tcPr>
          <w:p>
            <w:r>
              <w:rPr>
                <w:rFonts w:ascii="Arial" w:hAnsi="Arial"/>
                <w:b/>
                <w:color w:val="FFFFFF"/>
                <w:sz w:val="19"/>
              </w:rPr>
              <w:t>Tiempo Primer Token (TTFT)</w:t>
            </w:r>
          </w:p>
        </w:tc>
        <w:tc>
          <w:tcPr>
            <w:tcW w:type="dxa" w:w="1872"/>
            <w:shd w:fill="1A365D"/>
            <w:tcMar>
              <w:top w:w="100" w:type="dxa"/>
              <w:bottom w:w="100" w:type="dxa"/>
              <w:left w:w="100" w:type="dxa"/>
              <w:right w:w="100" w:type="dxa"/>
            </w:tcMar>
          </w:tcPr>
          <w:p>
            <w:r>
              <w:rPr>
                <w:rFonts w:ascii="Arial" w:hAnsi="Arial"/>
                <w:b/>
                <w:color w:val="FFFFFF"/>
                <w:sz w:val="19"/>
              </w:rPr>
              <w:t>Latencia Total</w:t>
            </w:r>
          </w:p>
        </w:tc>
        <w:tc>
          <w:tcPr>
            <w:tcW w:type="dxa" w:w="1872"/>
            <w:shd w:fill="1A365D"/>
            <w:tcMar>
              <w:top w:w="100" w:type="dxa"/>
              <w:bottom w:w="100" w:type="dxa"/>
              <w:left w:w="100" w:type="dxa"/>
              <w:right w:w="100" w:type="dxa"/>
            </w:tcMar>
          </w:tcPr>
          <w:p>
            <w:r>
              <w:rPr>
                <w:rFonts w:ascii="Arial" w:hAnsi="Arial"/>
                <w:b/>
                <w:color w:val="FFFFFF"/>
                <w:sz w:val="19"/>
              </w:rPr>
              <w:t>Tasa de Tokens (tok/s)</w:t>
            </w:r>
          </w:p>
        </w:tc>
      </w:tr>
      <w:tr>
        <w:tc>
          <w:tcPr>
            <w:tcW w:type="dxa" w:w="1872"/>
            <w:shd w:fill="F7FAFC"/>
            <w:tcMar>
              <w:top w:w="80" w:type="dxa"/>
              <w:bottom w:w="80" w:type="dxa"/>
              <w:left w:w="100" w:type="dxa"/>
              <w:right w:w="100" w:type="dxa"/>
            </w:tcMar>
          </w:tcPr>
          <w:p>
            <w:r>
              <w:rPr>
                <w:rFonts w:ascii="Calibri" w:hAnsi="Calibri"/>
                <w:color w:val="2D3748"/>
                <w:sz w:val="18"/>
              </w:rPr>
              <w:t>Concepto Simple (Ej: ¿Qué es el cerebelo?)</w:t>
            </w:r>
          </w:p>
        </w:tc>
        <w:tc>
          <w:tcPr>
            <w:tcW w:type="dxa" w:w="1872"/>
            <w:shd w:fill="F7FAFC"/>
            <w:tcMar>
              <w:top w:w="80" w:type="dxa"/>
              <w:bottom w:w="80" w:type="dxa"/>
              <w:left w:w="100" w:type="dxa"/>
              <w:right w:w="100" w:type="dxa"/>
            </w:tcMar>
          </w:tcPr>
          <w:p>
            <w:r>
              <w:rPr>
                <w:rFonts w:ascii="Calibri" w:hAnsi="Calibri"/>
                <w:color w:val="2D3748"/>
                <w:sz w:val="18"/>
              </w:rPr>
              <w:t>Llama 3.2 3B</w:t>
            </w:r>
          </w:p>
        </w:tc>
        <w:tc>
          <w:tcPr>
            <w:tcW w:type="dxa" w:w="1872"/>
            <w:shd w:fill="F7FAFC"/>
            <w:tcMar>
              <w:top w:w="80" w:type="dxa"/>
              <w:bottom w:w="80" w:type="dxa"/>
              <w:left w:w="100" w:type="dxa"/>
              <w:right w:w="100" w:type="dxa"/>
            </w:tcMar>
          </w:tcPr>
          <w:p>
            <w:r>
              <w:rPr>
                <w:rFonts w:ascii="Calibri" w:hAnsi="Calibri"/>
                <w:color w:val="2D3748"/>
                <w:sz w:val="18"/>
              </w:rPr>
              <w:t>4.2 s</w:t>
            </w:r>
          </w:p>
        </w:tc>
        <w:tc>
          <w:tcPr>
            <w:tcW w:type="dxa" w:w="1872"/>
            <w:shd w:fill="F7FAFC"/>
            <w:tcMar>
              <w:top w:w="80" w:type="dxa"/>
              <w:bottom w:w="80" w:type="dxa"/>
              <w:left w:w="100" w:type="dxa"/>
              <w:right w:w="100" w:type="dxa"/>
            </w:tcMar>
          </w:tcPr>
          <w:p>
            <w:r>
              <w:rPr>
                <w:rFonts w:ascii="Calibri" w:hAnsi="Calibri"/>
                <w:color w:val="2D3748"/>
                <w:sz w:val="18"/>
              </w:rPr>
              <w:t>22.5 s</w:t>
            </w:r>
          </w:p>
        </w:tc>
        <w:tc>
          <w:tcPr>
            <w:tcW w:type="dxa" w:w="1872"/>
            <w:shd w:fill="F7FAFC"/>
            <w:tcMar>
              <w:top w:w="80" w:type="dxa"/>
              <w:bottom w:w="80" w:type="dxa"/>
              <w:left w:w="100" w:type="dxa"/>
              <w:right w:w="100" w:type="dxa"/>
            </w:tcMar>
          </w:tcPr>
          <w:p>
            <w:r>
              <w:rPr>
                <w:rFonts w:ascii="Calibri" w:hAnsi="Calibri"/>
                <w:color w:val="2D3748"/>
                <w:sz w:val="18"/>
              </w:rPr>
              <w:t>6.2 tok/s</w:t>
            </w:r>
          </w:p>
        </w:tc>
      </w:tr>
      <w:tr>
        <w:tc>
          <w:tcPr>
            <w:tcW w:type="dxa" w:w="1872"/>
            <w:shd w:fill="FFFFFF"/>
            <w:tcMar>
              <w:top w:w="80" w:type="dxa"/>
              <w:bottom w:w="80" w:type="dxa"/>
              <w:left w:w="100" w:type="dxa"/>
              <w:right w:w="100" w:type="dxa"/>
            </w:tcMar>
          </w:tcPr>
          <w:p>
            <w:r>
              <w:rPr>
                <w:rFonts w:ascii="Calibri" w:hAnsi="Calibri"/>
                <w:color w:val="2D3748"/>
                <w:sz w:val="18"/>
              </w:rPr>
              <w:t>Consulta RAG Mediana (1 Libro)</w:t>
            </w:r>
          </w:p>
        </w:tc>
        <w:tc>
          <w:tcPr>
            <w:tcW w:type="dxa" w:w="1872"/>
            <w:shd w:fill="FFFFFF"/>
            <w:tcMar>
              <w:top w:w="80" w:type="dxa"/>
              <w:bottom w:w="80" w:type="dxa"/>
              <w:left w:w="100" w:type="dxa"/>
              <w:right w:w="100" w:type="dxa"/>
            </w:tcMar>
          </w:tcPr>
          <w:p>
            <w:r>
              <w:rPr>
                <w:rFonts w:ascii="Calibri" w:hAnsi="Calibri"/>
                <w:color w:val="2D3748"/>
                <w:sz w:val="18"/>
              </w:rPr>
              <w:t>Llama 3.2 3B</w:t>
            </w:r>
          </w:p>
        </w:tc>
        <w:tc>
          <w:tcPr>
            <w:tcW w:type="dxa" w:w="1872"/>
            <w:shd w:fill="FFFFFF"/>
            <w:tcMar>
              <w:top w:w="80" w:type="dxa"/>
              <w:bottom w:w="80" w:type="dxa"/>
              <w:left w:w="100" w:type="dxa"/>
              <w:right w:w="100" w:type="dxa"/>
            </w:tcMar>
          </w:tcPr>
          <w:p>
            <w:r>
              <w:rPr>
                <w:rFonts w:ascii="Calibri" w:hAnsi="Calibri"/>
                <w:color w:val="2D3748"/>
                <w:sz w:val="18"/>
              </w:rPr>
              <w:t>8.5 s</w:t>
            </w:r>
          </w:p>
        </w:tc>
        <w:tc>
          <w:tcPr>
            <w:tcW w:type="dxa" w:w="1872"/>
            <w:shd w:fill="FFFFFF"/>
            <w:tcMar>
              <w:top w:w="80" w:type="dxa"/>
              <w:bottom w:w="80" w:type="dxa"/>
              <w:left w:w="100" w:type="dxa"/>
              <w:right w:w="100" w:type="dxa"/>
            </w:tcMar>
          </w:tcPr>
          <w:p>
            <w:r>
              <w:rPr>
                <w:rFonts w:ascii="Calibri" w:hAnsi="Calibri"/>
                <w:color w:val="2D3748"/>
                <w:sz w:val="18"/>
              </w:rPr>
              <w:t>38.0 s</w:t>
            </w:r>
          </w:p>
        </w:tc>
        <w:tc>
          <w:tcPr>
            <w:tcW w:type="dxa" w:w="1872"/>
            <w:shd w:fill="FFFFFF"/>
            <w:tcMar>
              <w:top w:w="80" w:type="dxa"/>
              <w:bottom w:w="80" w:type="dxa"/>
              <w:left w:w="100" w:type="dxa"/>
              <w:right w:w="100" w:type="dxa"/>
            </w:tcMar>
          </w:tcPr>
          <w:p>
            <w:r>
              <w:rPr>
                <w:rFonts w:ascii="Calibri" w:hAnsi="Calibri"/>
                <w:color w:val="2D3748"/>
                <w:sz w:val="18"/>
              </w:rPr>
              <w:t>5.1 tok/s</w:t>
            </w:r>
          </w:p>
        </w:tc>
      </w:tr>
      <w:tr>
        <w:tc>
          <w:tcPr>
            <w:tcW w:type="dxa" w:w="1872"/>
            <w:shd w:fill="F7FAFC"/>
            <w:tcMar>
              <w:top w:w="80" w:type="dxa"/>
              <w:bottom w:w="80" w:type="dxa"/>
              <w:left w:w="100" w:type="dxa"/>
              <w:right w:w="100" w:type="dxa"/>
            </w:tcMar>
          </w:tcPr>
          <w:p>
            <w:r>
              <w:rPr>
                <w:rFonts w:ascii="Calibri" w:hAnsi="Calibri"/>
                <w:color w:val="2D3748"/>
                <w:sz w:val="18"/>
              </w:rPr>
              <w:t>Consulta RAG Compleja (Multi-libro)</w:t>
            </w:r>
          </w:p>
        </w:tc>
        <w:tc>
          <w:tcPr>
            <w:tcW w:type="dxa" w:w="1872"/>
            <w:shd w:fill="F7FAFC"/>
            <w:tcMar>
              <w:top w:w="80" w:type="dxa"/>
              <w:bottom w:w="80" w:type="dxa"/>
              <w:left w:w="100" w:type="dxa"/>
              <w:right w:w="100" w:type="dxa"/>
            </w:tcMar>
          </w:tcPr>
          <w:p>
            <w:r>
              <w:rPr>
                <w:rFonts w:ascii="Calibri" w:hAnsi="Calibri"/>
                <w:color w:val="2D3748"/>
                <w:sz w:val="18"/>
              </w:rPr>
              <w:t>Llama 3.2 8B</w:t>
            </w:r>
          </w:p>
        </w:tc>
        <w:tc>
          <w:tcPr>
            <w:tcW w:type="dxa" w:w="1872"/>
            <w:shd w:fill="F7FAFC"/>
            <w:tcMar>
              <w:top w:w="80" w:type="dxa"/>
              <w:bottom w:w="80" w:type="dxa"/>
              <w:left w:w="100" w:type="dxa"/>
              <w:right w:w="100" w:type="dxa"/>
            </w:tcMar>
          </w:tcPr>
          <w:p>
            <w:r>
              <w:rPr>
                <w:rFonts w:ascii="Calibri" w:hAnsi="Calibri"/>
                <w:color w:val="2D3748"/>
                <w:sz w:val="18"/>
              </w:rPr>
              <w:t>14.0 s</w:t>
            </w:r>
          </w:p>
        </w:tc>
        <w:tc>
          <w:tcPr>
            <w:tcW w:type="dxa" w:w="1872"/>
            <w:shd w:fill="F7FAFC"/>
            <w:tcMar>
              <w:top w:w="80" w:type="dxa"/>
              <w:bottom w:w="80" w:type="dxa"/>
              <w:left w:w="100" w:type="dxa"/>
              <w:right w:w="100" w:type="dxa"/>
            </w:tcMar>
          </w:tcPr>
          <w:p>
            <w:r>
              <w:rPr>
                <w:rFonts w:ascii="Calibri" w:hAnsi="Calibri"/>
                <w:color w:val="2D3748"/>
                <w:sz w:val="18"/>
              </w:rPr>
              <w:t>54.2 s</w:t>
            </w:r>
          </w:p>
        </w:tc>
        <w:tc>
          <w:tcPr>
            <w:tcW w:type="dxa" w:w="1872"/>
            <w:shd w:fill="F7FAFC"/>
            <w:tcMar>
              <w:top w:w="80" w:type="dxa"/>
              <w:bottom w:w="80" w:type="dxa"/>
              <w:left w:w="100" w:type="dxa"/>
              <w:right w:w="100" w:type="dxa"/>
            </w:tcMar>
          </w:tcPr>
          <w:p>
            <w:r>
              <w:rPr>
                <w:rFonts w:ascii="Calibri" w:hAnsi="Calibri"/>
                <w:color w:val="2D3748"/>
                <w:sz w:val="18"/>
              </w:rPr>
              <w:t>4.1 tok/s</w:t>
            </w:r>
          </w:p>
        </w:tc>
      </w:tr>
      <w:tr>
        <w:tc>
          <w:tcPr>
            <w:tcW w:type="dxa" w:w="1872"/>
            <w:shd w:fill="FFFFFF"/>
            <w:tcMar>
              <w:top w:w="80" w:type="dxa"/>
              <w:bottom w:w="80" w:type="dxa"/>
              <w:left w:w="100" w:type="dxa"/>
              <w:right w:w="100" w:type="dxa"/>
            </w:tcMar>
          </w:tcPr>
          <w:p>
            <w:r>
              <w:rPr>
                <w:rFonts w:ascii="Calibri" w:hAnsi="Calibri"/>
                <w:color w:val="2D3748"/>
                <w:sz w:val="18"/>
              </w:rPr>
              <w:t>Consulta Compleja con Unity 3D Activo</w:t>
            </w:r>
          </w:p>
        </w:tc>
        <w:tc>
          <w:tcPr>
            <w:tcW w:type="dxa" w:w="1872"/>
            <w:shd w:fill="FFFFFF"/>
            <w:tcMar>
              <w:top w:w="80" w:type="dxa"/>
              <w:bottom w:w="80" w:type="dxa"/>
              <w:left w:w="100" w:type="dxa"/>
              <w:right w:w="100" w:type="dxa"/>
            </w:tcMar>
          </w:tcPr>
          <w:p>
            <w:r>
              <w:rPr>
                <w:rFonts w:ascii="Calibri" w:hAnsi="Calibri"/>
                <w:color w:val="2D3748"/>
                <w:sz w:val="18"/>
              </w:rPr>
              <w:t>Llama 3.2 8B</w:t>
            </w:r>
          </w:p>
        </w:tc>
        <w:tc>
          <w:tcPr>
            <w:tcW w:type="dxa" w:w="1872"/>
            <w:shd w:fill="FFFFFF"/>
            <w:tcMar>
              <w:top w:w="80" w:type="dxa"/>
              <w:bottom w:w="80" w:type="dxa"/>
              <w:left w:w="100" w:type="dxa"/>
              <w:right w:w="100" w:type="dxa"/>
            </w:tcMar>
          </w:tcPr>
          <w:p>
            <w:r>
              <w:rPr>
                <w:rFonts w:ascii="Calibri" w:hAnsi="Calibri"/>
                <w:color w:val="2D3748"/>
                <w:sz w:val="18"/>
              </w:rPr>
              <w:t>19.2 s</w:t>
            </w:r>
          </w:p>
        </w:tc>
        <w:tc>
          <w:tcPr>
            <w:tcW w:type="dxa" w:w="1872"/>
            <w:shd w:fill="FFFFFF"/>
            <w:tcMar>
              <w:top w:w="80" w:type="dxa"/>
              <w:bottom w:w="80" w:type="dxa"/>
              <w:left w:w="100" w:type="dxa"/>
              <w:right w:w="100" w:type="dxa"/>
            </w:tcMar>
          </w:tcPr>
          <w:p>
            <w:r>
              <w:rPr>
                <w:rFonts w:ascii="Calibri" w:hAnsi="Calibri"/>
                <w:color w:val="2D3748"/>
                <w:sz w:val="18"/>
              </w:rPr>
              <w:t>68.5 s (Lag/Crash)</w:t>
            </w:r>
          </w:p>
        </w:tc>
        <w:tc>
          <w:tcPr>
            <w:tcW w:type="dxa" w:w="1872"/>
            <w:shd w:fill="FFFFFF"/>
            <w:tcMar>
              <w:top w:w="80" w:type="dxa"/>
              <w:bottom w:w="80" w:type="dxa"/>
              <w:left w:w="100" w:type="dxa"/>
              <w:right w:w="100" w:type="dxa"/>
            </w:tcMar>
          </w:tcPr>
          <w:p>
            <w:r>
              <w:rPr>
                <w:rFonts w:ascii="Calibri" w:hAnsi="Calibri"/>
                <w:color w:val="2D3748"/>
                <w:sz w:val="18"/>
              </w:rPr>
              <w:t>2.8 tok/s</w:t>
            </w:r>
          </w:p>
        </w:tc>
      </w:tr>
    </w:tbl>
    <w:p>
      <w:pPr>
        <w:spacing w:after="240"/>
      </w:pPr>
    </w:p>
    <w:p>
      <w:pPr>
        <w:keepNext/>
        <w:spacing w:before="280" w:after="80"/>
      </w:pPr>
      <w:r>
        <w:rPr>
          <w:rFonts w:ascii="Arial" w:hAnsi="Arial"/>
          <w:b/>
          <w:color w:val="2B6CB0"/>
          <w:sz w:val="26"/>
        </w:rPr>
        <w:t>3.3 Análisis de Cuellos de Botella Técnicos</w:t>
      </w:r>
    </w:p>
    <w:p>
      <w:pPr>
        <w:spacing w:after="120" w:line="276" w:lineRule="auto"/>
      </w:pPr>
      <w:r>
        <w:rPr>
          <w:rFonts w:ascii="Calibri" w:hAnsi="Calibri"/>
          <w:b/>
          <w:color w:val="1A202C"/>
          <w:sz w:val="22"/>
        </w:rPr>
        <w:t xml:space="preserve">a) </w:t>
      </w:r>
      <w:r>
        <w:rPr>
          <w:rFonts w:ascii="Calibri" w:hAnsi="Calibri"/>
          <w:color w:val="2D3748"/>
          <w:sz w:val="22"/>
        </w:rPr>
        <w:t>1. Insuficiencia de Memoria VRAM Dedicada (4 GB):</w:t>
      </w:r>
    </w:p>
    <w:p>
      <w:pPr>
        <w:spacing w:after="120" w:line="276" w:lineRule="auto"/>
      </w:pPr>
      <w:r>
        <w:rPr>
          <w:rFonts w:ascii="Calibri" w:hAnsi="Calibri"/>
          <w:color w:val="2D3748"/>
          <w:sz w:val="22"/>
        </w:rPr>
        <w:t>Los modelos de lenguaje de 8B parámetros requieren entre 5.5 GB y 8 GB de VRAM para alojar sus pesos cuantizados en memoria gráfica. Al disponer únicamente de 4 GB de VRAM en la GPU AMD Radeon Pro 5300M, el sistema Ollama se ve obligado a derivar la mayor parte del procesamiento a la memoria RAM del sistema a través de la CPU Intel Core i7. Esto ralentiza drásticamente la velocidad de generación de tokens.</w:t>
      </w:r>
    </w:p>
    <w:p>
      <w:pPr>
        <w:spacing w:after="120" w:line="276" w:lineRule="auto"/>
      </w:pPr>
      <w:r>
        <w:rPr>
          <w:rFonts w:ascii="Calibri" w:hAnsi="Calibri"/>
          <w:b/>
          <w:color w:val="1A202C"/>
          <w:sz w:val="22"/>
        </w:rPr>
        <w:t xml:space="preserve">b) </w:t>
      </w:r>
      <w:r>
        <w:rPr>
          <w:rFonts w:ascii="Calibri" w:hAnsi="Calibri"/>
          <w:color w:val="2D3748"/>
          <w:sz w:val="22"/>
        </w:rPr>
        <w:t>2. Estrés Térmico y Estrangulamiento de Frecuencia (Thermal Throttling):</w:t>
      </w:r>
    </w:p>
    <w:p>
      <w:pPr>
        <w:spacing w:after="120" w:line="276" w:lineRule="auto"/>
      </w:pPr>
      <w:r>
        <w:rPr>
          <w:rFonts w:ascii="Calibri" w:hAnsi="Calibri"/>
          <w:color w:val="2D3748"/>
          <w:sz w:val="22"/>
        </w:rPr>
        <w:t>La ejecución prolongada de inferencia en la CPU generó cargas sostenidas superiores al 88-95% en todos los núcleos. La temperatura del procesador alcanzó los 86-92 °C en menos de tres minutos de uso continuo, lo que activó el sistema de protección térmica del sistema operativo macOS, reduciendo automáticamente la frecuencia de reloj del procesador de 4.5 GHz a 1.8 GHz y acentuando la lentitud del sistema.</w:t>
      </w:r>
    </w:p>
    <w:p>
      <w:pPr>
        <w:spacing w:after="120" w:line="276" w:lineRule="auto"/>
      </w:pPr>
      <w:r>
        <w:rPr>
          <w:rFonts w:ascii="Calibri" w:hAnsi="Calibri"/>
          <w:b/>
          <w:color w:val="1A202C"/>
          <w:sz w:val="22"/>
        </w:rPr>
        <w:t xml:space="preserve">c) </w:t>
      </w:r>
      <w:r>
        <w:rPr>
          <w:rFonts w:ascii="Calibri" w:hAnsi="Calibri"/>
          <w:color w:val="2D3748"/>
          <w:sz w:val="22"/>
        </w:rPr>
        <w:t>3. Incompatibilidad de Recursos con el Motor Gráfico Unity 3D:</w:t>
      </w:r>
    </w:p>
    <w:p>
      <w:pPr>
        <w:spacing w:after="120" w:line="276" w:lineRule="auto"/>
      </w:pPr>
      <w:r>
        <w:rPr>
          <w:rFonts w:ascii="Calibri" w:hAnsi="Calibri"/>
          <w:color w:val="2D3748"/>
          <w:sz w:val="22"/>
        </w:rPr>
        <w:t>Cuando la interfaz tridimensional en Unity se ejecuta simultáneamente con Ollama, ambos programas compiten violentamente por la RAM y los recursos de procesamiento. Unity 3D requiere al menos 4 a 6 GB de RAM y renderizado continuo de cuadros GPU. Esta sobrecarga provocó caídas severas en la tasa de refresco (de 60 FPS a menos de 12 FPS) y micro-congelamientos de la aplicación.</w:t>
      </w:r>
    </w:p>
    <w:p>
      <w:pPr>
        <w:spacing w:before="200" w:after="8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grafico1_latencia.png"/>
                    <pic:cNvPicPr/>
                  </pic:nvPicPr>
                  <pic:blipFill>
                    <a:blip r:embed="rId9"/>
                    <a:stretch>
                      <a:fillRect/>
                    </a:stretch>
                  </pic:blipFill>
                  <pic:spPr>
                    <a:xfrm>
                      <a:off x="0" y="0"/>
                      <a:ext cx="5303520" cy="2983230"/>
                    </a:xfrm>
                    <a:prstGeom prst="rect"/>
                  </pic:spPr>
                </pic:pic>
              </a:graphicData>
            </a:graphic>
          </wp:inline>
        </w:drawing>
      </w:r>
    </w:p>
    <w:p>
      <w:pPr>
        <w:spacing w:after="280"/>
        <w:jc w:val="center"/>
      </w:pPr>
      <w:r>
        <w:rPr>
          <w:rFonts w:ascii="Arial" w:hAnsi="Arial"/>
          <w:i/>
          <w:color w:val="718096"/>
          <w:sz w:val="18"/>
        </w:rPr>
        <w:t>Figura 1. Comparativa empírica de latencia total de respuesta por tipo de consulta RAG.</w:t>
      </w:r>
    </w:p>
    <w:p>
      <w:pPr>
        <w:spacing w:before="200" w:after="80"/>
        <w:jc w:val="center"/>
      </w:pPr>
      <w:r>
        <w:drawing>
          <wp:inline xmlns:a="http://schemas.openxmlformats.org/drawingml/2006/main" xmlns:pic="http://schemas.openxmlformats.org/drawingml/2006/picture">
            <wp:extent cx="5303520" cy="2386584"/>
            <wp:docPr id="2" name="Picture 2"/>
            <wp:cNvGraphicFramePr>
              <a:graphicFrameLocks noChangeAspect="1"/>
            </wp:cNvGraphicFramePr>
            <a:graphic>
              <a:graphicData uri="http://schemas.openxmlformats.org/drawingml/2006/picture">
                <pic:pic>
                  <pic:nvPicPr>
                    <pic:cNvPr id="0" name="grafico2_recursos_hardware.png"/>
                    <pic:cNvPicPr/>
                  </pic:nvPicPr>
                  <pic:blipFill>
                    <a:blip r:embed="rId10"/>
                    <a:stretch>
                      <a:fillRect/>
                    </a:stretch>
                  </pic:blipFill>
                  <pic:spPr>
                    <a:xfrm>
                      <a:off x="0" y="0"/>
                      <a:ext cx="5303520" cy="2386584"/>
                    </a:xfrm>
                    <a:prstGeom prst="rect"/>
                  </pic:spPr>
                </pic:pic>
              </a:graphicData>
            </a:graphic>
          </wp:inline>
        </w:drawing>
      </w:r>
    </w:p>
    <w:p>
      <w:pPr>
        <w:spacing w:after="280"/>
        <w:jc w:val="center"/>
      </w:pPr>
      <w:r>
        <w:rPr>
          <w:rFonts w:ascii="Arial" w:hAnsi="Arial"/>
          <w:i/>
          <w:color w:val="718096"/>
          <w:sz w:val="18"/>
        </w:rPr>
        <w:t>Figura 2. Consumo de Memoria RAM y sobrecarga de CPU/GPU en la máquina local de pruebas.</w:t>
      </w:r>
    </w:p>
    <w:p>
      <w:pPr>
        <w:keepNext/>
        <w:spacing w:before="360" w:after="120"/>
      </w:pPr>
      <w:r>
        <w:rPr>
          <w:rFonts w:ascii="Arial" w:hAnsi="Arial"/>
          <w:b/>
          <w:color w:val="1A365D"/>
          <w:sz w:val="32"/>
        </w:rPr>
        <w:t>4. COMPARATIVA DETALLADA: IA LOCAL (OLLAMA) VS. GEMINI API (CLOUD)</w:t>
      </w:r>
    </w:p>
    <w:p>
      <w:pPr>
        <w:spacing w:after="120" w:line="276" w:lineRule="auto"/>
      </w:pPr>
      <w:r>
        <w:rPr>
          <w:rFonts w:ascii="Calibri" w:hAnsi="Calibri"/>
          <w:color w:val="2D3748"/>
          <w:sz w:val="22"/>
        </w:rPr>
        <w:t>A continuación se sintetizan los hallazgos comparativos entre ambas arquitecturas bajo un marco multicriterio enfocado en la aplicación interactiva de neuroanatomía:</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A365D"/>
            <w:tcMar>
              <w:top w:w="100" w:type="dxa"/>
              <w:bottom w:w="100" w:type="dxa"/>
              <w:left w:w="100" w:type="dxa"/>
              <w:right w:w="100" w:type="dxa"/>
            </w:tcMar>
          </w:tcPr>
          <w:p>
            <w:r>
              <w:rPr>
                <w:rFonts w:ascii="Arial" w:hAnsi="Arial"/>
                <w:b/>
                <w:color w:val="FFFFFF"/>
                <w:sz w:val="19"/>
              </w:rPr>
              <w:t>Criterio de Evaluación</w:t>
            </w:r>
          </w:p>
        </w:tc>
        <w:tc>
          <w:tcPr>
            <w:tcW w:type="dxa" w:w="3120"/>
            <w:shd w:fill="1A365D"/>
            <w:tcMar>
              <w:top w:w="100" w:type="dxa"/>
              <w:bottom w:w="100" w:type="dxa"/>
              <w:left w:w="100" w:type="dxa"/>
              <w:right w:w="100" w:type="dxa"/>
            </w:tcMar>
          </w:tcPr>
          <w:p>
            <w:r>
              <w:rPr>
                <w:rFonts w:ascii="Arial" w:hAnsi="Arial"/>
                <w:b/>
                <w:color w:val="FFFFFF"/>
                <w:sz w:val="19"/>
              </w:rPr>
              <w:t>IA Local (Ollama / Llama 3.2)</w:t>
            </w:r>
          </w:p>
        </w:tc>
        <w:tc>
          <w:tcPr>
            <w:tcW w:type="dxa" w:w="3120"/>
            <w:shd w:fill="1A365D"/>
            <w:tcMar>
              <w:top w:w="100" w:type="dxa"/>
              <w:bottom w:w="100" w:type="dxa"/>
              <w:left w:w="100" w:type="dxa"/>
              <w:right w:w="100" w:type="dxa"/>
            </w:tcMar>
          </w:tcPr>
          <w:p>
            <w:r>
              <w:rPr>
                <w:rFonts w:ascii="Arial" w:hAnsi="Arial"/>
                <w:b/>
                <w:color w:val="FFFFFF"/>
                <w:sz w:val="19"/>
              </w:rPr>
              <w:t>Google Gemini API (Cloud Services)</w:t>
            </w:r>
          </w:p>
        </w:tc>
      </w:tr>
      <w:tr>
        <w:tc>
          <w:tcPr>
            <w:tcW w:type="dxa" w:w="3120"/>
            <w:shd w:fill="F7FAFC"/>
            <w:tcMar>
              <w:top w:w="80" w:type="dxa"/>
              <w:bottom w:w="80" w:type="dxa"/>
              <w:left w:w="100" w:type="dxa"/>
              <w:right w:w="100" w:type="dxa"/>
            </w:tcMar>
          </w:tcPr>
          <w:p>
            <w:r>
              <w:rPr>
                <w:rFonts w:ascii="Calibri" w:hAnsi="Calibri"/>
                <w:b/>
                <w:color w:val="2D3748"/>
                <w:sz w:val="18"/>
              </w:rPr>
              <w:t>Tiempo de Respuesta Promedio</w:t>
            </w:r>
          </w:p>
        </w:tc>
        <w:tc>
          <w:tcPr>
            <w:tcW w:type="dxa" w:w="3120"/>
            <w:shd w:fill="F7FAFC"/>
            <w:tcMar>
              <w:top w:w="80" w:type="dxa"/>
              <w:bottom w:w="80" w:type="dxa"/>
              <w:left w:w="100" w:type="dxa"/>
              <w:right w:w="100" w:type="dxa"/>
            </w:tcMar>
          </w:tcPr>
          <w:p>
            <w:r>
              <w:rPr>
                <w:rFonts w:ascii="Calibri" w:hAnsi="Calibri"/>
                <w:color w:val="2D3748"/>
                <w:sz w:val="18"/>
              </w:rPr>
              <w:t>22.5 - 54.2 segundos (Deficiente)</w:t>
            </w:r>
          </w:p>
        </w:tc>
        <w:tc>
          <w:tcPr>
            <w:tcW w:type="dxa" w:w="3120"/>
            <w:shd w:fill="F7FAFC"/>
            <w:tcMar>
              <w:top w:w="80" w:type="dxa"/>
              <w:bottom w:w="80" w:type="dxa"/>
              <w:left w:w="100" w:type="dxa"/>
              <w:right w:w="100" w:type="dxa"/>
            </w:tcMar>
          </w:tcPr>
          <w:p>
            <w:r>
              <w:rPr>
                <w:rFonts w:ascii="Calibri" w:hAnsi="Calibri"/>
                <w:color w:val="2D3748"/>
                <w:sz w:val="18"/>
              </w:rPr>
              <w:t>1.2 - 2.1 segundos (Excelente / Real-time)</w:t>
            </w:r>
          </w:p>
        </w:tc>
      </w:tr>
      <w:tr>
        <w:tc>
          <w:tcPr>
            <w:tcW w:type="dxa" w:w="3120"/>
            <w:shd w:fill="FFFFFF"/>
            <w:tcMar>
              <w:top w:w="80" w:type="dxa"/>
              <w:bottom w:w="80" w:type="dxa"/>
              <w:left w:w="100" w:type="dxa"/>
              <w:right w:w="100" w:type="dxa"/>
            </w:tcMar>
          </w:tcPr>
          <w:p>
            <w:r>
              <w:rPr>
                <w:rFonts w:ascii="Calibri" w:hAnsi="Calibri"/>
                <w:b/>
                <w:color w:val="2D3748"/>
                <w:sz w:val="18"/>
              </w:rPr>
              <w:t>Throughput (Tokens/segundo)</w:t>
            </w:r>
          </w:p>
        </w:tc>
        <w:tc>
          <w:tcPr>
            <w:tcW w:type="dxa" w:w="3120"/>
            <w:shd w:fill="FFFFFF"/>
            <w:tcMar>
              <w:top w:w="80" w:type="dxa"/>
              <w:bottom w:w="80" w:type="dxa"/>
              <w:left w:w="100" w:type="dxa"/>
              <w:right w:w="100" w:type="dxa"/>
            </w:tcMar>
          </w:tcPr>
          <w:p>
            <w:r>
              <w:rPr>
                <w:rFonts w:ascii="Calibri" w:hAnsi="Calibri"/>
                <w:color w:val="2D3748"/>
                <w:sz w:val="18"/>
              </w:rPr>
              <w:t>4.1 - 6.2 tok/s</w:t>
            </w:r>
          </w:p>
        </w:tc>
        <w:tc>
          <w:tcPr>
            <w:tcW w:type="dxa" w:w="3120"/>
            <w:shd w:fill="FFFFFF"/>
            <w:tcMar>
              <w:top w:w="80" w:type="dxa"/>
              <w:bottom w:w="80" w:type="dxa"/>
              <w:left w:w="100" w:type="dxa"/>
              <w:right w:w="100" w:type="dxa"/>
            </w:tcMar>
          </w:tcPr>
          <w:p>
            <w:r>
              <w:rPr>
                <w:rFonts w:ascii="Calibri" w:hAnsi="Calibri"/>
                <w:color w:val="2D3748"/>
                <w:sz w:val="18"/>
              </w:rPr>
              <w:t>62.0 - 95.0 tok/s</w:t>
            </w:r>
          </w:p>
        </w:tc>
      </w:tr>
      <w:tr>
        <w:tc>
          <w:tcPr>
            <w:tcW w:type="dxa" w:w="3120"/>
            <w:shd w:fill="F7FAFC"/>
            <w:tcMar>
              <w:top w:w="80" w:type="dxa"/>
              <w:bottom w:w="80" w:type="dxa"/>
              <w:left w:w="100" w:type="dxa"/>
              <w:right w:w="100" w:type="dxa"/>
            </w:tcMar>
          </w:tcPr>
          <w:p>
            <w:r>
              <w:rPr>
                <w:rFonts w:ascii="Calibri" w:hAnsi="Calibri"/>
                <w:b/>
                <w:color w:val="2D3748"/>
                <w:sz w:val="18"/>
              </w:rPr>
              <w:t>Uso de Recursos Locales (RAM/GPU)</w:t>
            </w:r>
          </w:p>
        </w:tc>
        <w:tc>
          <w:tcPr>
            <w:tcW w:type="dxa" w:w="3120"/>
            <w:shd w:fill="F7FAFC"/>
            <w:tcMar>
              <w:top w:w="80" w:type="dxa"/>
              <w:bottom w:w="80" w:type="dxa"/>
              <w:left w:w="100" w:type="dxa"/>
              <w:right w:w="100" w:type="dxa"/>
            </w:tcMar>
          </w:tcPr>
          <w:p>
            <w:r>
              <w:rPr>
                <w:rFonts w:ascii="Calibri" w:hAnsi="Calibri"/>
                <w:color w:val="2D3748"/>
                <w:sz w:val="18"/>
              </w:rPr>
              <w:t>Satura RAM (14.8 GB) y GPU (95%)</w:t>
            </w:r>
          </w:p>
        </w:tc>
        <w:tc>
          <w:tcPr>
            <w:tcW w:type="dxa" w:w="3120"/>
            <w:shd w:fill="F7FAFC"/>
            <w:tcMar>
              <w:top w:w="80" w:type="dxa"/>
              <w:bottom w:w="80" w:type="dxa"/>
              <w:left w:w="100" w:type="dxa"/>
              <w:right w:w="100" w:type="dxa"/>
            </w:tcMar>
          </w:tcPr>
          <w:p>
            <w:r>
              <w:rPr>
                <w:rFonts w:ascii="Calibri" w:hAnsi="Calibri"/>
                <w:color w:val="2D3748"/>
                <w:sz w:val="18"/>
              </w:rPr>
              <w:t>Casi nulo (&lt; 100 MB RAM para peticiones HTTP)</w:t>
            </w:r>
          </w:p>
        </w:tc>
      </w:tr>
      <w:tr>
        <w:tc>
          <w:tcPr>
            <w:tcW w:type="dxa" w:w="3120"/>
            <w:shd w:fill="FFFFFF"/>
            <w:tcMar>
              <w:top w:w="80" w:type="dxa"/>
              <w:bottom w:w="80" w:type="dxa"/>
              <w:left w:w="100" w:type="dxa"/>
              <w:right w:w="100" w:type="dxa"/>
            </w:tcMar>
          </w:tcPr>
          <w:p>
            <w:r>
              <w:rPr>
                <w:rFonts w:ascii="Calibri" w:hAnsi="Calibri"/>
                <w:b/>
                <w:color w:val="2D3748"/>
                <w:sz w:val="18"/>
              </w:rPr>
              <w:t>Ventana de Contexto RAG</w:t>
            </w:r>
          </w:p>
        </w:tc>
        <w:tc>
          <w:tcPr>
            <w:tcW w:type="dxa" w:w="3120"/>
            <w:shd w:fill="FFFFFF"/>
            <w:tcMar>
              <w:top w:w="80" w:type="dxa"/>
              <w:bottom w:w="80" w:type="dxa"/>
              <w:left w:w="100" w:type="dxa"/>
              <w:right w:w="100" w:type="dxa"/>
            </w:tcMar>
          </w:tcPr>
          <w:p>
            <w:r>
              <w:rPr>
                <w:rFonts w:ascii="Calibri" w:hAnsi="Calibri"/>
                <w:color w:val="2D3748"/>
                <w:sz w:val="18"/>
              </w:rPr>
              <w:t>8,192 tokens (Restringido para libros)</w:t>
            </w:r>
          </w:p>
        </w:tc>
        <w:tc>
          <w:tcPr>
            <w:tcW w:type="dxa" w:w="3120"/>
            <w:shd w:fill="FFFFFF"/>
            <w:tcMar>
              <w:top w:w="80" w:type="dxa"/>
              <w:bottom w:w="80" w:type="dxa"/>
              <w:left w:w="100" w:type="dxa"/>
              <w:right w:w="100" w:type="dxa"/>
            </w:tcMar>
          </w:tcPr>
          <w:p>
            <w:r>
              <w:rPr>
                <w:rFonts w:ascii="Calibri" w:hAnsi="Calibri"/>
                <w:color w:val="2D3748"/>
                <w:sz w:val="18"/>
              </w:rPr>
              <w:t>1,000,000+ tokens (Permite ingresar textos enteros)</w:t>
            </w:r>
          </w:p>
        </w:tc>
      </w:tr>
      <w:tr>
        <w:tc>
          <w:tcPr>
            <w:tcW w:type="dxa" w:w="3120"/>
            <w:shd w:fill="F7FAFC"/>
            <w:tcMar>
              <w:top w:w="80" w:type="dxa"/>
              <w:bottom w:w="80" w:type="dxa"/>
              <w:left w:w="100" w:type="dxa"/>
              <w:right w:w="100" w:type="dxa"/>
            </w:tcMar>
          </w:tcPr>
          <w:p>
            <w:r>
              <w:rPr>
                <w:rFonts w:ascii="Calibri" w:hAnsi="Calibri"/>
                <w:b/>
                <w:color w:val="2D3748"/>
                <w:sz w:val="18"/>
              </w:rPr>
              <w:t>Compatibilidad con Unity 3D</w:t>
            </w:r>
          </w:p>
        </w:tc>
        <w:tc>
          <w:tcPr>
            <w:tcW w:type="dxa" w:w="3120"/>
            <w:shd w:fill="F7FAFC"/>
            <w:tcMar>
              <w:top w:w="80" w:type="dxa"/>
              <w:bottom w:w="80" w:type="dxa"/>
              <w:left w:w="100" w:type="dxa"/>
              <w:right w:w="100" w:type="dxa"/>
            </w:tcMar>
          </w:tcPr>
          <w:p>
            <w:r>
              <w:rPr>
                <w:rFonts w:ascii="Calibri" w:hAnsi="Calibri"/>
                <w:color w:val="2D3748"/>
                <w:sz w:val="18"/>
              </w:rPr>
              <w:t>Causa congelamiento y caídas de FPS</w:t>
            </w:r>
          </w:p>
        </w:tc>
        <w:tc>
          <w:tcPr>
            <w:tcW w:type="dxa" w:w="3120"/>
            <w:shd w:fill="F7FAFC"/>
            <w:tcMar>
              <w:top w:w="80" w:type="dxa"/>
              <w:bottom w:w="80" w:type="dxa"/>
              <w:left w:w="100" w:type="dxa"/>
              <w:right w:w="100" w:type="dxa"/>
            </w:tcMar>
          </w:tcPr>
          <w:p>
            <w:r>
              <w:rPr>
                <w:rFonts w:ascii="Calibri" w:hAnsi="Calibri"/>
                <w:color w:val="2D3748"/>
                <w:sz w:val="18"/>
              </w:rPr>
              <w:t>Totalmente fluido via UnityWebRequest REST API</w:t>
            </w:r>
          </w:p>
        </w:tc>
      </w:tr>
      <w:tr>
        <w:tc>
          <w:tcPr>
            <w:tcW w:type="dxa" w:w="3120"/>
            <w:shd w:fill="FFFFFF"/>
            <w:tcMar>
              <w:top w:w="80" w:type="dxa"/>
              <w:bottom w:w="80" w:type="dxa"/>
              <w:left w:w="100" w:type="dxa"/>
              <w:right w:w="100" w:type="dxa"/>
            </w:tcMar>
          </w:tcPr>
          <w:p>
            <w:r>
              <w:rPr>
                <w:rFonts w:ascii="Calibri" w:hAnsi="Calibri"/>
                <w:b/>
                <w:color w:val="2D3748"/>
                <w:sz w:val="18"/>
              </w:rPr>
              <w:t>Escalabilidad Multi-usuario</w:t>
            </w:r>
          </w:p>
        </w:tc>
        <w:tc>
          <w:tcPr>
            <w:tcW w:type="dxa" w:w="3120"/>
            <w:shd w:fill="FFFFFF"/>
            <w:tcMar>
              <w:top w:w="80" w:type="dxa"/>
              <w:bottom w:w="80" w:type="dxa"/>
              <w:left w:w="100" w:type="dxa"/>
              <w:right w:w="100" w:type="dxa"/>
            </w:tcMar>
          </w:tcPr>
          <w:p>
            <w:r>
              <w:rPr>
                <w:rFonts w:ascii="Calibri" w:hAnsi="Calibri"/>
                <w:color w:val="2D3748"/>
                <w:sz w:val="18"/>
              </w:rPr>
              <w:t>Imposible (1 solo usuario atora el equipo)</w:t>
            </w:r>
          </w:p>
        </w:tc>
        <w:tc>
          <w:tcPr>
            <w:tcW w:type="dxa" w:w="3120"/>
            <w:shd w:fill="FFFFFF"/>
            <w:tcMar>
              <w:top w:w="80" w:type="dxa"/>
              <w:bottom w:w="80" w:type="dxa"/>
              <w:left w:w="100" w:type="dxa"/>
              <w:right w:w="100" w:type="dxa"/>
            </w:tcMar>
          </w:tcPr>
          <w:p>
            <w:r>
              <w:rPr>
                <w:rFonts w:ascii="Calibri" w:hAnsi="Calibri"/>
                <w:color w:val="2D3748"/>
                <w:sz w:val="18"/>
              </w:rPr>
              <w:t>Alta (Maneja miles de peticiones en paralelo)</w:t>
            </w:r>
          </w:p>
        </w:tc>
      </w:tr>
      <w:tr>
        <w:tc>
          <w:tcPr>
            <w:tcW w:type="dxa" w:w="3120"/>
            <w:shd w:fill="F7FAFC"/>
            <w:tcMar>
              <w:top w:w="80" w:type="dxa"/>
              <w:bottom w:w="80" w:type="dxa"/>
              <w:left w:w="100" w:type="dxa"/>
              <w:right w:w="100" w:type="dxa"/>
            </w:tcMar>
          </w:tcPr>
          <w:p>
            <w:r>
              <w:rPr>
                <w:rFonts w:ascii="Calibri" w:hAnsi="Calibri"/>
                <w:b/>
                <w:color w:val="2D3748"/>
                <w:sz w:val="18"/>
              </w:rPr>
              <w:t>Costo de Infraestructura</w:t>
            </w:r>
          </w:p>
        </w:tc>
        <w:tc>
          <w:tcPr>
            <w:tcW w:type="dxa" w:w="3120"/>
            <w:shd w:fill="F7FAFC"/>
            <w:tcMar>
              <w:top w:w="80" w:type="dxa"/>
              <w:bottom w:w="80" w:type="dxa"/>
              <w:left w:w="100" w:type="dxa"/>
              <w:right w:w="100" w:type="dxa"/>
            </w:tcMar>
          </w:tcPr>
          <w:p>
            <w:r>
              <w:rPr>
                <w:rFonts w:ascii="Calibri" w:hAnsi="Calibri"/>
                <w:color w:val="2D3748"/>
                <w:sz w:val="18"/>
              </w:rPr>
              <w:t>Requiere hardware de &gt; $2,500 USD</w:t>
            </w:r>
          </w:p>
        </w:tc>
        <w:tc>
          <w:tcPr>
            <w:tcW w:type="dxa" w:w="3120"/>
            <w:shd w:fill="F7FAFC"/>
            <w:tcMar>
              <w:top w:w="80" w:type="dxa"/>
              <w:bottom w:w="80" w:type="dxa"/>
              <w:left w:w="100" w:type="dxa"/>
              <w:right w:w="100" w:type="dxa"/>
            </w:tcMar>
          </w:tcPr>
          <w:p>
            <w:r>
              <w:rPr>
                <w:rFonts w:ascii="Calibri" w:hAnsi="Calibri"/>
                <w:color w:val="2D3748"/>
                <w:sz w:val="18"/>
              </w:rPr>
              <w:t>Plan gratuito para estudiantes (Google AI Studio)</w:t>
            </w:r>
          </w:p>
        </w:tc>
      </w:tr>
    </w:tbl>
    <w:p>
      <w:pPr>
        <w:spacing w:after="240"/>
      </w:pPr>
    </w:p>
    <w:p>
      <w:pPr>
        <w:spacing w:before="200" w:after="80"/>
        <w:jc w:val="center"/>
      </w:pPr>
      <w:r>
        <w:drawing>
          <wp:inline xmlns:a="http://schemas.openxmlformats.org/drawingml/2006/main" xmlns:pic="http://schemas.openxmlformats.org/drawingml/2006/picture">
            <wp:extent cx="5303520" cy="2969971"/>
            <wp:docPr id="3" name="Picture 3"/>
            <wp:cNvGraphicFramePr>
              <a:graphicFrameLocks noChangeAspect="1"/>
            </wp:cNvGraphicFramePr>
            <a:graphic>
              <a:graphicData uri="http://schemas.openxmlformats.org/drawingml/2006/picture">
                <pic:pic>
                  <pic:nvPicPr>
                    <pic:cNvPr id="0" name="grafico3_throughput.png"/>
                    <pic:cNvPicPr/>
                  </pic:nvPicPr>
                  <pic:blipFill>
                    <a:blip r:embed="rId11"/>
                    <a:stretch>
                      <a:fillRect/>
                    </a:stretch>
                  </pic:blipFill>
                  <pic:spPr>
                    <a:xfrm>
                      <a:off x="0" y="0"/>
                      <a:ext cx="5303520" cy="2969971"/>
                    </a:xfrm>
                    <a:prstGeom prst="rect"/>
                  </pic:spPr>
                </pic:pic>
              </a:graphicData>
            </a:graphic>
          </wp:inline>
        </w:drawing>
      </w:r>
    </w:p>
    <w:p>
      <w:pPr>
        <w:spacing w:after="280"/>
        <w:jc w:val="center"/>
      </w:pPr>
      <w:r>
        <w:rPr>
          <w:rFonts w:ascii="Arial" w:hAnsi="Arial"/>
          <w:i/>
          <w:color w:val="718096"/>
          <w:sz w:val="18"/>
        </w:rPr>
        <w:t>Figura 3. Tasa de generación de tokens por segundo (Throughput) entre modelos locales y Cloud API.</w:t>
      </w:r>
    </w:p>
    <w:p>
      <w:pPr>
        <w:spacing w:before="200" w:after="80"/>
        <w:jc w:val="center"/>
      </w:pPr>
      <w:r>
        <w:drawing>
          <wp:inline xmlns:a="http://schemas.openxmlformats.org/drawingml/2006/main" xmlns:pic="http://schemas.openxmlformats.org/drawingml/2006/picture">
            <wp:extent cx="4114800" cy="3798277"/>
            <wp:docPr id="4" name="Picture 4"/>
            <wp:cNvGraphicFramePr>
              <a:graphicFrameLocks noChangeAspect="1"/>
            </wp:cNvGraphicFramePr>
            <a:graphic>
              <a:graphicData uri="http://schemas.openxmlformats.org/drawingml/2006/picture">
                <pic:pic>
                  <pic:nvPicPr>
                    <pic:cNvPr id="0" name="grafico4_radar.png"/>
                    <pic:cNvPicPr/>
                  </pic:nvPicPr>
                  <pic:blipFill>
                    <a:blip r:embed="rId12"/>
                    <a:stretch>
                      <a:fillRect/>
                    </a:stretch>
                  </pic:blipFill>
                  <pic:spPr>
                    <a:xfrm>
                      <a:off x="0" y="0"/>
                      <a:ext cx="4114800" cy="3798277"/>
                    </a:xfrm>
                    <a:prstGeom prst="rect"/>
                  </pic:spPr>
                </pic:pic>
              </a:graphicData>
            </a:graphic>
          </wp:inline>
        </w:drawing>
      </w:r>
    </w:p>
    <w:p>
      <w:pPr>
        <w:spacing w:after="280"/>
        <w:jc w:val="center"/>
      </w:pPr>
      <w:r>
        <w:rPr>
          <w:rFonts w:ascii="Arial" w:hAnsi="Arial"/>
          <w:i/>
          <w:color w:val="718096"/>
          <w:sz w:val="18"/>
        </w:rPr>
        <w:t>Figura 4. Evaluación multicriterio en escala de 1 a 10 entre Ollama (Local) y Gemini API (Cloud).</w:t>
      </w:r>
    </w:p>
    <w:p>
      <w:pPr>
        <w:keepNext/>
        <w:spacing w:before="280" w:after="80"/>
      </w:pPr>
      <w:r>
        <w:rPr>
          <w:rFonts w:ascii="Arial" w:hAnsi="Arial"/>
          <w:b/>
          <w:color w:val="2B6CB0"/>
          <w:sz w:val="26"/>
        </w:rPr>
        <w:t>4.1 Ventajas y Desventajas de la IA Local</w:t>
      </w:r>
    </w:p>
    <w:p>
      <w:pPr>
        <w:spacing w:after="120" w:line="276" w:lineRule="auto"/>
      </w:pPr>
      <w:r>
        <w:rPr>
          <w:rFonts w:ascii="Calibri" w:hAnsi="Calibri"/>
          <w:color w:val="2D3748"/>
          <w:sz w:val="22"/>
        </w:rPr>
        <w:t>• Ventajas: Privacidad absoluta de datos y funcionamiento sin conexión a internet.</w:t>
      </w:r>
    </w:p>
    <w:p>
      <w:pPr>
        <w:spacing w:after="120" w:line="276" w:lineRule="auto"/>
      </w:pPr>
      <w:r>
        <w:rPr>
          <w:rFonts w:ascii="Calibri" w:hAnsi="Calibri"/>
          <w:color w:val="2D3748"/>
          <w:sz w:val="22"/>
        </w:rPr>
        <w:t>• Desventajas: Requiere hardware extremadamente costoso (GPUs clase RTX 4080 o Apple Silicon M2/M3 Max con memoria unificada de &gt; 32 GB), respuesta hiper-lenta en laptops estándar, agotamiento acelerado de batería y nula capacidad de servir peticiones a múltiples usuarios simultáneos.</w:t>
      </w:r>
    </w:p>
    <w:p>
      <w:pPr>
        <w:keepNext/>
        <w:spacing w:before="280" w:after="80"/>
      </w:pPr>
      <w:r>
        <w:rPr>
          <w:rFonts w:ascii="Arial" w:hAnsi="Arial"/>
          <w:b/>
          <w:color w:val="2B6CB0"/>
          <w:sz w:val="26"/>
        </w:rPr>
        <w:t>4.2 Ventajas y Desventajas de Gemini API</w:t>
      </w:r>
    </w:p>
    <w:p>
      <w:pPr>
        <w:spacing w:after="120" w:line="276" w:lineRule="auto"/>
      </w:pPr>
      <w:r>
        <w:rPr>
          <w:rFonts w:ascii="Calibri" w:hAnsi="Calibri"/>
          <w:color w:val="2D3748"/>
          <w:sz w:val="22"/>
        </w:rPr>
        <w:t>• Ventajas: Respuestas ultra-rápidas en tiempo real (&lt; 2 segundos), cero carga en el dispositivo del estudiante, capacidad de razonar sobre documentos extensos con una ventana de contexto de 1 a 2 millones de tokens, e integración limpia mediante llamadas HTTP REST.</w:t>
      </w:r>
    </w:p>
    <w:p>
      <w:pPr>
        <w:spacing w:after="120" w:line="276" w:lineRule="auto"/>
      </w:pPr>
      <w:r>
        <w:rPr>
          <w:rFonts w:ascii="Calibri" w:hAnsi="Calibri"/>
          <w:color w:val="2D3748"/>
          <w:sz w:val="22"/>
        </w:rPr>
        <w:t>• Desventajas: Requiere conexión a internet activa para consultar el modelo cloud.</w:t>
      </w:r>
    </w:p>
    <w:p>
      <w:pPr>
        <w:keepNext/>
        <w:spacing w:before="280" w:after="80"/>
      </w:pPr>
      <w:r>
        <w:rPr>
          <w:rFonts w:ascii="Arial" w:hAnsi="Arial"/>
          <w:b/>
          <w:color w:val="2B6CB0"/>
          <w:sz w:val="26"/>
        </w:rPr>
        <w:t>4.3 Opciones para Estudiantes y Despliegue Gratuito</w:t>
      </w:r>
    </w:p>
    <w:p>
      <w:pPr>
        <w:spacing w:after="120" w:line="276" w:lineRule="auto"/>
      </w:pPr>
      <w:r>
        <w:rPr>
          <w:rFonts w:ascii="Calibri" w:hAnsi="Calibri"/>
          <w:color w:val="2D3748"/>
          <w:sz w:val="22"/>
        </w:rPr>
        <w:t>Google proporciona a estudiantes e investigadores el programa Google AI Studio, el cual incluye acceso gratuito al modelo Gemini 1.5 Flash con un límite generoso de hasta 15 peticiones por minuto (RPM) y 1,500 peticiones por día sin costo alguno. Esta cuota es perfectamente suficiente para sostener la etapa de pruebas, evaluación y despliegue del proyecto académico de la Konrad Lorenz.</w:t>
      </w:r>
    </w:p>
    <w:p>
      <w:pPr>
        <w:keepNext/>
        <w:spacing w:before="360" w:after="120"/>
      </w:pPr>
      <w:r>
        <w:rPr>
          <w:rFonts w:ascii="Arial" w:hAnsi="Arial"/>
          <w:b/>
          <w:color w:val="1A365D"/>
          <w:sz w:val="32"/>
        </w:rPr>
        <w:t>5. JUSTIFICACIÓN FINAL Y ARQUITECTURA DEL SISTEMA</w:t>
      </w:r>
    </w:p>
    <w:p>
      <w:pPr>
        <w:spacing w:after="120" w:line="276" w:lineRule="auto"/>
      </w:pPr>
      <w:r>
        <w:rPr>
          <w:rFonts w:ascii="Calibri" w:hAnsi="Calibri"/>
          <w:color w:val="2D3748"/>
          <w:sz w:val="22"/>
        </w:rPr>
        <w:t>Tras finalizar la fase de experimentación empírica, la decisión del equipo de desarrollo fue unánime: la arquitectura debe adoptar la API de Gemini como motor principal de inferencia LLM y embeddings.</w:t>
      </w:r>
    </w:p>
    <w:p>
      <w:pPr>
        <w:spacing w:after="120" w:line="276" w:lineRule="auto"/>
      </w:pPr>
      <w:r>
        <w:rPr>
          <w:rFonts w:ascii="Calibri" w:hAnsi="Calibri"/>
          <w:color w:val="2D3748"/>
          <w:sz w:val="22"/>
        </w:rPr>
        <w:t>La arquitectura del sistema queda estructurada en tres capas bien definidas:</w:t>
      </w:r>
    </w:p>
    <w:p>
      <w:pPr>
        <w:spacing w:after="120" w:line="276" w:lineRule="auto"/>
      </w:pPr>
      <w:r>
        <w:rPr>
          <w:rFonts w:ascii="Calibri" w:hAnsi="Calibri"/>
          <w:color w:val="2D3748"/>
          <w:sz w:val="22"/>
        </w:rPr>
        <w:t>1. Capa de Presentación (Front-End Unity 3D / Web): Interfaz gráfica inmersiva que renderiza los modelos 3D neuroanatómicos y gestiona el chat mediante peticiones asíncronas UnityWebRequest hacia el backend API REST.</w:t>
      </w:r>
    </w:p>
    <w:p>
      <w:pPr>
        <w:spacing w:after="120" w:line="276" w:lineRule="auto"/>
      </w:pPr>
      <w:r>
        <w:rPr>
          <w:rFonts w:ascii="Calibri" w:hAnsi="Calibri"/>
          <w:color w:val="2D3748"/>
          <w:sz w:val="22"/>
        </w:rPr>
        <w:t>2. Capa de Servicios y Lógica RAG (Backend Cloud Servidor): Desplegado en un contenedor ligero en plataformas como Firebase Hosting / Cloud Functions, Vercel o Render. Recibe la consulta del usuario, recupera los vectores relevantes desde ChromaDB / Cloud DB y construye el prompt sintético.</w:t>
      </w:r>
    </w:p>
    <w:p>
      <w:pPr>
        <w:spacing w:after="120" w:line="276" w:lineRule="auto"/>
      </w:pPr>
      <w:r>
        <w:rPr>
          <w:rFonts w:ascii="Calibri" w:hAnsi="Calibri"/>
          <w:color w:val="2D3748"/>
          <w:sz w:val="22"/>
        </w:rPr>
        <w:t>3. Capa de Inferencia AI (Google Gemini API): Procesa el contexto y la consulta académica en la nube de Google, devolviendo la respuesta estructurada en menos de 1.5 segundos.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BENEFICIO ARQUITECTÓNICO FINAL</w:t>
              <w:br/>
            </w:r>
            <w:r>
              <w:rPr>
                <w:rFonts w:ascii="Calibri" w:hAnsi="Calibri"/>
                <w:i/>
                <w:color w:val="2D3748"/>
                <w:sz w:val="20"/>
              </w:rPr>
              <w:t>Esta arquitectura desacoplada garantiza que la aplicación cliente en Unity sea liviana (menos de 50 MB de ejecutable), se pueda compilar para cualquier plataforma (Windows, macOS, WebGL o dispositivos móviles) y no exija tarjetas de video dedicadas a los estudiantes.</w:t>
            </w:r>
          </w:p>
        </w:tc>
      </w:tr>
    </w:tbl>
    <w:p>
      <w:pPr>
        <w:spacing w:after="120"/>
      </w:pPr>
    </w:p>
    <w:p>
      <w:pPr>
        <w:keepNext/>
        <w:spacing w:before="360" w:after="120"/>
      </w:pPr>
      <w:r>
        <w:rPr>
          <w:rFonts w:ascii="Arial" w:hAnsi="Arial"/>
          <w:b/>
          <w:color w:val="1A365D"/>
          <w:sz w:val="32"/>
        </w:rPr>
        <w:t>6. HOJA DE RUTA E INSTRUCCIONES PARA LOS SIGUIENTES PASOS</w:t>
      </w:r>
    </w:p>
    <w:p>
      <w:pPr>
        <w:spacing w:after="120" w:line="276" w:lineRule="auto"/>
      </w:pPr>
      <w:r>
        <w:rPr>
          <w:rFonts w:ascii="Calibri" w:hAnsi="Calibri"/>
          <w:color w:val="2D3748"/>
          <w:sz w:val="22"/>
        </w:rPr>
        <w:t>Para culminar la implementación completa del proyecto conforme a los requerimientos planteados, se ejecutará el siguiente plan de trabajo estructurado en tres fases estratégicas:</w:t>
      </w:r>
    </w:p>
    <w:p>
      <w:pPr>
        <w:keepNext/>
        <w:spacing w:before="280" w:after="80"/>
      </w:pPr>
      <w:r>
        <w:rPr>
          <w:rFonts w:ascii="Arial" w:hAnsi="Arial"/>
          <w:b/>
          <w:color w:val="2B6CB0"/>
          <w:sz w:val="26"/>
        </w:rPr>
        <w:t>Paso 1: Actualización del Pipeline RAG a Gemini API</w:t>
      </w:r>
    </w:p>
    <w:p>
      <w:pPr>
        <w:spacing w:after="120" w:line="276" w:lineRule="auto"/>
      </w:pPr>
      <w:r>
        <w:rPr>
          <w:rFonts w:ascii="Calibri" w:hAnsi="Calibri"/>
          <w:color w:val="2D3748"/>
          <w:sz w:val="22"/>
        </w:rPr>
        <w:t>Se sustituirán las clases de OllamaEmbeddings y ChatOllama en `rag_pipeline.py` por `GoogleGenerativeAIEmbeddings` (modelo text-embedding-004) y `ChatGoogleGenerativeAI` (modelo gemini-1.5-flash) pertenecientes a la librería `langchain-google-genai`.</w:t>
      </w:r>
    </w:p>
    <w:p>
      <w:pPr>
        <w:keepNext/>
        <w:spacing w:before="280" w:after="80"/>
      </w:pPr>
      <w:r>
        <w:rPr>
          <w:rFonts w:ascii="Arial" w:hAnsi="Arial"/>
          <w:b/>
          <w:color w:val="2B6CB0"/>
          <w:sz w:val="26"/>
        </w:rPr>
        <w:t>Paso 2: Configuración de Hosting Gratuito y Cuenta Estudiantil</w:t>
      </w:r>
    </w:p>
    <w:p>
      <w:pPr>
        <w:spacing w:after="120" w:line="276" w:lineRule="auto"/>
      </w:pPr>
      <w:r>
        <w:rPr>
          <w:rFonts w:ascii="Calibri" w:hAnsi="Calibri"/>
          <w:color w:val="2D3748"/>
          <w:sz w:val="22"/>
        </w:rPr>
        <w:t>Se registrará la cuenta institucional de la universidad en Google Cloud / Firebase Hosting o plataformas de microservicios gratuitas (Render / Vercel / Railway). Se configurarán las variables de entorno (`GEMINI_API_KEY`) de forma segura en la nube para exponer un endpoint HTTPS público.</w:t>
      </w:r>
    </w:p>
    <w:p>
      <w:pPr>
        <w:keepNext/>
        <w:spacing w:before="280" w:after="80"/>
      </w:pPr>
      <w:r>
        <w:rPr>
          <w:rFonts w:ascii="Arial" w:hAnsi="Arial"/>
          <w:b/>
          <w:color w:val="2B6CB0"/>
          <w:sz w:val="26"/>
        </w:rPr>
        <w:t>Paso 3: Construcción de la Interfaz Inicial en Unity 3D</w:t>
      </w:r>
    </w:p>
    <w:p>
      <w:pPr>
        <w:spacing w:after="120" w:line="276" w:lineRule="auto"/>
      </w:pPr>
      <w:r>
        <w:rPr>
          <w:rFonts w:ascii="Calibri" w:hAnsi="Calibri"/>
          <w:color w:val="2D3748"/>
          <w:sz w:val="22"/>
        </w:rPr>
        <w:t>Se creará la escena principal en Unity 3D compuesta por un Canvas de UI con ScrollView para el historial de mensajes, InputField para la entrada de preguntas, botones interactivos de envío y un gestor de red C# (`NeuroChatController.cs`) que realiza llamadas REST asíncronas hacia el backend en la nube.</w:t>
      </w:r>
    </w:p>
    <w:p>
      <w:pPr>
        <w:keepNext/>
        <w:spacing w:before="360" w:after="120"/>
      </w:pPr>
      <w:r>
        <w:rPr>
          <w:rFonts w:ascii="Arial" w:hAnsi="Arial"/>
          <w:b/>
          <w:color w:val="1A365D"/>
          <w:sz w:val="32"/>
        </w:rPr>
        <w:t>7. CONCLUSIONES DE LA FASE PILOTO (OLLAMA VS. GEMINI)</w:t>
      </w:r>
    </w:p>
    <w:p>
      <w:pPr>
        <w:spacing w:after="120" w:line="276" w:lineRule="auto"/>
      </w:pPr>
      <w:r>
        <w:rPr>
          <w:rFonts w:ascii="Calibri" w:hAnsi="Calibri"/>
          <w:color w:val="2D3748"/>
          <w:sz w:val="22"/>
        </w:rPr>
        <w:t>1. La inferencia local de IA mediante Ollama en equipos portátiles de especificaciones medias (como la MacBook Pro Intel i7 con 4 GB VRAM) resulta inviable para aplicaciones interactivas en tiempo real combinadas con motores gráficos como Unity 3D.</w:t>
      </w:r>
    </w:p>
    <w:p>
      <w:pPr>
        <w:spacing w:after="120" w:line="276" w:lineRule="auto"/>
      </w:pPr>
      <w:r>
        <w:rPr>
          <w:rFonts w:ascii="Calibri" w:hAnsi="Calibri"/>
          <w:color w:val="2D3748"/>
          <w:sz w:val="22"/>
        </w:rPr>
        <w:t>2. La adopción de la API de Google Gemini mejora la velocidad de respuesta de 38-54 segundos a tan solo 1.2-2.1 segundos, representando un incremento de eficiencia de 18x y permitiendo una experiencia de usuario totalmente fluida.</w:t>
      </w:r>
    </w:p>
    <w:p>
      <w:pPr>
        <w:spacing w:after="120" w:line="276" w:lineRule="auto"/>
      </w:pPr>
      <w:r>
        <w:rPr>
          <w:rFonts w:ascii="Calibri" w:hAnsi="Calibri"/>
          <w:color w:val="2D3748"/>
          <w:sz w:val="22"/>
        </w:rPr>
        <w:t>3. El aprovechamiento de la cuota gratuita para desarrollo académico en Google AI Studio permite operar el backend sin generar costos financieros para la universidad durante la etapa lectiva y de pruebas de tesis.</w:t>
      </w:r>
    </w:p>
    <w:p>
      <w:pPr>
        <w:keepNext/>
        <w:spacing w:before="360" w:after="120"/>
      </w:pPr>
      <w:r>
        <w:rPr>
          <w:rFonts w:ascii="Arial" w:hAnsi="Arial"/>
          <w:b/>
          <w:color w:val="1A365D"/>
          <w:sz w:val="32"/>
        </w:rPr>
        <w:t>8. EVOLUCIÓN ARQUITECTÓNICA: DE GEMINI A GROQ LPU Y OPTIMIZACIÓN DE MEMORIA CON ONNX RUNTIME</w:t>
      </w:r>
    </w:p>
    <w:p>
      <w:pPr>
        <w:spacing w:after="120" w:line="276" w:lineRule="auto"/>
      </w:pPr>
      <w:r>
        <w:rPr>
          <w:rFonts w:ascii="Calibri" w:hAnsi="Calibri"/>
          <w:color w:val="2D3748"/>
          <w:sz w:val="22"/>
        </w:rPr>
        <w:t>Aunque la migración inicial de Ollama hacia Google Gemini representó un salto cualitativo indispensable para superar la sobrecarga de hardware local, la fase subsiguiente de desarrollo, pruebas de estrés e integración continua en producción reveló nuevos desafíos de infraestructura que motivaron la transición hacia la arquitectura definitiva basada en Groq Cloud LPU y ChromaDB con ONNX Runtime.</w:t>
      </w:r>
    </w:p>
    <w:p>
      <w:pPr>
        <w:keepNext/>
        <w:spacing w:before="280" w:after="80"/>
      </w:pPr>
      <w:r>
        <w:rPr>
          <w:rFonts w:ascii="Arial" w:hAnsi="Arial"/>
          <w:b/>
          <w:color w:val="2B6CB0"/>
          <w:sz w:val="26"/>
        </w:rPr>
        <w:t>8.1 Justificación Técnica de la Transición desde Google Gemini</w:t>
      </w:r>
    </w:p>
    <w:p>
      <w:pPr>
        <w:spacing w:after="120" w:line="276" w:lineRule="auto"/>
      </w:pPr>
      <w:r>
        <w:rPr>
          <w:rFonts w:ascii="Calibri" w:hAnsi="Calibri"/>
          <w:color w:val="2D3748"/>
          <w:sz w:val="22"/>
        </w:rPr>
        <w:t>Durante las pruebas intensivas de la API REST y su integración con el cliente en Unity (C#), se identificaron tres limitaciones críticas en la capa de Google Gemini (Google AI Studio):</w:t>
      </w:r>
    </w:p>
    <w:p>
      <w:pPr>
        <w:spacing w:after="120" w:line="276" w:lineRule="auto"/>
      </w:pPr>
      <w:r>
        <w:rPr>
          <w:rFonts w:ascii="Calibri" w:hAnsi="Calibri"/>
          <w:b/>
          <w:color w:val="1A202C"/>
          <w:sz w:val="22"/>
        </w:rPr>
        <w:t xml:space="preserve">a) </w:t>
      </w:r>
      <w:r>
        <w:rPr>
          <w:rFonts w:ascii="Calibri" w:hAnsi="Calibri"/>
          <w:color w:val="2D3748"/>
          <w:sz w:val="22"/>
        </w:rPr>
        <w:t>1. Restricción de Cuotas y Rate-Limiting Estricto (HTTP 429 Too Many Requests): El plan gratuito de Gemini 1.5/3.6 Flash impone un límite de 15 solicitudes por minuto (RPM). Cuando múltiples estudiantes realizaban preguntas simultáneas o se generaban ráfagas de prueba rápidas desde Unity, el servicio de Google arrojaba errores ResourceExhausted (código 429), interrumpiendo la experiencia de aprendizaje.</w:t>
      </w:r>
    </w:p>
    <w:p>
      <w:pPr>
        <w:spacing w:after="120" w:line="276" w:lineRule="auto"/>
      </w:pPr>
      <w:r>
        <w:rPr>
          <w:rFonts w:ascii="Calibri" w:hAnsi="Calibri"/>
          <w:b/>
          <w:color w:val="1A202C"/>
          <w:sz w:val="22"/>
        </w:rPr>
        <w:t xml:space="preserve">b) </w:t>
      </w:r>
      <w:r>
        <w:rPr>
          <w:rFonts w:ascii="Calibri" w:hAnsi="Calibri"/>
          <w:color w:val="2D3748"/>
          <w:sz w:val="22"/>
        </w:rPr>
        <w:t>2. Variabilidad de Latencia en Horas Pico: En momentos de alta congestión global en la infraestructura de Google, la latencia de respuesta se degradaba desde 1.5 segundos hasta superar los 7-9 segundos, afectando la interactividad de la escena 3D.</w:t>
      </w:r>
    </w:p>
    <w:p>
      <w:pPr>
        <w:spacing w:after="120" w:line="276" w:lineRule="auto"/>
      </w:pPr>
      <w:r>
        <w:rPr>
          <w:rFonts w:ascii="Calibri" w:hAnsi="Calibri"/>
          <w:b/>
          <w:color w:val="1A202C"/>
          <w:sz w:val="22"/>
        </w:rPr>
        <w:t xml:space="preserve">c) </w:t>
      </w:r>
      <w:r>
        <w:rPr>
          <w:rFonts w:ascii="Calibri" w:hAnsi="Calibri"/>
          <w:color w:val="2D3748"/>
          <w:sz w:val="22"/>
        </w:rPr>
        <w:t>3. Inconsistencias de Formato y Estructura en la Respuesta: Ocasionalmente, las respuestas del modelo en la nube introducían formatos Markdown irregulares o truncaban la salida, dificultando la deserialización limpia del JSON esperado por el controlador C# en Unity (AtenaClient.cs).</w:t>
      </w:r>
    </w:p>
    <w:p>
      <w:pPr>
        <w:keepNext/>
        <w:spacing w:before="280" w:after="80"/>
      </w:pPr>
      <w:r>
        <w:rPr>
          <w:rFonts w:ascii="Arial" w:hAnsi="Arial"/>
          <w:b/>
          <w:color w:val="2B6CB0"/>
          <w:sz w:val="26"/>
        </w:rPr>
        <w:t>8.2 Selección de Groq Cloud LPU y el Motor de Inferencia</w:t>
      </w:r>
    </w:p>
    <w:p>
      <w:pPr>
        <w:spacing w:after="120" w:line="276" w:lineRule="auto"/>
      </w:pPr>
      <w:r>
        <w:rPr>
          <w:rFonts w:ascii="Calibri" w:hAnsi="Calibri"/>
          <w:color w:val="2D3748"/>
          <w:sz w:val="22"/>
        </w:rPr>
        <w:t>Para solventar estas falencias, se adoptó la plataforma Groq Cloud, impulsada por Unidades de Procesamiento de Lenguaje (LPU - Language Processing Unit). A diferencia de las GPUs convencionales que sufren cuellos de botella en el ancho de banda de memoria (HBM), los procesadores LPU de Groq integran memoria estática ultrarrápida (SRAM) directamente acoplada a la matriz computacional, ofreciendo un flujo de datos determinista y una arquitectura sin contención.</w:t>
      </w:r>
    </w:p>
    <w:p>
      <w:pPr>
        <w:spacing w:after="120" w:line="276" w:lineRule="auto"/>
      </w:pPr>
      <w:r>
        <w:rPr>
          <w:rFonts w:ascii="Calibri" w:hAnsi="Calibri"/>
          <w:color w:val="2D3748"/>
          <w:sz w:val="22"/>
        </w:rPr>
        <w:t>• Rendimiento Extremo: Groq alcanza velocidades de generación superiores a 350-500 tokens por segundo, reduciendo la latencia de respuesta promedio a menos de 0.8 segundos (tiempo casi instantáneo).</w:t>
      </w:r>
    </w:p>
    <w:p>
      <w:pPr>
        <w:spacing w:after="120" w:line="276" w:lineRule="auto"/>
      </w:pPr>
      <w:r>
        <w:rPr>
          <w:rFonts w:ascii="Calibri" w:hAnsi="Calibri"/>
          <w:color w:val="2D3748"/>
          <w:sz w:val="22"/>
        </w:rPr>
        <w:t>• Modelo Seleccionado: Se configuró el modelo de alta capacidad de razonamiento openai/gpt-oss-120b (con posibilidad de alternancia configurable en variables de entorno). Este modelo demostró un comportamiento académico impecable: cero alucinaciones bajo la directiva de restringirse estrictamente al corpus bibliográfico indexado, adaptación de tono pedagógico y generación de explicaciones clínicas rigurosas.</w:t>
      </w:r>
    </w:p>
    <w:p>
      <w:pPr>
        <w:spacing w:after="120" w:line="276" w:lineRule="auto"/>
      </w:pPr>
      <w:r>
        <w:rPr>
          <w:rFonts w:ascii="Calibri" w:hAnsi="Calibri"/>
          <w:color w:val="2D3748"/>
          <w:sz w:val="22"/>
        </w:rPr>
        <w:t>• Viabilidad Económica Institucional: La plataforma ofrece cuotas de inferencia gratuitas altamente generosas para investigación y academia, manteniendo un costo operativo de $0 USD para la Fundación Universitaria Konrad Lorenz.</w:t>
      </w:r>
    </w:p>
    <w:p>
      <w:pPr>
        <w:keepNext/>
        <w:spacing w:before="280" w:after="80"/>
      </w:pPr>
      <w:r>
        <w:rPr>
          <w:rFonts w:ascii="Arial" w:hAnsi="Arial"/>
          <w:b/>
          <w:color w:val="2B6CB0"/>
          <w:sz w:val="26"/>
        </w:rPr>
        <w:t>8.3 El Desafío de Memoria en el Servidor Cloud (Render 512 MiB) y la Solución con ONNX Runtime</w:t>
      </w:r>
    </w:p>
    <w:p>
      <w:pPr>
        <w:spacing w:after="120" w:line="276" w:lineRule="auto"/>
      </w:pPr>
      <w:r>
        <w:rPr>
          <w:rFonts w:ascii="Calibri" w:hAnsi="Calibri"/>
          <w:color w:val="2D3748"/>
          <w:sz w:val="22"/>
        </w:rPr>
        <w:t>Uno de los hitos de ingeniería más significativos de esta etapa ocurrió durante el despliegue del contenedor Docker en Render.com bajo la modalidad de servicio permanente gratuito (Free Tier):</w:t>
      </w:r>
    </w:p>
    <w:p>
      <w:pPr>
        <w:spacing w:after="120" w:line="276" w:lineRule="auto"/>
      </w:pPr>
      <w:r>
        <w:rPr>
          <w:rFonts w:ascii="Calibri" w:hAnsi="Calibri"/>
          <w:color w:val="2D3748"/>
          <w:sz w:val="22"/>
        </w:rPr>
        <w:t>El orquestador de Render impone un límite estricto de 512 MiB de memoria RAM por contenedor. Al utilizar la pila tradicional de procesamiento vectorial (PyTorch, sentence-transformers y CUDA runtime), el servidor consumía entre 520 MiB y 650 MiB únicamente durante la fase de inicialización y carga de librerías en memoria. Esto provocaba que el sistema operativo del host terminara el proceso de inmediato mediante la señal SIGKILL con el error 'Out of memory (used over 512Mi)'. Adicionalmente, la imagen de Docker superaba los 2.8 GB de peso, demorando los despliegues más de 12 minutos.</w:t>
      </w:r>
    </w:p>
    <w:p>
      <w:pPr>
        <w:spacing w:after="120" w:line="276" w:lineRule="auto"/>
      </w:pPr>
      <w:r>
        <w:rPr>
          <w:rFonts w:ascii="Calibri" w:hAnsi="Calibri"/>
          <w:color w:val="2D3748"/>
          <w:sz w:val="22"/>
        </w:rPr>
        <w:t>Solución de Optimización: Se rediseñó por completo el pipeline de vectorización sustituyendo PyTorch por la función nativa ONNXMiniLM_L6_V2 embebida en ChromaDB. Al emplear ONNX Runtime compilado en C++ para CPU, se eliminaron todas las dependencias pesadas de aprendizaje profundo. El consumo de memoria RAM en reposo del backend se redujo de 520 MB a menos de 140 MB (un ahorro de más del 73% de memoria), operando con total estabilidad dentro del límite de 512 MiB de Render. Asimismo, el tamaño de la imagen Docker se redujo a ~550 MB, acelerando el despliegue continuo en GitHub a solo 2 minutos.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INNOVACIÓN EN EFICIENCIA DE INFRAESTRUCTURA</w:t>
              <w:br/>
            </w:r>
            <w:r>
              <w:rPr>
                <w:rFonts w:ascii="Calibri" w:hAnsi="Calibri"/>
                <w:i/>
                <w:color w:val="2D3748"/>
                <w:sz w:val="20"/>
              </w:rPr>
              <w:t>La sustitución de PyTorch por ONNX Runtime redujo la huella de memoria RAM del servidor de 520 MB a 140 MB (-73%) y recortó el tamaño del contenedor Docker en un 80%, permitiendo desplegar un sistema RAG de alta fidelidad dentro del límite gratuito de 512 MiB de Render sin costo mensual para la institución.</w:t>
            </w:r>
          </w:p>
        </w:tc>
      </w:tr>
    </w:tbl>
    <w:p>
      <w:pPr>
        <w:spacing w:after="120"/>
      </w:pPr>
    </w:p>
    <w:p>
      <w:pPr>
        <w:keepNext/>
        <w:spacing w:before="280" w:after="80"/>
      </w:pPr>
      <w:r>
        <w:rPr>
          <w:rFonts w:ascii="Arial" w:hAnsi="Arial"/>
          <w:b/>
          <w:color w:val="2B6CB0"/>
          <w:sz w:val="26"/>
        </w:rPr>
        <w:t>8.4 Pre-indexación Vectorial e Inmutabilidad de la Base de Datos</w:t>
      </w:r>
    </w:p>
    <w:p>
      <w:pPr>
        <w:spacing w:after="120" w:line="276" w:lineRule="auto"/>
      </w:pPr>
      <w:r>
        <w:rPr>
          <w:rFonts w:ascii="Calibri" w:hAnsi="Calibri"/>
          <w:color w:val="2D3748"/>
          <w:sz w:val="22"/>
        </w:rPr>
        <w:t>En los contenedores efímeros de la capa gratuita de Render, cualquier archivo creado en disco durante la ejecución se descarta al reiniciar el servicio. Si el backend vectorizara los libros de neuroanatomía cada vez que arranca, consumiría picos de CPU y memoria que violarían las restricciones del servidor y demorarían minutos en iniciar.</w:t>
      </w:r>
    </w:p>
    <w:p>
      <w:pPr>
        <w:spacing w:after="120" w:line="276" w:lineRule="auto"/>
      </w:pPr>
      <w:r>
        <w:rPr>
          <w:rFonts w:ascii="Calibri" w:hAnsi="Calibri"/>
          <w:color w:val="2D3748"/>
          <w:sz w:val="22"/>
        </w:rPr>
        <w:t>Para garantizar disponibilidad instantánea, la base de datos vectorial ChromaDB (carpeta chroma_neuro_db, con un peso optimizado de aproximadamente 32 MB) se indexa en el entorno de desarrollo y se versiona directamente dentro del repositorio Git y la imagen Docker. De este modo, al levantarse el contenedor en la nube, el índice semántico ya está construido y listo para consultar en memoria en menos de 2 segundos.</w:t>
      </w:r>
    </w:p>
    <w:p>
      <w:pPr>
        <w:spacing w:after="120" w:line="276" w:lineRule="auto"/>
      </w:pPr>
      <w:r>
        <w:rPr>
          <w:rFonts w:ascii="Calibri" w:hAnsi="Calibri"/>
          <w:b/>
          <w:color w:val="1A202C"/>
          <w:sz w:val="22"/>
        </w:rPr>
        <w:t xml:space="preserve">Estrategia de Mantenimiento y Extensibilidad: </w:t>
      </w:r>
      <w:r>
        <w:rPr>
          <w:rFonts w:ascii="Calibri" w:hAnsi="Calibri"/>
          <w:color w:val="2D3748"/>
          <w:sz w:val="22"/>
        </w:rPr>
        <w:t>¿Cómo se actualiza la literatura médica si el equipo docente desea incorporar nuevos libros o investigaciones?</w:t>
      </w:r>
    </w:p>
    <w:p>
      <w:pPr>
        <w:spacing w:after="120" w:line="276" w:lineRule="auto"/>
      </w:pPr>
      <w:r>
        <w:rPr>
          <w:rFonts w:ascii="Calibri" w:hAnsi="Calibri"/>
          <w:color w:val="2D3748"/>
          <w:sz w:val="22"/>
        </w:rPr>
        <w:t>El proceso no interrumpe el servicio en producción. El investigador simplemente añade el nuevo archivo PDF a la carpeta Docs/ en su equipo local, ejecuta el script de vectorización (o utiliza la interfaz gráfica administrativa de Streamlit con PIN de seguridad '1234'), y realiza un git push a la rama main. Render detecta el cambio automáticamente, compila la nueva imagen con los vectores actualizados y realiza un despliegue sin tiempo de inactividad (Zero Downtime Deployment).</w:t>
      </w:r>
    </w:p>
    <w:p>
      <w:pPr>
        <w:keepNext/>
        <w:spacing w:before="280" w:after="80"/>
      </w:pPr>
      <w:r>
        <w:rPr>
          <w:rFonts w:ascii="Arial" w:hAnsi="Arial"/>
          <w:b/>
          <w:color w:val="2B6CB0"/>
          <w:sz w:val="26"/>
        </w:rPr>
        <w:t>8.5 Búsqueda Híbrida, Tolerancia a Errores Léxicos (Fuzzy Matching) y Trazabilidad</w:t>
      </w:r>
    </w:p>
    <w:p>
      <w:pPr>
        <w:spacing w:after="120" w:line="276" w:lineRule="auto"/>
      </w:pPr>
      <w:r>
        <w:rPr>
          <w:rFonts w:ascii="Calibri" w:hAnsi="Calibri"/>
          <w:color w:val="2D3748"/>
          <w:sz w:val="22"/>
        </w:rPr>
        <w:t>Para maximizar la precisión pedagógica ante consultas de estudiantes mediante dispositivos móviles y visores AR, se implementaron tres mejoras algorítmicas en rag_pipeline.py:</w:t>
      </w:r>
    </w:p>
    <w:p>
      <w:pPr>
        <w:spacing w:after="120" w:line="276" w:lineRule="auto"/>
      </w:pPr>
      <w:r>
        <w:rPr>
          <w:rFonts w:ascii="Calibri" w:hAnsi="Calibri"/>
          <w:b/>
          <w:color w:val="1A202C"/>
          <w:sz w:val="22"/>
        </w:rPr>
        <w:t xml:space="preserve">• </w:t>
      </w:r>
      <w:r>
        <w:rPr>
          <w:rFonts w:ascii="Calibri" w:hAnsi="Calibri"/>
          <w:color w:val="2D3748"/>
          <w:sz w:val="22"/>
        </w:rPr>
        <w:t>1. Tolerancia a Errores Tipográficos (Fuzzy Matching): En pantallas táctiles es frecuente que los estudiantes cometan errores ortográficos en términos complejos de neuroanatomía (por ejemplo, escribir 'hipicampo' en lugar de 'hipocampo', o 'cerebelo' con omisiones). Se implementó un algoritmo basado en difflib.get_close_matches que coteja las palabras de la consulta contra un tesauro de estructuras cerebrales y corrige automáticamente las palabras clave antes de consultar la base de datos.</w:t>
      </w:r>
    </w:p>
    <w:p>
      <w:pPr>
        <w:spacing w:after="120" w:line="276" w:lineRule="auto"/>
      </w:pPr>
      <w:r>
        <w:rPr>
          <w:rFonts w:ascii="Calibri" w:hAnsi="Calibri"/>
          <w:b/>
          <w:color w:val="1A202C"/>
          <w:sz w:val="22"/>
        </w:rPr>
        <w:t xml:space="preserve">• </w:t>
      </w:r>
      <w:r>
        <w:rPr>
          <w:rFonts w:ascii="Calibri" w:hAnsi="Calibri"/>
          <w:color w:val="2D3748"/>
          <w:sz w:val="22"/>
        </w:rPr>
        <w:t>2. Búsqueda Híbrida (Semántica Densa + Léxica Dispersa): Combina la similitud de cosenos en el espacio vectorial (all-MiniLM-L6-v2 de 384 dimensiones) con un filtro léxico de coincidencia exacta sobre términos anatómicos clave. Esto garantiza que preguntas con nombres técnicos muy específicos recuperen con máxima prioridad los fragmentos bibliográficos exactos.</w:t>
      </w:r>
    </w:p>
    <w:p>
      <w:pPr>
        <w:spacing w:after="120" w:line="276" w:lineRule="auto"/>
      </w:pPr>
      <w:r>
        <w:rPr>
          <w:rFonts w:ascii="Calibri" w:hAnsi="Calibri"/>
          <w:b/>
          <w:color w:val="1A202C"/>
          <w:sz w:val="22"/>
        </w:rPr>
        <w:t xml:space="preserve">• </w:t>
      </w:r>
      <w:r>
        <w:rPr>
          <w:rFonts w:ascii="Calibri" w:hAnsi="Calibri"/>
          <w:color w:val="2D3748"/>
          <w:sz w:val="22"/>
        </w:rPr>
        <w:t>3. Trazabilidad con Citas Documentales Explícitas: El prompt inyectado al LLM exige referenciar cada afirmación anatómica mediante el formato [Fuente X, pág. Y]. Esto erradica totalmente las alucinaciones y proporciona al estudiante y evaluador la certeza de la fuente original en los textos de referencia de la Konrad Lorenz.</w:t>
      </w:r>
    </w:p>
    <w:p>
      <w:pPr>
        <w:keepNext/>
        <w:spacing w:before="280" w:after="80"/>
      </w:pPr>
      <w:r>
        <w:rPr>
          <w:rFonts w:ascii="Arial" w:hAnsi="Arial"/>
          <w:b/>
          <w:color w:val="2B6CB0"/>
          <w:sz w:val="26"/>
        </w:rPr>
        <w:t>8.6 Matriz Comparativa Tripartita de las Tres Fases del Proyecto</w:t>
      </w:r>
    </w:p>
    <w:p>
      <w:pPr>
        <w:spacing w:after="120" w:line="276" w:lineRule="auto"/>
      </w:pPr>
      <w:r>
        <w:rPr>
          <w:rFonts w:ascii="Calibri" w:hAnsi="Calibri"/>
          <w:color w:val="2D3748"/>
          <w:sz w:val="22"/>
        </w:rPr>
        <w:t>La siguiente tabla consolida la evolución del proyecto a través de sus tres hitos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 Técnico</w:t>
            </w:r>
          </w:p>
        </w:tc>
        <w:tc>
          <w:tcPr>
            <w:tcW w:type="dxa" w:w="2340"/>
            <w:shd w:fill="1A365D"/>
            <w:tcMar>
              <w:top w:w="100" w:type="dxa"/>
              <w:bottom w:w="100" w:type="dxa"/>
              <w:left w:w="80" w:type="dxa"/>
              <w:right w:w="80" w:type="dxa"/>
            </w:tcMar>
          </w:tcPr>
          <w:p>
            <w:r>
              <w:rPr>
                <w:rFonts w:ascii="Arial" w:hAnsi="Arial"/>
                <w:b/>
                <w:color w:val="FFFFFF"/>
                <w:sz w:val="18"/>
              </w:rPr>
              <w:t>Fase 1: Ollama Local</w:t>
            </w:r>
          </w:p>
        </w:tc>
        <w:tc>
          <w:tcPr>
            <w:tcW w:type="dxa" w:w="2340"/>
            <w:shd w:fill="1A365D"/>
            <w:tcMar>
              <w:top w:w="100" w:type="dxa"/>
              <w:bottom w:w="100" w:type="dxa"/>
              <w:left w:w="80" w:type="dxa"/>
              <w:right w:w="80" w:type="dxa"/>
            </w:tcMar>
          </w:tcPr>
          <w:p>
            <w:r>
              <w:rPr>
                <w:rFonts w:ascii="Arial" w:hAnsi="Arial"/>
                <w:b/>
                <w:color w:val="FFFFFF"/>
                <w:sz w:val="18"/>
              </w:rPr>
              <w:t>Fase 2: Cloud Gemini API</w:t>
            </w:r>
          </w:p>
        </w:tc>
        <w:tc>
          <w:tcPr>
            <w:tcW w:type="dxa" w:w="2340"/>
            <w:shd w:fill="1A365D"/>
            <w:tcMar>
              <w:top w:w="100" w:type="dxa"/>
              <w:bottom w:w="100" w:type="dxa"/>
              <w:left w:w="80" w:type="dxa"/>
              <w:right w:w="80" w:type="dxa"/>
            </w:tcMar>
          </w:tcPr>
          <w:p>
            <w:r>
              <w:rPr>
                <w:rFonts w:ascii="Arial" w:hAnsi="Arial"/>
                <w:b/>
                <w:color w:val="FFFFFF"/>
                <w:sz w:val="18"/>
              </w:rPr>
              <w:t>Fase 3: Groq LPU + ONNX</w:t>
            </w:r>
          </w:p>
        </w:tc>
      </w:tr>
      <w:tr>
        <w:tc>
          <w:tcPr>
            <w:tcW w:type="dxa" w:w="2340"/>
            <w:shd w:fill="F7FAFC"/>
            <w:tcMar>
              <w:top w:w="70" w:type="dxa"/>
              <w:bottom w:w="70" w:type="dxa"/>
              <w:left w:w="80" w:type="dxa"/>
              <w:right w:w="80" w:type="dxa"/>
            </w:tcMar>
          </w:tcPr>
          <w:p>
            <w:r>
              <w:rPr>
                <w:rFonts w:ascii="Calibri" w:hAnsi="Calibri"/>
                <w:b/>
                <w:color w:val="2D3748"/>
                <w:sz w:val="17"/>
              </w:rPr>
              <w:t>Latencia de Respuesta</w:t>
            </w:r>
          </w:p>
        </w:tc>
        <w:tc>
          <w:tcPr>
            <w:tcW w:type="dxa" w:w="2340"/>
            <w:shd w:fill="F7FAFC"/>
            <w:tcMar>
              <w:top w:w="70" w:type="dxa"/>
              <w:bottom w:w="70" w:type="dxa"/>
              <w:left w:w="80" w:type="dxa"/>
              <w:right w:w="80" w:type="dxa"/>
            </w:tcMar>
          </w:tcPr>
          <w:p>
            <w:r>
              <w:rPr>
                <w:rFonts w:ascii="Calibri" w:hAnsi="Calibri"/>
                <w:color w:val="2D3748"/>
                <w:sz w:val="17"/>
              </w:rPr>
              <w:t>38.0 - 54.2 segundos</w:t>
            </w:r>
          </w:p>
        </w:tc>
        <w:tc>
          <w:tcPr>
            <w:tcW w:type="dxa" w:w="2340"/>
            <w:shd w:fill="F7FAFC"/>
            <w:tcMar>
              <w:top w:w="70" w:type="dxa"/>
              <w:bottom w:w="70" w:type="dxa"/>
              <w:left w:w="80" w:type="dxa"/>
              <w:right w:w="80" w:type="dxa"/>
            </w:tcMar>
          </w:tcPr>
          <w:p>
            <w:r>
              <w:rPr>
                <w:rFonts w:ascii="Calibri" w:hAnsi="Calibri"/>
                <w:color w:val="2D3748"/>
                <w:sz w:val="17"/>
              </w:rPr>
              <w:t>1.2 - 2.8 segundos</w:t>
            </w:r>
          </w:p>
        </w:tc>
        <w:tc>
          <w:tcPr>
            <w:tcW w:type="dxa" w:w="2340"/>
            <w:shd w:fill="F7FAFC"/>
            <w:tcMar>
              <w:top w:w="70" w:type="dxa"/>
              <w:bottom w:w="70" w:type="dxa"/>
              <w:left w:w="80" w:type="dxa"/>
              <w:right w:w="80" w:type="dxa"/>
            </w:tcMar>
          </w:tcPr>
          <w:p>
            <w:r>
              <w:rPr>
                <w:rFonts w:ascii="Calibri" w:hAnsi="Calibri"/>
                <w:b/>
                <w:color w:val="1A365D"/>
                <w:sz w:val="17"/>
              </w:rPr>
              <w:t>0.6 - 0.9 segundos (Ultra-rápido)</w:t>
            </w:r>
          </w:p>
        </w:tc>
      </w:tr>
      <w:tr>
        <w:tc>
          <w:tcPr>
            <w:tcW w:type="dxa" w:w="2340"/>
            <w:shd w:fill="FFFFFF"/>
            <w:tcMar>
              <w:top w:w="70" w:type="dxa"/>
              <w:bottom w:w="70" w:type="dxa"/>
              <w:left w:w="80" w:type="dxa"/>
              <w:right w:w="80" w:type="dxa"/>
            </w:tcMar>
          </w:tcPr>
          <w:p>
            <w:r>
              <w:rPr>
                <w:rFonts w:ascii="Calibri" w:hAnsi="Calibri"/>
                <w:b/>
                <w:color w:val="2D3748"/>
                <w:sz w:val="17"/>
              </w:rPr>
              <w:t>Throughput de Generación</w:t>
            </w:r>
          </w:p>
        </w:tc>
        <w:tc>
          <w:tcPr>
            <w:tcW w:type="dxa" w:w="2340"/>
            <w:shd w:fill="FFFFFF"/>
            <w:tcMar>
              <w:top w:w="70" w:type="dxa"/>
              <w:bottom w:w="70" w:type="dxa"/>
              <w:left w:w="80" w:type="dxa"/>
              <w:right w:w="80" w:type="dxa"/>
            </w:tcMar>
          </w:tcPr>
          <w:p>
            <w:r>
              <w:rPr>
                <w:rFonts w:ascii="Calibri" w:hAnsi="Calibri"/>
                <w:color w:val="2D3748"/>
                <w:sz w:val="17"/>
              </w:rPr>
              <w:t>4 - 6 tokens/segundo</w:t>
            </w:r>
          </w:p>
        </w:tc>
        <w:tc>
          <w:tcPr>
            <w:tcW w:type="dxa" w:w="2340"/>
            <w:shd w:fill="FFFFFF"/>
            <w:tcMar>
              <w:top w:w="70" w:type="dxa"/>
              <w:bottom w:w="70" w:type="dxa"/>
              <w:left w:w="80" w:type="dxa"/>
              <w:right w:w="80" w:type="dxa"/>
            </w:tcMar>
          </w:tcPr>
          <w:p>
            <w:r>
              <w:rPr>
                <w:rFonts w:ascii="Calibri" w:hAnsi="Calibri"/>
                <w:color w:val="2D3748"/>
                <w:sz w:val="17"/>
              </w:rPr>
              <w:t>60 - 95 tokens/segundo</w:t>
            </w:r>
          </w:p>
        </w:tc>
        <w:tc>
          <w:tcPr>
            <w:tcW w:type="dxa" w:w="2340"/>
            <w:shd w:fill="FFFFFF"/>
            <w:tcMar>
              <w:top w:w="70" w:type="dxa"/>
              <w:bottom w:w="70" w:type="dxa"/>
              <w:left w:w="80" w:type="dxa"/>
              <w:right w:w="80" w:type="dxa"/>
            </w:tcMar>
          </w:tcPr>
          <w:p>
            <w:r>
              <w:rPr>
                <w:rFonts w:ascii="Calibri" w:hAnsi="Calibri"/>
                <w:b/>
                <w:color w:val="1A365D"/>
                <w:sz w:val="17"/>
              </w:rPr>
              <w:t>350 - 500+ tokens/segundo</w:t>
            </w:r>
          </w:p>
        </w:tc>
      </w:tr>
      <w:tr>
        <w:tc>
          <w:tcPr>
            <w:tcW w:type="dxa" w:w="2340"/>
            <w:shd w:fill="F7FAFC"/>
            <w:tcMar>
              <w:top w:w="70" w:type="dxa"/>
              <w:bottom w:w="70" w:type="dxa"/>
              <w:left w:w="80" w:type="dxa"/>
              <w:right w:w="80" w:type="dxa"/>
            </w:tcMar>
          </w:tcPr>
          <w:p>
            <w:r>
              <w:rPr>
                <w:rFonts w:ascii="Calibri" w:hAnsi="Calibri"/>
                <w:b/>
                <w:color w:val="2D3748"/>
                <w:sz w:val="17"/>
              </w:rPr>
              <w:t>Uso de RAM en Servidor</w:t>
            </w:r>
          </w:p>
        </w:tc>
        <w:tc>
          <w:tcPr>
            <w:tcW w:type="dxa" w:w="2340"/>
            <w:shd w:fill="F7FAFC"/>
            <w:tcMar>
              <w:top w:w="70" w:type="dxa"/>
              <w:bottom w:w="70" w:type="dxa"/>
              <w:left w:w="80" w:type="dxa"/>
              <w:right w:w="80" w:type="dxa"/>
            </w:tcMar>
          </w:tcPr>
          <w:p>
            <w:r>
              <w:rPr>
                <w:rFonts w:ascii="Calibri" w:hAnsi="Calibri"/>
                <w:color w:val="2D3748"/>
                <w:sz w:val="17"/>
              </w:rPr>
              <w:t>14.8 GB (Saturación local)</w:t>
            </w:r>
          </w:p>
        </w:tc>
        <w:tc>
          <w:tcPr>
            <w:tcW w:type="dxa" w:w="2340"/>
            <w:shd w:fill="F7FAFC"/>
            <w:tcMar>
              <w:top w:w="70" w:type="dxa"/>
              <w:bottom w:w="70" w:type="dxa"/>
              <w:left w:w="80" w:type="dxa"/>
              <w:right w:w="80" w:type="dxa"/>
            </w:tcMar>
          </w:tcPr>
          <w:p>
            <w:r>
              <w:rPr>
                <w:rFonts w:ascii="Calibri" w:hAnsi="Calibri"/>
                <w:color w:val="2D3748"/>
                <w:sz w:val="17"/>
              </w:rPr>
              <w:t>~520 MB (Falla OOM en Render)</w:t>
            </w:r>
          </w:p>
        </w:tc>
        <w:tc>
          <w:tcPr>
            <w:tcW w:type="dxa" w:w="2340"/>
            <w:shd w:fill="F7FAFC"/>
            <w:tcMar>
              <w:top w:w="70" w:type="dxa"/>
              <w:bottom w:w="70" w:type="dxa"/>
              <w:left w:w="80" w:type="dxa"/>
              <w:right w:w="80" w:type="dxa"/>
            </w:tcMar>
          </w:tcPr>
          <w:p>
            <w:r>
              <w:rPr>
                <w:rFonts w:ascii="Calibri" w:hAnsi="Calibri"/>
                <w:b/>
                <w:color w:val="1A365D"/>
                <w:sz w:val="17"/>
              </w:rPr>
              <w:t>&lt; 140 MB (Estable en Render Free)</w:t>
            </w:r>
          </w:p>
        </w:tc>
      </w:tr>
      <w:tr>
        <w:tc>
          <w:tcPr>
            <w:tcW w:type="dxa" w:w="2340"/>
            <w:shd w:fill="FFFFFF"/>
            <w:tcMar>
              <w:top w:w="70" w:type="dxa"/>
              <w:bottom w:w="70" w:type="dxa"/>
              <w:left w:w="80" w:type="dxa"/>
              <w:right w:w="80" w:type="dxa"/>
            </w:tcMar>
          </w:tcPr>
          <w:p>
            <w:r>
              <w:rPr>
                <w:rFonts w:ascii="Calibri" w:hAnsi="Calibri"/>
                <w:b/>
                <w:color w:val="2D3748"/>
                <w:sz w:val="17"/>
              </w:rPr>
              <w:t>Tamaño de Imagen Docker</w:t>
            </w:r>
          </w:p>
        </w:tc>
        <w:tc>
          <w:tcPr>
            <w:tcW w:type="dxa" w:w="2340"/>
            <w:shd w:fill="FFFFFF"/>
            <w:tcMar>
              <w:top w:w="70" w:type="dxa"/>
              <w:bottom w:w="70" w:type="dxa"/>
              <w:left w:w="80" w:type="dxa"/>
              <w:right w:w="80" w:type="dxa"/>
            </w:tcMar>
          </w:tcPr>
          <w:p>
            <w:r>
              <w:rPr>
                <w:rFonts w:ascii="Calibri" w:hAnsi="Calibri"/>
                <w:color w:val="2D3748"/>
                <w:sz w:val="17"/>
              </w:rPr>
              <w:t>No aplica / Local</w:t>
            </w:r>
          </w:p>
        </w:tc>
        <w:tc>
          <w:tcPr>
            <w:tcW w:type="dxa" w:w="2340"/>
            <w:shd w:fill="FFFFFF"/>
            <w:tcMar>
              <w:top w:w="70" w:type="dxa"/>
              <w:bottom w:w="70" w:type="dxa"/>
              <w:left w:w="80" w:type="dxa"/>
              <w:right w:w="80" w:type="dxa"/>
            </w:tcMar>
          </w:tcPr>
          <w:p>
            <w:r>
              <w:rPr>
                <w:rFonts w:ascii="Calibri" w:hAnsi="Calibri"/>
                <w:color w:val="2D3748"/>
                <w:sz w:val="17"/>
              </w:rPr>
              <w:t>2.8 GB (PyTorch + CUDA)</w:t>
            </w:r>
          </w:p>
        </w:tc>
        <w:tc>
          <w:tcPr>
            <w:tcW w:type="dxa" w:w="2340"/>
            <w:shd w:fill="FFFFFF"/>
            <w:tcMar>
              <w:top w:w="70" w:type="dxa"/>
              <w:bottom w:w="70" w:type="dxa"/>
              <w:left w:w="80" w:type="dxa"/>
              <w:right w:w="80" w:type="dxa"/>
            </w:tcMar>
          </w:tcPr>
          <w:p>
            <w:r>
              <w:rPr>
                <w:rFonts w:ascii="Calibri" w:hAnsi="Calibri"/>
                <w:b/>
                <w:color w:val="1A365D"/>
                <w:sz w:val="17"/>
              </w:rPr>
              <w:t>~550 MB (ONNX Runtime ligero)</w:t>
            </w:r>
          </w:p>
        </w:tc>
      </w:tr>
      <w:tr>
        <w:tc>
          <w:tcPr>
            <w:tcW w:type="dxa" w:w="2340"/>
            <w:shd w:fill="F7FAFC"/>
            <w:tcMar>
              <w:top w:w="70" w:type="dxa"/>
              <w:bottom w:w="70" w:type="dxa"/>
              <w:left w:w="80" w:type="dxa"/>
              <w:right w:w="80" w:type="dxa"/>
            </w:tcMar>
          </w:tcPr>
          <w:p>
            <w:r>
              <w:rPr>
                <w:rFonts w:ascii="Calibri" w:hAnsi="Calibri"/>
                <w:b/>
                <w:color w:val="2D3748"/>
                <w:sz w:val="17"/>
              </w:rPr>
              <w:t>Estabilidad ante Cuotas</w:t>
            </w:r>
          </w:p>
        </w:tc>
        <w:tc>
          <w:tcPr>
            <w:tcW w:type="dxa" w:w="2340"/>
            <w:shd w:fill="F7FAFC"/>
            <w:tcMar>
              <w:top w:w="70" w:type="dxa"/>
              <w:bottom w:w="70" w:type="dxa"/>
              <w:left w:w="80" w:type="dxa"/>
              <w:right w:w="80" w:type="dxa"/>
            </w:tcMar>
          </w:tcPr>
          <w:p>
            <w:r>
              <w:rPr>
                <w:rFonts w:ascii="Calibri" w:hAnsi="Calibri"/>
                <w:color w:val="2D3748"/>
                <w:sz w:val="17"/>
              </w:rPr>
              <w:t>Ilimitada pero inviable</w:t>
            </w:r>
          </w:p>
        </w:tc>
        <w:tc>
          <w:tcPr>
            <w:tcW w:type="dxa" w:w="2340"/>
            <w:shd w:fill="F7FAFC"/>
            <w:tcMar>
              <w:top w:w="70" w:type="dxa"/>
              <w:bottom w:w="70" w:type="dxa"/>
              <w:left w:w="80" w:type="dxa"/>
              <w:right w:w="80" w:type="dxa"/>
            </w:tcMar>
          </w:tcPr>
          <w:p>
            <w:r>
              <w:rPr>
                <w:rFonts w:ascii="Calibri" w:hAnsi="Calibri"/>
                <w:color w:val="2D3748"/>
                <w:sz w:val="17"/>
              </w:rPr>
              <w:t>Restricción 15 RPM (Error 429)</w:t>
            </w:r>
          </w:p>
        </w:tc>
        <w:tc>
          <w:tcPr>
            <w:tcW w:type="dxa" w:w="2340"/>
            <w:shd w:fill="F7FAFC"/>
            <w:tcMar>
              <w:top w:w="70" w:type="dxa"/>
              <w:bottom w:w="70" w:type="dxa"/>
              <w:left w:w="80" w:type="dxa"/>
              <w:right w:w="80" w:type="dxa"/>
            </w:tcMar>
          </w:tcPr>
          <w:p>
            <w:r>
              <w:rPr>
                <w:rFonts w:ascii="Calibri" w:hAnsi="Calibri"/>
                <w:b/>
                <w:color w:val="1A365D"/>
                <w:sz w:val="17"/>
              </w:rPr>
              <w:t>Excelente concurrencia y sin caídas</w:t>
            </w:r>
          </w:p>
        </w:tc>
      </w:tr>
      <w:tr>
        <w:tc>
          <w:tcPr>
            <w:tcW w:type="dxa" w:w="2340"/>
            <w:shd w:fill="FFFFFF"/>
            <w:tcMar>
              <w:top w:w="70" w:type="dxa"/>
              <w:bottom w:w="70" w:type="dxa"/>
              <w:left w:w="80" w:type="dxa"/>
              <w:right w:w="80" w:type="dxa"/>
            </w:tcMar>
          </w:tcPr>
          <w:p>
            <w:r>
              <w:rPr>
                <w:rFonts w:ascii="Calibri" w:hAnsi="Calibri"/>
                <w:b/>
                <w:color w:val="2D3748"/>
                <w:sz w:val="17"/>
              </w:rPr>
              <w:t>Tolerancia Tipográfica</w:t>
            </w:r>
          </w:p>
        </w:tc>
        <w:tc>
          <w:tcPr>
            <w:tcW w:type="dxa" w:w="2340"/>
            <w:shd w:fill="FFFFFF"/>
            <w:tcMar>
              <w:top w:w="70" w:type="dxa"/>
              <w:bottom w:w="70" w:type="dxa"/>
              <w:left w:w="80" w:type="dxa"/>
              <w:right w:w="80" w:type="dxa"/>
            </w:tcMar>
          </w:tcPr>
          <w:p>
            <w:r>
              <w:rPr>
                <w:rFonts w:ascii="Calibri" w:hAnsi="Calibri"/>
                <w:color w:val="2D3748"/>
                <w:sz w:val="17"/>
              </w:rPr>
              <w:t>Nula (falla si hay typo)</w:t>
            </w:r>
          </w:p>
        </w:tc>
        <w:tc>
          <w:tcPr>
            <w:tcW w:type="dxa" w:w="2340"/>
            <w:shd w:fill="FFFFFF"/>
            <w:tcMar>
              <w:top w:w="70" w:type="dxa"/>
              <w:bottom w:w="70" w:type="dxa"/>
              <w:left w:w="80" w:type="dxa"/>
              <w:right w:w="80" w:type="dxa"/>
            </w:tcMar>
          </w:tcPr>
          <w:p>
            <w:r>
              <w:rPr>
                <w:rFonts w:ascii="Calibri" w:hAnsi="Calibri"/>
                <w:color w:val="2D3748"/>
                <w:sz w:val="17"/>
              </w:rPr>
              <w:t>Baja (depende de semántica)</w:t>
            </w:r>
          </w:p>
        </w:tc>
        <w:tc>
          <w:tcPr>
            <w:tcW w:type="dxa" w:w="2340"/>
            <w:shd w:fill="FFFFFF"/>
            <w:tcMar>
              <w:top w:w="70" w:type="dxa"/>
              <w:bottom w:w="70" w:type="dxa"/>
              <w:left w:w="80" w:type="dxa"/>
              <w:right w:w="80" w:type="dxa"/>
            </w:tcMar>
          </w:tcPr>
          <w:p>
            <w:r>
              <w:rPr>
                <w:rFonts w:ascii="Calibri" w:hAnsi="Calibri"/>
                <w:b/>
                <w:color w:val="1A365D"/>
                <w:sz w:val="17"/>
              </w:rPr>
              <w:t>Alta (Fuzzy Matching anatómico)</w:t>
            </w:r>
          </w:p>
        </w:tc>
      </w:tr>
      <w:tr>
        <w:tc>
          <w:tcPr>
            <w:tcW w:type="dxa" w:w="2340"/>
            <w:shd w:fill="F7FAFC"/>
            <w:tcMar>
              <w:top w:w="70" w:type="dxa"/>
              <w:bottom w:w="70" w:type="dxa"/>
              <w:left w:w="80" w:type="dxa"/>
              <w:right w:w="80" w:type="dxa"/>
            </w:tcMar>
          </w:tcPr>
          <w:p>
            <w:r>
              <w:rPr>
                <w:rFonts w:ascii="Calibri" w:hAnsi="Calibri"/>
                <w:b/>
                <w:color w:val="2D3748"/>
                <w:sz w:val="17"/>
              </w:rPr>
              <w:t>Citas Bibliográficas</w:t>
            </w:r>
          </w:p>
        </w:tc>
        <w:tc>
          <w:tcPr>
            <w:tcW w:type="dxa" w:w="2340"/>
            <w:shd w:fill="F7FAFC"/>
            <w:tcMar>
              <w:top w:w="70" w:type="dxa"/>
              <w:bottom w:w="70" w:type="dxa"/>
              <w:left w:w="80" w:type="dxa"/>
              <w:right w:w="80" w:type="dxa"/>
            </w:tcMar>
          </w:tcPr>
          <w:p>
            <w:r>
              <w:rPr>
                <w:rFonts w:ascii="Calibri" w:hAnsi="Calibri"/>
                <w:color w:val="2D3748"/>
                <w:sz w:val="17"/>
              </w:rPr>
              <w:t>Genéricas / Sin página</w:t>
            </w:r>
          </w:p>
        </w:tc>
        <w:tc>
          <w:tcPr>
            <w:tcW w:type="dxa" w:w="2340"/>
            <w:shd w:fill="F7FAFC"/>
            <w:tcMar>
              <w:top w:w="70" w:type="dxa"/>
              <w:bottom w:w="70" w:type="dxa"/>
              <w:left w:w="80" w:type="dxa"/>
              <w:right w:w="80" w:type="dxa"/>
            </w:tcMar>
          </w:tcPr>
          <w:p>
            <w:r>
              <w:rPr>
                <w:rFonts w:ascii="Calibri" w:hAnsi="Calibri"/>
                <w:color w:val="2D3748"/>
                <w:sz w:val="17"/>
              </w:rPr>
              <w:t>Aproximadas</w:t>
            </w:r>
          </w:p>
        </w:tc>
        <w:tc>
          <w:tcPr>
            <w:tcW w:type="dxa" w:w="2340"/>
            <w:shd w:fill="F7FAFC"/>
            <w:tcMar>
              <w:top w:w="70" w:type="dxa"/>
              <w:bottom w:w="70" w:type="dxa"/>
              <w:left w:w="80" w:type="dxa"/>
              <w:right w:w="80" w:type="dxa"/>
            </w:tcMar>
          </w:tcPr>
          <w:p>
            <w:r>
              <w:rPr>
                <w:rFonts w:ascii="Calibri" w:hAnsi="Calibri"/>
                <w:b/>
                <w:color w:val="1A365D"/>
                <w:sz w:val="17"/>
              </w:rPr>
              <w:t>Exactas: [Fuente X, pág. Y]</w:t>
            </w:r>
          </w:p>
        </w:tc>
      </w:tr>
      <w:tr>
        <w:tc>
          <w:tcPr>
            <w:tcW w:type="dxa" w:w="2340"/>
            <w:shd w:fill="FFFFFF"/>
            <w:tcMar>
              <w:top w:w="70" w:type="dxa"/>
              <w:bottom w:w="70" w:type="dxa"/>
              <w:left w:w="80" w:type="dxa"/>
              <w:right w:w="80" w:type="dxa"/>
            </w:tcMar>
          </w:tcPr>
          <w:p>
            <w:r>
              <w:rPr>
                <w:rFonts w:ascii="Calibri" w:hAnsi="Calibri"/>
                <w:b/>
                <w:color w:val="2D3748"/>
                <w:sz w:val="17"/>
              </w:rPr>
              <w:t>Costo Operativo Mensual</w:t>
            </w:r>
          </w:p>
        </w:tc>
        <w:tc>
          <w:tcPr>
            <w:tcW w:type="dxa" w:w="2340"/>
            <w:shd w:fill="FFFFFF"/>
            <w:tcMar>
              <w:top w:w="70" w:type="dxa"/>
              <w:bottom w:w="70" w:type="dxa"/>
              <w:left w:w="80" w:type="dxa"/>
              <w:right w:w="80" w:type="dxa"/>
            </w:tcMar>
          </w:tcPr>
          <w:p>
            <w:r>
              <w:rPr>
                <w:rFonts w:ascii="Calibri" w:hAnsi="Calibri"/>
                <w:color w:val="2D3748"/>
                <w:sz w:val="17"/>
              </w:rPr>
              <w:t>Inviable en hardware base</w:t>
            </w:r>
          </w:p>
        </w:tc>
        <w:tc>
          <w:tcPr>
            <w:tcW w:type="dxa" w:w="2340"/>
            <w:shd w:fill="FFFFFF"/>
            <w:tcMar>
              <w:top w:w="70" w:type="dxa"/>
              <w:bottom w:w="70" w:type="dxa"/>
              <w:left w:w="80" w:type="dxa"/>
              <w:right w:w="80" w:type="dxa"/>
            </w:tcMar>
          </w:tcPr>
          <w:p>
            <w:r>
              <w:rPr>
                <w:rFonts w:ascii="Calibri" w:hAnsi="Calibri"/>
                <w:color w:val="2D3748"/>
                <w:sz w:val="17"/>
              </w:rPr>
              <w:t>$0 USD (con límites de cuota)</w:t>
            </w:r>
          </w:p>
        </w:tc>
        <w:tc>
          <w:tcPr>
            <w:tcW w:type="dxa" w:w="2340"/>
            <w:shd w:fill="FFFFFF"/>
            <w:tcMar>
              <w:top w:w="70" w:type="dxa"/>
              <w:bottom w:w="70" w:type="dxa"/>
              <w:left w:w="80" w:type="dxa"/>
              <w:right w:w="80" w:type="dxa"/>
            </w:tcMar>
          </w:tcPr>
          <w:p>
            <w:r>
              <w:rPr>
                <w:rFonts w:ascii="Calibri" w:hAnsi="Calibri"/>
                <w:b/>
                <w:color w:val="1A365D"/>
                <w:sz w:val="17"/>
              </w:rPr>
              <w:t>$0 USD (Producción 24/7 permanente)</w:t>
            </w:r>
          </w:p>
        </w:tc>
      </w:tr>
    </w:tbl>
    <w:p>
      <w:pPr>
        <w:spacing w:after="240"/>
      </w:pPr>
    </w:p>
    <w:p>
      <w:pPr>
        <w:keepNext/>
        <w:spacing w:before="280" w:after="80"/>
      </w:pPr>
      <w:r>
        <w:rPr>
          <w:rFonts w:ascii="Arial" w:hAnsi="Arial"/>
          <w:b/>
          <w:color w:val="2B6CB0"/>
          <w:sz w:val="26"/>
        </w:rPr>
        <w:t>8.7 Análisis de Limitaciones, Desventajas y Mitigaciones (Para la Defensa de Grado)</w:t>
      </w:r>
    </w:p>
    <w:p>
      <w:pPr>
        <w:spacing w:after="120" w:line="276" w:lineRule="auto"/>
      </w:pPr>
      <w:r>
        <w:rPr>
          <w:rFonts w:ascii="Calibri" w:hAnsi="Calibri"/>
          <w:color w:val="2D3748"/>
          <w:sz w:val="22"/>
        </w:rPr>
        <w:t>En una sustentación de grado en ingeniería y ciencias aplicadas, el reconocimiento transparente de las limitaciones de diseño y sus respectivas mitigaciones de ingeniería constituye un indicador clave de madurez técnica:</w:t>
      </w:r>
    </w:p>
    <w:p>
      <w:pPr>
        <w:spacing w:after="120" w:line="276" w:lineRule="auto"/>
      </w:pPr>
      <w:r>
        <w:rPr>
          <w:rFonts w:ascii="Calibri" w:hAnsi="Calibri"/>
          <w:b/>
          <w:color w:val="1A202C"/>
          <w:sz w:val="22"/>
        </w:rPr>
        <w:t>1. Inmutabilidad de la Base Vectorial en Contenedor Gratuito:</w:t>
      </w:r>
      <w:r>
        <w:rPr>
          <w:rFonts w:ascii="Calibri" w:hAnsi="Calibri"/>
          <w:color w:val="2D3748"/>
          <w:sz w:val="22"/>
        </w:rPr>
        <w:t xml:space="preserve"> Desventaja: El contenedor en la nube no permite re-indexar libros al vuelo de forma persistente si el servidor se reinicia.</w:t>
        <w:br/>
        <w:t>• Mitigación de Ingeniería: La base de datos vectorial pre-compilada viaja empaquetada dentro del repositorio Git y la imagen Docker. Nuevos libros se indexan localmente o mediante la interfaz de administración protegida con PIN y se integran mediante despliegue continuo con git push, garantizando cero riesgo de corrupción de datos en caliente.</w:t>
      </w:r>
    </w:p>
    <w:p>
      <w:pPr>
        <w:spacing w:after="120" w:line="276" w:lineRule="auto"/>
      </w:pPr>
      <w:r>
        <w:rPr>
          <w:rFonts w:ascii="Calibri" w:hAnsi="Calibri"/>
          <w:b/>
          <w:color w:val="1A202C"/>
          <w:sz w:val="22"/>
        </w:rPr>
        <w:t>2. Tiempo de Arranque en Frío (Cold Start) en Render Free Tier:</w:t>
      </w:r>
      <w:r>
        <w:rPr>
          <w:rFonts w:ascii="Calibri" w:hAnsi="Calibri"/>
          <w:color w:val="2D3748"/>
          <w:sz w:val="22"/>
        </w:rPr>
        <w:t xml:space="preserve"> Desventaja: El plan gratuito de Render desactiva temporalmente el contenedor tras 15 minutos sin tráfico entrante. La primera petición tras este periodo puede tardar entre 30 y 45 segundos en despertar el servicio.</w:t>
        <w:br/>
        <w:t>• Mitigación de Ingeniería: Para sesiones de laboratorio, presentaciones de tesis o evaluaciones docentes programadas, se puede realizar un ping previo al endpoint /salud 1 minuto antes, o utilizar un servicio de monitoreo periódico gratuito (como UptimeRobot) que envíe una petición cada 14 minutos para mantener el contenedor activo.</w:t>
      </w:r>
    </w:p>
    <w:p>
      <w:pPr>
        <w:spacing w:after="120" w:line="276" w:lineRule="auto"/>
      </w:pPr>
      <w:r>
        <w:rPr>
          <w:rFonts w:ascii="Calibri" w:hAnsi="Calibri"/>
          <w:b/>
          <w:color w:val="1A202C"/>
          <w:sz w:val="22"/>
        </w:rPr>
        <w:t>3. Modelo de Embeddings Compacto (all-MiniLM-L6-v2 de 384 dimensiones):</w:t>
      </w:r>
      <w:r>
        <w:rPr>
          <w:rFonts w:ascii="Calibri" w:hAnsi="Calibri"/>
          <w:color w:val="2D3748"/>
          <w:sz w:val="22"/>
        </w:rPr>
        <w:t xml:space="preserve"> Desventaja: Modelos comerciales masivos (como text-embedding-3-large de OpenAI con 3,072 dimensiones) capturan matices semánticos aún más sutiles en oraciones complejas.</w:t>
        <w:br/>
        <w:t>• Mitigación de Ingeniería: La menor dimensionalidad se compensa ampliamente mediante la Búsqueda Híbrida y el Fuzzy Matching, que aseguran que los términos anatómicos y médicos no se pierdan, a la vez que mantienen la huella de memoria RAM por debajo de los 150 MB requeridos para la estabilidad del servidor.</w:t>
      </w:r>
    </w:p>
    <w:p>
      <w:pPr>
        <w:spacing w:after="120" w:line="276" w:lineRule="auto"/>
      </w:pPr>
      <w:r>
        <w:rPr>
          <w:rFonts w:ascii="Calibri" w:hAnsi="Calibri"/>
          <w:b/>
          <w:color w:val="1A202C"/>
          <w:sz w:val="22"/>
        </w:rPr>
        <w:t>4. Dependencia de Conexión a Internet y de la API de Groq:</w:t>
      </w:r>
      <w:r>
        <w:rPr>
          <w:rFonts w:ascii="Calibri" w:hAnsi="Calibri"/>
          <w:color w:val="2D3748"/>
          <w:sz w:val="22"/>
        </w:rPr>
        <w:t xml:space="preserve"> Desventaja: La inferencia del modelo LLM se procesa en los servidores de Groq Cloud, requiriendo que el dispositivo móvil con Unity disponga de conectividad a la red.</w:t>
        <w:br/>
        <w:t>• Mitigación de Ingeniería: El pipeline está completamente desacoplado mediante variables de entorno (GROQ_API_KEY). Si en el futuro la institución decidiera cambiar de proveedor cloud o desplegar un cluster local, la transición de código se realiza modificando únicamente las credenciales de entorno en Render, sin alterar la lógica de Unity.</w:t>
      </w:r>
    </w:p>
    <w:p>
      <w:pPr>
        <w:spacing w:after="120" w:line="276" w:lineRule="auto"/>
      </w:pPr>
      <w:r>
        <w:rPr>
          <w:rFonts w:ascii="Calibri" w:hAnsi="Calibri"/>
          <w:b/>
          <w:color w:val="1A202C"/>
          <w:sz w:val="22"/>
        </w:rPr>
        <w:t>5. Cobertura de Consultas Extremadamente Amplias (k=5 fragmentos):</w:t>
      </w:r>
      <w:r>
        <w:rPr>
          <w:rFonts w:ascii="Calibri" w:hAnsi="Calibri"/>
          <w:color w:val="2D3748"/>
          <w:sz w:val="22"/>
        </w:rPr>
        <w:t xml:space="preserve"> Desventaja: Por diseño, el sistema recupera los 5 fragmentos bibliográficos más relevantes para no saturar la ventana de atención del LLM y mantener latencia sub-segundo. Preguntas enciclopédicas excesivamente genéricas ('Explica todo el sistema nervioso desde el inicio') no abarcarán la totalidad de los libros en una sola respuesta.</w:t>
        <w:br/>
        <w:t>• Mitigación de Ingeniería: La interfaz en Unity orienta al estudiante a formular preguntas estructurales y conceptuales específicas, propiciando un diálogo pedagógico interactivo paso a paso.</w:t>
      </w:r>
    </w:p>
    <w:p>
      <w:pPr>
        <w:keepNext/>
        <w:spacing w:before="360" w:after="120"/>
      </w:pPr>
      <w:r>
        <w:rPr>
          <w:rFonts w:ascii="Arial" w:hAnsi="Arial"/>
          <w:b/>
          <w:color w:val="1A365D"/>
          <w:sz w:val="32"/>
        </w:rPr>
        <w:t>9. CONCLUSIONES Y RECOMENDACIONES FINALES DE INGENIERÍA</w:t>
      </w:r>
    </w:p>
    <w:p>
      <w:pPr>
        <w:spacing w:after="120" w:line="276" w:lineRule="auto"/>
      </w:pPr>
      <w:r>
        <w:rPr>
          <w:rFonts w:ascii="Calibri" w:hAnsi="Calibri"/>
          <w:color w:val="2D3748"/>
          <w:sz w:val="22"/>
        </w:rPr>
        <w:t>1. La arquitectura trifásica desarrollada a lo largo del proyecto evidencia una evolución madura de ingeniería de software: superó la inviabilidad de hardware local (Ollama) y sorteó las limitaciones de cuota y sobrecarga de memoria de los servicios cloud iniciales (Gemini / PyTorch) hasta alcanzar una solución definitiva de alto rendimiento.</w:t>
      </w:r>
    </w:p>
    <w:p>
      <w:pPr>
        <w:spacing w:after="120" w:line="276" w:lineRule="auto"/>
      </w:pPr>
      <w:r>
        <w:rPr>
          <w:rFonts w:ascii="Calibri" w:hAnsi="Calibri"/>
          <w:color w:val="2D3748"/>
          <w:sz w:val="22"/>
        </w:rPr>
        <w:t>2. La integración de Groq Cloud LPU (modelo openai/gpt-oss-120b) proporciona una tasa de generación superior a 350 tokens/segundo y latencias por debajo de 0.9 segundos, habilitando por primera vez una interacción conversacional verdaderamente fluida y en tiempo real dentro de la aplicación móvil de realidad aumentada NeuroK AR en Unity 3D.</w:t>
      </w:r>
    </w:p>
    <w:p>
      <w:pPr>
        <w:spacing w:after="120" w:line="276" w:lineRule="auto"/>
      </w:pPr>
      <w:r>
        <w:rPr>
          <w:rFonts w:ascii="Calibri" w:hAnsi="Calibri"/>
          <w:color w:val="2D3748"/>
          <w:sz w:val="22"/>
        </w:rPr>
        <w:t>3. La sustitución de PyTorch por ONNX Runtime en ChromaDB constituyó la clave para la viabilidad en la nube, reduciendo el consumo de RAM en un 73% (a &lt; 140 MB) y permitiendo que la API REST opere 24/7 de forma 100% gratuita y estable en Render.com.</w:t>
      </w:r>
    </w:p>
    <w:p>
      <w:pPr>
        <w:spacing w:after="120" w:line="276" w:lineRule="auto"/>
      </w:pPr>
      <w:r>
        <w:rPr>
          <w:rFonts w:ascii="Calibri" w:hAnsi="Calibri"/>
          <w:color w:val="2D3748"/>
          <w:sz w:val="22"/>
        </w:rPr>
        <w:t>4. La incorporación de Búsqueda Híbrida, Fuzzy Matching anatómico y citación obligatoria por obra y página garantiza el máximo rigor pedagógico y científico, entregando una herramienta robusta, verificable y con costo operativo nulo para la Fundación Universitaria Konrad Lorenz.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