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32763" w14:textId="27310C50" w:rsidR="00E83775" w:rsidRDefault="00E83775">
      <w:r>
        <w:t>Vivian Ellis Two Way MANOVA</w:t>
      </w:r>
    </w:p>
    <w:p w14:paraId="1FB2330E" w14:textId="04CF54BA" w:rsidR="00E83775" w:rsidRDefault="001F1BC2" w:rsidP="00244495">
      <w:pPr>
        <w:ind w:firstLine="720"/>
      </w:pPr>
      <w:r>
        <w:t>A two</w:t>
      </w:r>
      <w:r w:rsidR="00244495">
        <w:t>-</w:t>
      </w:r>
      <w:r>
        <w:t xml:space="preserve">way MANOVA will be </w:t>
      </w:r>
      <w:r w:rsidR="00244495">
        <w:t>performed</w:t>
      </w:r>
      <w:r>
        <w:t xml:space="preserve"> using </w:t>
      </w:r>
      <w:r w:rsidR="00244495" w:rsidRPr="00244495">
        <w:t xml:space="preserve">three metric purchase outcomes, </w:t>
      </w:r>
      <w:r w:rsidR="00244495">
        <w:t>c</w:t>
      </w:r>
      <w:r w:rsidR="00244495" w:rsidRPr="00244495">
        <w:t xml:space="preserve">ustomer </w:t>
      </w:r>
      <w:r w:rsidR="00244495">
        <w:t>s</w:t>
      </w:r>
      <w:r w:rsidR="00244495" w:rsidRPr="00244495">
        <w:t xml:space="preserve">atisfaction, </w:t>
      </w:r>
      <w:r w:rsidR="00244495">
        <w:t>l</w:t>
      </w:r>
      <w:r w:rsidR="00244495" w:rsidRPr="00244495">
        <w:t xml:space="preserve">ikelihood of </w:t>
      </w:r>
      <w:r w:rsidR="00244495">
        <w:t>r</w:t>
      </w:r>
      <w:r w:rsidR="00244495" w:rsidRPr="00244495">
        <w:t xml:space="preserve">ecommending HBAT, and </w:t>
      </w:r>
      <w:r w:rsidR="00244495">
        <w:t>l</w:t>
      </w:r>
      <w:r w:rsidR="00244495" w:rsidRPr="00244495">
        <w:t xml:space="preserve">ikelihood of </w:t>
      </w:r>
      <w:r w:rsidR="00244495">
        <w:t>f</w:t>
      </w:r>
      <w:r w:rsidR="00244495" w:rsidRPr="00244495">
        <w:t xml:space="preserve">uture </w:t>
      </w:r>
      <w:r w:rsidR="00244495">
        <w:t>p</w:t>
      </w:r>
      <w:r w:rsidR="00244495" w:rsidRPr="00244495">
        <w:t xml:space="preserve">urchases from HBAT as </w:t>
      </w:r>
      <w:r w:rsidR="00244495">
        <w:t>the</w:t>
      </w:r>
      <w:r w:rsidR="00244495" w:rsidRPr="00244495">
        <w:t xml:space="preserve"> dependent variables.  </w:t>
      </w:r>
      <w:r w:rsidR="00244495">
        <w:t>The</w:t>
      </w:r>
      <w:r w:rsidR="00244495" w:rsidRPr="00244495">
        <w:t xml:space="preserve"> independent variables</w:t>
      </w:r>
      <w:r w:rsidR="00244495">
        <w:t xml:space="preserve"> used includes c</w:t>
      </w:r>
      <w:r w:rsidR="00244495" w:rsidRPr="00244495">
        <w:t>ustomer type and</w:t>
      </w:r>
      <w:r w:rsidR="00244495">
        <w:t xml:space="preserve"> firm size. </w:t>
      </w:r>
    </w:p>
    <w:tbl>
      <w:tblPr>
        <w:tblW w:w="1082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2"/>
        <w:gridCol w:w="1786"/>
        <w:gridCol w:w="1786"/>
        <w:gridCol w:w="1786"/>
        <w:gridCol w:w="1786"/>
        <w:gridCol w:w="1789"/>
      </w:tblGrid>
      <w:tr w:rsidR="00244495" w:rsidRPr="00244495" w14:paraId="1FD8C12D" w14:textId="77777777" w:rsidTr="002444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11"/>
          <w:tblHeader/>
          <w:jc w:val="center"/>
        </w:trPr>
        <w:tc>
          <w:tcPr>
            <w:tcW w:w="10825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552E2A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MANOVA Test Criteria and F Approximations for the Hypothesis of No Overall Customer_*Firm_size2 Effect</w:t>
            </w: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H = Type III SSCP Matrix for Customer_*Firm_size2</w:t>
            </w: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 = Error SSCP Matrix</w:t>
            </w: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</w: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S=2    M=0    N=95</w:t>
            </w:r>
          </w:p>
        </w:tc>
      </w:tr>
      <w:tr w:rsidR="00244495" w:rsidRPr="00244495" w14:paraId="7CA7260F" w14:textId="77777777" w:rsidTr="002444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2"/>
          <w:tblHeader/>
          <w:jc w:val="center"/>
        </w:trPr>
        <w:tc>
          <w:tcPr>
            <w:tcW w:w="18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778C80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Statistic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55EA55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0BA4EF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C32770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CCB986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F6083E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244495" w:rsidRPr="00244495" w14:paraId="0E5BD7A5" w14:textId="77777777" w:rsidTr="002444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9"/>
          <w:jc w:val="center"/>
        </w:trPr>
        <w:tc>
          <w:tcPr>
            <w:tcW w:w="18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6C1119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Wilks' Lambda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D8CB77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0.87510986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276D6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4.41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95CB14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9CA836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EE19AE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0.0002</w:t>
            </w:r>
          </w:p>
        </w:tc>
      </w:tr>
      <w:tr w:rsidR="00244495" w:rsidRPr="00244495" w14:paraId="4F6B1FFE" w14:textId="77777777" w:rsidTr="002444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9"/>
          <w:jc w:val="center"/>
        </w:trPr>
        <w:tc>
          <w:tcPr>
            <w:tcW w:w="18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6C8797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Pillai's Trace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9AA3F8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0.12703448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911B2B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4.36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CBEB55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0FFAE2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188320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0.0003</w:t>
            </w:r>
          </w:p>
        </w:tc>
      </w:tr>
      <w:tr w:rsidR="00244495" w:rsidRPr="00244495" w14:paraId="54A02D76" w14:textId="77777777" w:rsidTr="002444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/>
          <w:jc w:val="center"/>
        </w:trPr>
        <w:tc>
          <w:tcPr>
            <w:tcW w:w="18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B7240B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Hotelling</w:t>
            </w:r>
            <w:proofErr w:type="spellEnd"/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-Lawley Trace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EB2DC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0.14026330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5054E0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4.48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D4DCA2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2102B9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254.23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72652D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0.0002</w:t>
            </w:r>
          </w:p>
        </w:tc>
      </w:tr>
      <w:tr w:rsidR="00244495" w:rsidRPr="00244495" w14:paraId="0D0410CC" w14:textId="77777777" w:rsidTr="002444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/>
          <w:jc w:val="center"/>
        </w:trPr>
        <w:tc>
          <w:tcPr>
            <w:tcW w:w="189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FCF7F6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Roy's Greatest Root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16804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0.11981145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C03E85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7.71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B185B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52430F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17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374CA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244495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244495" w:rsidRPr="00244495" w14:paraId="11390937" w14:textId="77777777" w:rsidTr="002444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9"/>
          <w:jc w:val="center"/>
        </w:trPr>
        <w:tc>
          <w:tcPr>
            <w:tcW w:w="10825" w:type="dxa"/>
            <w:gridSpan w:val="6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052A6A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NOTE: F Statistic for Roy's Greatest Root is an upper bound.</w:t>
            </w:r>
          </w:p>
        </w:tc>
      </w:tr>
      <w:tr w:rsidR="00244495" w:rsidRPr="00244495" w14:paraId="66A4EFE6" w14:textId="77777777" w:rsidTr="002444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9"/>
          <w:jc w:val="center"/>
        </w:trPr>
        <w:tc>
          <w:tcPr>
            <w:tcW w:w="10825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233B40" w14:textId="77777777" w:rsidR="00244495" w:rsidRPr="00244495" w:rsidRDefault="00244495" w:rsidP="0024449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244495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NOTE: F Statistic for Wilks' Lambda is exact.</w:t>
            </w:r>
          </w:p>
        </w:tc>
      </w:tr>
    </w:tbl>
    <w:p w14:paraId="20F20E48" w14:textId="32BC37BC" w:rsidR="00244495" w:rsidRDefault="00244495" w:rsidP="00244495">
      <w:pPr>
        <w:ind w:firstLine="720"/>
      </w:pPr>
    </w:p>
    <w:p w14:paraId="79B2FD03" w14:textId="2E43C0A5" w:rsidR="00244495" w:rsidRDefault="00050085" w:rsidP="00244495">
      <w:pPr>
        <w:ind w:firstLine="720"/>
        <w:rPr>
          <w:rFonts w:eastAsiaTheme="minorEastAsia"/>
        </w:rPr>
      </w:pPr>
      <w:r>
        <w:t xml:space="preserve">Let, </w:t>
      </w:r>
      <w:r w:rsidRPr="00050085">
        <w:t>Ho: There is no interaction.</w:t>
      </w:r>
      <w:r>
        <w:t xml:space="preserve"> With Wilks’ lambda = .8751,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6,384</m:t>
            </m:r>
          </m:sub>
        </m:sSub>
      </m:oMath>
      <w:r>
        <w:rPr>
          <w:rFonts w:eastAsiaTheme="minorEastAsia"/>
        </w:rPr>
        <w:t xml:space="preserve">=4.41 and p-value=.0002. </w:t>
      </w:r>
      <w:r w:rsidR="0000112A">
        <w:rPr>
          <w:rFonts w:eastAsiaTheme="minorEastAsia"/>
        </w:rPr>
        <w:t>The null hypothesis is rejected and there exists and interaction.  The MANOVA tests for the main effects are seen in the following tables. Where c</w:t>
      </w:r>
      <w:r w:rsidR="0000112A" w:rsidRPr="0000112A">
        <w:rPr>
          <w:rFonts w:eastAsiaTheme="minorEastAsia"/>
        </w:rPr>
        <w:t>ustomer</w:t>
      </w:r>
      <w:r w:rsidR="0000112A">
        <w:rPr>
          <w:rFonts w:eastAsiaTheme="minorEastAsia"/>
        </w:rPr>
        <w:t xml:space="preserve"> t</w:t>
      </w:r>
      <w:r w:rsidR="0000112A" w:rsidRPr="0000112A">
        <w:rPr>
          <w:rFonts w:eastAsiaTheme="minorEastAsia"/>
        </w:rPr>
        <w:t>ype:  Wilks’ Lambda = 0.</w:t>
      </w:r>
      <w:r w:rsidR="0000112A">
        <w:rPr>
          <w:rFonts w:eastAsiaTheme="minorEastAsia"/>
        </w:rPr>
        <w:t>3885</w:t>
      </w:r>
      <m:oMath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6,384</m:t>
            </m:r>
          </m:sub>
        </m:sSub>
      </m:oMath>
      <w:r w:rsidR="0000112A" w:rsidRPr="0000112A">
        <w:rPr>
          <w:rFonts w:eastAsiaTheme="minorEastAsia"/>
        </w:rPr>
        <w:t>=</w:t>
      </w:r>
      <w:r w:rsidR="0000112A">
        <w:rPr>
          <w:rFonts w:eastAsiaTheme="minorEastAsia"/>
        </w:rPr>
        <w:t>38.68</w:t>
      </w:r>
      <w:r w:rsidR="0000112A" w:rsidRPr="0000112A">
        <w:rPr>
          <w:rFonts w:eastAsiaTheme="minorEastAsia"/>
        </w:rPr>
        <w:t>,</w:t>
      </w:r>
      <w:r w:rsidR="0000112A">
        <w:rPr>
          <w:rFonts w:eastAsiaTheme="minorEastAsia"/>
        </w:rPr>
        <w:t xml:space="preserve"> and</w:t>
      </w:r>
      <w:r w:rsidR="0000112A" w:rsidRPr="0000112A">
        <w:rPr>
          <w:rFonts w:eastAsiaTheme="minorEastAsia"/>
        </w:rPr>
        <w:t xml:space="preserve"> p-value = &lt; .0001.  Reject Ho</w:t>
      </w:r>
      <w:r w:rsidR="0000112A">
        <w:rPr>
          <w:rFonts w:eastAsiaTheme="minorEastAsia"/>
        </w:rPr>
        <w:t>, n</w:t>
      </w:r>
      <w:r w:rsidR="0000112A" w:rsidRPr="0000112A">
        <w:rPr>
          <w:rFonts w:eastAsiaTheme="minorEastAsia"/>
        </w:rPr>
        <w:t>ot all mean vectors are the same.</w:t>
      </w:r>
      <w:r w:rsidR="0000112A">
        <w:rPr>
          <w:rFonts w:eastAsiaTheme="minorEastAsia"/>
        </w:rPr>
        <w:t xml:space="preserve"> </w:t>
      </w:r>
      <w:r w:rsidR="0000112A" w:rsidRPr="0000112A">
        <w:rPr>
          <w:rFonts w:eastAsiaTheme="minorEastAsia"/>
        </w:rPr>
        <w:t>For distribution:  Wilks’ Lambda = 0.</w:t>
      </w:r>
      <w:r w:rsidR="0000112A">
        <w:rPr>
          <w:rFonts w:eastAsiaTheme="minorEastAsia"/>
        </w:rPr>
        <w:t>8132</w:t>
      </w:r>
      <w:r w:rsidR="0000112A" w:rsidRPr="0000112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3,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92</m:t>
            </m:r>
          </m:sub>
        </m:sSub>
      </m:oMath>
      <w:r w:rsidR="0000112A" w:rsidRPr="0000112A">
        <w:rPr>
          <w:rFonts w:eastAsiaTheme="minorEastAsia"/>
        </w:rPr>
        <w:t>=</w:t>
      </w:r>
      <w:r w:rsidR="0000112A">
        <w:rPr>
          <w:rFonts w:eastAsiaTheme="minorEastAsia"/>
        </w:rPr>
        <w:t>14.70</w:t>
      </w:r>
      <w:r w:rsidR="0000112A" w:rsidRPr="0000112A">
        <w:rPr>
          <w:rFonts w:eastAsiaTheme="minorEastAsia"/>
        </w:rPr>
        <w:t>, p-value &lt;0.0001.  Reject Ho</w:t>
      </w:r>
      <w:r w:rsidR="0000112A">
        <w:rPr>
          <w:rFonts w:eastAsiaTheme="minorEastAsia"/>
        </w:rPr>
        <w:t>, n</w:t>
      </w:r>
      <w:r w:rsidR="0000112A" w:rsidRPr="0000112A">
        <w:rPr>
          <w:rFonts w:eastAsiaTheme="minorEastAsia"/>
        </w:rPr>
        <w:t xml:space="preserve">ot all mean vectors are the same. </w:t>
      </w:r>
    </w:p>
    <w:tbl>
      <w:tblPr>
        <w:tblW w:w="106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3"/>
        <w:gridCol w:w="1698"/>
        <w:gridCol w:w="1698"/>
        <w:gridCol w:w="1698"/>
        <w:gridCol w:w="1698"/>
        <w:gridCol w:w="1700"/>
      </w:tblGrid>
      <w:tr w:rsidR="0000112A" w:rsidRPr="0000112A" w14:paraId="58FF2E78" w14:textId="77777777" w:rsidTr="00001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14"/>
          <w:tblHeader/>
          <w:jc w:val="center"/>
        </w:trPr>
        <w:tc>
          <w:tcPr>
            <w:tcW w:w="10695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53CD7D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MANOVA Test Criteria and F Approximations for the Hypothesis of No Overall Customer_type200 Effect</w:t>
            </w: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H = Type III SSCP Matrix for Customer_type200</w:t>
            </w: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 = Error SSCP Matrix</w:t>
            </w: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</w: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S=2    M=0    N=95</w:t>
            </w:r>
          </w:p>
        </w:tc>
      </w:tr>
      <w:tr w:rsidR="0000112A" w:rsidRPr="0000112A" w14:paraId="4BAE2D9D" w14:textId="77777777" w:rsidTr="00001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4"/>
          <w:tblHeader/>
          <w:jc w:val="center"/>
        </w:trPr>
        <w:tc>
          <w:tcPr>
            <w:tcW w:w="220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A68763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Statistic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A4B9FB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7FA3EF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C0C1D1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D85F65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D071E6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00112A" w:rsidRPr="0000112A" w14:paraId="6D9058B0" w14:textId="77777777" w:rsidTr="00001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2"/>
          <w:jc w:val="center"/>
        </w:trPr>
        <w:tc>
          <w:tcPr>
            <w:tcW w:w="220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18CE8D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Wilks' Lambda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8F45A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0.38851354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307B9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38.68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CC14C2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451412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FB5DB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0112A" w:rsidRPr="0000112A" w14:paraId="1C8827E8" w14:textId="77777777" w:rsidTr="00001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2"/>
          <w:jc w:val="center"/>
        </w:trPr>
        <w:tc>
          <w:tcPr>
            <w:tcW w:w="220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A758BD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Pillai's Trace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042DCB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0.61186511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D8424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28.36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2FFD2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3CCB3F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4DECF4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0112A" w:rsidRPr="0000112A" w14:paraId="1431F3D2" w14:textId="77777777" w:rsidTr="00001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2"/>
          <w:jc w:val="center"/>
        </w:trPr>
        <w:tc>
          <w:tcPr>
            <w:tcW w:w="220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6FABE6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Hotelling</w:t>
            </w:r>
            <w:proofErr w:type="spellEnd"/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-Lawley Trace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26E60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1.57293824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F107DA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50.20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C73220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DAE040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254.23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D9BCEF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0112A" w:rsidRPr="0000112A" w14:paraId="57D43446" w14:textId="77777777" w:rsidTr="00001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2"/>
          <w:jc w:val="center"/>
        </w:trPr>
        <w:tc>
          <w:tcPr>
            <w:tcW w:w="220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636E58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Roy's Greatest Root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8D0282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1.57231839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A5F538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101.15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D1D77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2039F1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1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5BB8FB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0112A" w:rsidRPr="0000112A" w14:paraId="55265B9E" w14:textId="77777777" w:rsidTr="00001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4"/>
          <w:jc w:val="center"/>
        </w:trPr>
        <w:tc>
          <w:tcPr>
            <w:tcW w:w="10695" w:type="dxa"/>
            <w:gridSpan w:val="6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E63906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NOTE: F Statistic for Roy's Greatest Root is an upper bound.</w:t>
            </w:r>
          </w:p>
        </w:tc>
      </w:tr>
      <w:tr w:rsidR="0000112A" w:rsidRPr="0000112A" w14:paraId="75E7FCDD" w14:textId="77777777" w:rsidTr="00001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2"/>
          <w:jc w:val="center"/>
        </w:trPr>
        <w:tc>
          <w:tcPr>
            <w:tcW w:w="10695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959E55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NOTE: F Statistic for Wilks' Lambda is exact.</w:t>
            </w:r>
          </w:p>
        </w:tc>
      </w:tr>
    </w:tbl>
    <w:p w14:paraId="6FAA0E97" w14:textId="7357A731" w:rsidR="0000112A" w:rsidRDefault="0000112A" w:rsidP="00244495">
      <w:pPr>
        <w:ind w:firstLine="720"/>
      </w:pPr>
    </w:p>
    <w:tbl>
      <w:tblPr>
        <w:tblW w:w="105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9"/>
        <w:gridCol w:w="1651"/>
        <w:gridCol w:w="1651"/>
        <w:gridCol w:w="1651"/>
        <w:gridCol w:w="1651"/>
        <w:gridCol w:w="1652"/>
      </w:tblGrid>
      <w:tr w:rsidR="0000112A" w:rsidRPr="0000112A" w14:paraId="1460B175" w14:textId="77777777" w:rsidTr="00001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54"/>
          <w:tblHeader/>
          <w:jc w:val="center"/>
        </w:trPr>
        <w:tc>
          <w:tcPr>
            <w:tcW w:w="10565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B90E26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MANOVA Test Criteria and Exact F Statistics for the Hypothesis of No Overall Firm_size200 Effect</w:t>
            </w: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H = Type III SSCP Matrix for Firm_size200</w:t>
            </w: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 = Error SSCP Matrix</w:t>
            </w: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</w: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S=1    M=0.5    N=95</w:t>
            </w:r>
          </w:p>
        </w:tc>
      </w:tr>
      <w:tr w:rsidR="0000112A" w:rsidRPr="0000112A" w14:paraId="752AE1B6" w14:textId="77777777" w:rsidTr="00001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4"/>
          <w:tblHeader/>
          <w:jc w:val="center"/>
        </w:trPr>
        <w:tc>
          <w:tcPr>
            <w:tcW w:w="23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848D53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Statistic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2E8F5A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3E669B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F32C44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F5EC05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6C41F4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00112A" w:rsidRPr="0000112A" w14:paraId="7ECF7477" w14:textId="77777777" w:rsidTr="00001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/>
          <w:jc w:val="center"/>
        </w:trPr>
        <w:tc>
          <w:tcPr>
            <w:tcW w:w="23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220C8A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Wilks' Lambda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47C2B3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0.81323506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05528D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14.70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3CB913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94DD2D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5E7EF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0112A" w:rsidRPr="0000112A" w14:paraId="4A0DC7B1" w14:textId="77777777" w:rsidTr="00001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/>
          <w:jc w:val="center"/>
        </w:trPr>
        <w:tc>
          <w:tcPr>
            <w:tcW w:w="23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B405B8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Pillai's Trace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C53DC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0.18676494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A0E0B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14.70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397DC9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9B4DEE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0968FE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0112A" w:rsidRPr="0000112A" w14:paraId="473E06CB" w14:textId="77777777" w:rsidTr="00001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/>
          <w:jc w:val="center"/>
        </w:trPr>
        <w:tc>
          <w:tcPr>
            <w:tcW w:w="23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B2AF0A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Hotelling</w:t>
            </w:r>
            <w:proofErr w:type="spellEnd"/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-Lawley Trace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1CF07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0.22965677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A00274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14.70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8AFDDA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394246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06C77" w14:textId="77777777" w:rsidR="0000112A" w:rsidRPr="0000112A" w:rsidRDefault="0000112A" w:rsidP="000011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0112A" w:rsidRPr="0000112A" w14:paraId="304BB196" w14:textId="77777777" w:rsidTr="000011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/>
          <w:jc w:val="center"/>
        </w:trPr>
        <w:tc>
          <w:tcPr>
            <w:tcW w:w="23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977370" w14:textId="77777777" w:rsidR="0000112A" w:rsidRPr="0000112A" w:rsidRDefault="0000112A" w:rsidP="0000112A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0112A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Roy's Greatest Root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34536D" w14:textId="77777777" w:rsidR="0000112A" w:rsidRPr="0000112A" w:rsidRDefault="0000112A" w:rsidP="000011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0.22965677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137DD" w14:textId="77777777" w:rsidR="0000112A" w:rsidRPr="0000112A" w:rsidRDefault="0000112A" w:rsidP="000011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14.70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90D1F" w14:textId="77777777" w:rsidR="0000112A" w:rsidRPr="0000112A" w:rsidRDefault="0000112A" w:rsidP="000011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F9576C" w14:textId="77777777" w:rsidR="0000112A" w:rsidRPr="0000112A" w:rsidRDefault="0000112A" w:rsidP="000011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9B9910" w14:textId="77777777" w:rsidR="0000112A" w:rsidRPr="0000112A" w:rsidRDefault="0000112A" w:rsidP="000011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0112A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</w:tbl>
    <w:p w14:paraId="04B5EACE" w14:textId="78424A90" w:rsidR="0000112A" w:rsidRDefault="0000112A" w:rsidP="00244495">
      <w:pPr>
        <w:ind w:firstLine="720"/>
      </w:pPr>
    </w:p>
    <w:p w14:paraId="2233613D" w14:textId="2D97E4D3" w:rsidR="0000112A" w:rsidRDefault="00F05319" w:rsidP="00244495">
      <w:pPr>
        <w:ind w:firstLine="720"/>
      </w:pPr>
      <w:r>
        <w:t xml:space="preserve">The following graph shows that firm size group 1 means are higher than group 0 means and </w:t>
      </w:r>
      <w:r w:rsidR="004D0515">
        <w:t>i</w:t>
      </w:r>
      <w:r w:rsidR="004D0515" w:rsidRPr="004D0515">
        <w:t>t appears that customer</w:t>
      </w:r>
      <w:r w:rsidR="004D0515">
        <w:t xml:space="preserve"> </w:t>
      </w:r>
      <w:r w:rsidR="004D0515" w:rsidRPr="004D0515">
        <w:t xml:space="preserve">type group 3 mean is higher than group 1 mean. </w:t>
      </w:r>
    </w:p>
    <w:p w14:paraId="3FA330F7" w14:textId="78E504CD" w:rsidR="00F05319" w:rsidRDefault="00F05319" w:rsidP="004D0515">
      <w:pPr>
        <w:ind w:firstLine="720"/>
      </w:pPr>
      <w:r>
        <w:rPr>
          <w:noProof/>
          <w:sz w:val="24"/>
          <w:szCs w:val="24"/>
        </w:rPr>
        <w:drawing>
          <wp:inline distT="0" distB="0" distL="0" distR="0" wp14:anchorId="74A4757C" wp14:editId="343F3BC7">
            <wp:extent cx="54102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1F91" w14:textId="376B48FD" w:rsidR="004D0515" w:rsidRDefault="004C2179" w:rsidP="004D0515">
      <w:pPr>
        <w:ind w:firstLine="720"/>
      </w:pPr>
      <w:r>
        <w:rPr>
          <w:noProof/>
          <w:sz w:val="24"/>
          <w:szCs w:val="24"/>
        </w:rPr>
        <w:lastRenderedPageBreak/>
        <w:drawing>
          <wp:inline distT="0" distB="0" distL="0" distR="0" wp14:anchorId="47483FD1" wp14:editId="1264D6B9">
            <wp:extent cx="5003801" cy="3752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627" cy="375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EC6D" w14:textId="17E756FC" w:rsidR="004C2179" w:rsidRDefault="004C2179" w:rsidP="004D0515">
      <w:pPr>
        <w:ind w:firstLine="720"/>
      </w:pPr>
      <w:r>
        <w:rPr>
          <w:noProof/>
          <w:sz w:val="24"/>
          <w:szCs w:val="24"/>
        </w:rPr>
        <w:drawing>
          <wp:inline distT="0" distB="0" distL="0" distR="0" wp14:anchorId="77898733" wp14:editId="3169A2C3">
            <wp:extent cx="4943475" cy="37076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82" cy="370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B300" w14:textId="355771B8" w:rsidR="001A352D" w:rsidRDefault="006959FD" w:rsidP="004D0515">
      <w:pPr>
        <w:ind w:firstLine="720"/>
      </w:pPr>
      <w:r w:rsidRPr="006959FD">
        <w:lastRenderedPageBreak/>
        <w:t>Pairwise comparisons for dependent variable, s</w:t>
      </w:r>
      <w:r>
        <w:t>atisfaction</w:t>
      </w:r>
      <w:r w:rsidRPr="006959FD">
        <w:t>, and customer</w:t>
      </w:r>
      <w:r>
        <w:t xml:space="preserve"> </w:t>
      </w:r>
      <w:r w:rsidRPr="006959FD">
        <w:t>type.  All three means are significantly different.  Group 3 mean is the highest, then group 2, finally group 1 mean</w:t>
      </w:r>
      <w:r>
        <w:t xml:space="preserve"> as seen below.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8"/>
        <w:gridCol w:w="1318"/>
        <w:gridCol w:w="1318"/>
        <w:gridCol w:w="1320"/>
      </w:tblGrid>
      <w:tr w:rsidR="006959FD" w:rsidRPr="006959FD" w14:paraId="411FDA85" w14:textId="77777777" w:rsidTr="00695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68"/>
          <w:tblHeader/>
          <w:jc w:val="center"/>
        </w:trPr>
        <w:tc>
          <w:tcPr>
            <w:tcW w:w="528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EA71E2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Least Squares Means for Effect Customer_type200</w:t>
            </w:r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t for H0: </w:t>
            </w:r>
            <w:proofErr w:type="spellStart"/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LSMean</w:t>
            </w:r>
            <w:proofErr w:type="spellEnd"/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(</w:t>
            </w:r>
            <w:proofErr w:type="spellStart"/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</w:t>
            </w:r>
            <w:proofErr w:type="spellEnd"/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)=</w:t>
            </w:r>
            <w:proofErr w:type="spellStart"/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LSMean</w:t>
            </w:r>
            <w:proofErr w:type="spellEnd"/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(j) / </w:t>
            </w:r>
            <w:proofErr w:type="spellStart"/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|t|</w:t>
            </w:r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</w:r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Dependent Variable: Satis200</w:t>
            </w:r>
          </w:p>
        </w:tc>
      </w:tr>
      <w:tr w:rsidR="006959FD" w:rsidRPr="006959FD" w14:paraId="6A85F310" w14:textId="77777777" w:rsidTr="00695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0"/>
          <w:tblHeader/>
          <w:jc w:val="center"/>
        </w:trPr>
        <w:tc>
          <w:tcPr>
            <w:tcW w:w="132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0EFDF9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</w:t>
            </w:r>
            <w:proofErr w:type="spellEnd"/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/j</w:t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323B9C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2596C7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163898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</w:tr>
      <w:tr w:rsidR="006959FD" w:rsidRPr="006959FD" w14:paraId="5587A360" w14:textId="77777777" w:rsidTr="00695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5"/>
          <w:jc w:val="center"/>
        </w:trPr>
        <w:tc>
          <w:tcPr>
            <w:tcW w:w="132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CA9078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151567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E2C0AD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-11.3891</w:t>
            </w: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065F6C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-16.6351</w:t>
            </w: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6959FD" w:rsidRPr="006959FD" w14:paraId="201D8D3D" w14:textId="77777777" w:rsidTr="00695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5"/>
          <w:jc w:val="center"/>
        </w:trPr>
        <w:tc>
          <w:tcPr>
            <w:tcW w:w="132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937E81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68F287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11.38911</w:t>
            </w: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2D12D1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37935F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-4.9291</w:t>
            </w: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6959FD" w:rsidRPr="006959FD" w14:paraId="4292817E" w14:textId="77777777" w:rsidTr="00695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5"/>
          <w:jc w:val="center"/>
        </w:trPr>
        <w:tc>
          <w:tcPr>
            <w:tcW w:w="13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C01BF4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6959FD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D1B5B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16.63515</w:t>
            </w: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F6958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4.9291</w:t>
            </w: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493566" w14:textId="77777777" w:rsidR="006959FD" w:rsidRPr="006959FD" w:rsidRDefault="006959FD" w:rsidP="006959F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6959FD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</w:tbl>
    <w:p w14:paraId="76B26CA4" w14:textId="4DEF86CA" w:rsidR="006959FD" w:rsidRDefault="006959FD" w:rsidP="004D0515">
      <w:pPr>
        <w:ind w:firstLine="720"/>
      </w:pPr>
    </w:p>
    <w:p w14:paraId="7912DC6E" w14:textId="416DEEAD" w:rsidR="006959FD" w:rsidRDefault="001368A9" w:rsidP="004D0515">
      <w:pPr>
        <w:ind w:firstLine="720"/>
      </w:pPr>
      <w:r>
        <w:rPr>
          <w:noProof/>
          <w:sz w:val="24"/>
          <w:szCs w:val="24"/>
        </w:rPr>
        <w:drawing>
          <wp:inline distT="0" distB="0" distL="0" distR="0" wp14:anchorId="651D93D0" wp14:editId="1BDA0CFB">
            <wp:extent cx="4572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4514" w14:textId="54E8EF20" w:rsidR="001368A9" w:rsidRDefault="001368A9" w:rsidP="004D0515">
      <w:pPr>
        <w:ind w:firstLine="720"/>
      </w:pPr>
    </w:p>
    <w:p w14:paraId="7CA9F1C1" w14:textId="67636932" w:rsidR="001368A9" w:rsidRDefault="001368A9" w:rsidP="00F50763"/>
    <w:p w14:paraId="6BC78445" w14:textId="6579BBB2" w:rsidR="00F50763" w:rsidRDefault="00BC7DA7" w:rsidP="00BC7DA7">
      <w:pPr>
        <w:ind w:firstLine="720"/>
      </w:pPr>
      <w:r w:rsidRPr="00BC7DA7">
        <w:lastRenderedPageBreak/>
        <w:t xml:space="preserve">These comparisons are not needed since there are only two categories for </w:t>
      </w:r>
      <w:r>
        <w:t xml:space="preserve">future purchase. </w:t>
      </w:r>
      <w:r w:rsidRPr="00BC7DA7">
        <w:t>Group 1 has higher means than group 0; they are all significantly higher.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819"/>
        <w:gridCol w:w="1304"/>
        <w:gridCol w:w="1304"/>
      </w:tblGrid>
      <w:tr w:rsidR="00BC7DA7" w:rsidRPr="00BC7DA7" w14:paraId="310F5E2F" w14:textId="77777777" w:rsidTr="004534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63D160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BC7DA7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Firm_size200</w:t>
            </w:r>
          </w:p>
        </w:tc>
        <w:tc>
          <w:tcPr>
            <w:tcW w:w="1819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640BD2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BC7DA7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Future_Purch200 LSMEAN</w:t>
            </w:r>
          </w:p>
        </w:tc>
        <w:tc>
          <w:tcPr>
            <w:tcW w:w="2608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2636C2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BC7DA7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H0:LSMean1=LSMean2</w:t>
            </w:r>
          </w:p>
        </w:tc>
      </w:tr>
      <w:tr w:rsidR="00BC7DA7" w:rsidRPr="00BC7DA7" w14:paraId="33188E1A" w14:textId="77777777" w:rsidTr="004534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19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9D0346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9351DE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B8AFC1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BC7DA7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13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3B4D7D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BC7DA7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BC7DA7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BC7DA7" w:rsidRPr="00BC7DA7" w14:paraId="12422072" w14:textId="77777777" w:rsidTr="004534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103F2E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BC7DA7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54A958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BC7DA7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7.42501034</w:t>
            </w:r>
          </w:p>
        </w:tc>
        <w:tc>
          <w:tcPr>
            <w:tcW w:w="13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16272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BC7DA7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-5.20</w:t>
            </w:r>
          </w:p>
        </w:tc>
        <w:tc>
          <w:tcPr>
            <w:tcW w:w="13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5A8236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BC7DA7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BC7DA7" w:rsidRPr="00BC7DA7" w14:paraId="0855B114" w14:textId="77777777" w:rsidTr="004534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E36C31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BC7DA7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81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BA3ECF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BC7DA7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7.92679108</w:t>
            </w:r>
          </w:p>
        </w:tc>
        <w:tc>
          <w:tcPr>
            <w:tcW w:w="13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086F14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9A30F9" w14:textId="77777777" w:rsidR="00BC7DA7" w:rsidRPr="00BC7DA7" w:rsidRDefault="00BC7DA7" w:rsidP="00BC7DA7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7EAFEDD" w14:textId="6D404BD5" w:rsidR="001368A9" w:rsidRDefault="001368A9" w:rsidP="004D0515">
      <w:pPr>
        <w:ind w:firstLine="720"/>
      </w:pPr>
    </w:p>
    <w:p w14:paraId="7BEE8238" w14:textId="54690E4E" w:rsidR="001368A9" w:rsidRDefault="00B75006" w:rsidP="001368A9">
      <w:r>
        <w:rPr>
          <w:noProof/>
          <w:sz w:val="24"/>
          <w:szCs w:val="24"/>
        </w:rPr>
        <w:drawing>
          <wp:inline distT="0" distB="0" distL="0" distR="0" wp14:anchorId="712F80CB" wp14:editId="605F82AD">
            <wp:extent cx="4572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A711" w14:textId="1CB30E21" w:rsidR="00B75006" w:rsidRDefault="00B75006" w:rsidP="001368A9">
      <w:r>
        <w:rPr>
          <w:noProof/>
          <w:sz w:val="24"/>
          <w:szCs w:val="24"/>
        </w:rPr>
        <w:lastRenderedPageBreak/>
        <w:drawing>
          <wp:inline distT="0" distB="0" distL="0" distR="0" wp14:anchorId="6054241F" wp14:editId="7A434AD9">
            <wp:extent cx="4572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BE64" w14:textId="46600504" w:rsidR="00B75006" w:rsidRDefault="00B75006" w:rsidP="001368A9"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 wp14:anchorId="7B0BE8D5" wp14:editId="01A8DE2D">
            <wp:extent cx="45720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7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6A8CE" w14:textId="77777777" w:rsidR="00940C01" w:rsidRDefault="00940C01" w:rsidP="001A352D">
      <w:pPr>
        <w:spacing w:after="0" w:line="240" w:lineRule="auto"/>
      </w:pPr>
      <w:r>
        <w:separator/>
      </w:r>
    </w:p>
  </w:endnote>
  <w:endnote w:type="continuationSeparator" w:id="0">
    <w:p w14:paraId="445B4784" w14:textId="77777777" w:rsidR="00940C01" w:rsidRDefault="00940C01" w:rsidP="001A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3EF3C" w14:textId="77777777" w:rsidR="00940C01" w:rsidRDefault="00940C01" w:rsidP="001A352D">
      <w:pPr>
        <w:spacing w:after="0" w:line="240" w:lineRule="auto"/>
      </w:pPr>
      <w:r>
        <w:separator/>
      </w:r>
    </w:p>
  </w:footnote>
  <w:footnote w:type="continuationSeparator" w:id="0">
    <w:p w14:paraId="24EB16AC" w14:textId="77777777" w:rsidR="00940C01" w:rsidRDefault="00940C01" w:rsidP="001A3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75"/>
    <w:rsid w:val="0000112A"/>
    <w:rsid w:val="00050085"/>
    <w:rsid w:val="001368A9"/>
    <w:rsid w:val="001A352D"/>
    <w:rsid w:val="001F1BC2"/>
    <w:rsid w:val="00244495"/>
    <w:rsid w:val="00452521"/>
    <w:rsid w:val="004C2179"/>
    <w:rsid w:val="004D0515"/>
    <w:rsid w:val="00582BB3"/>
    <w:rsid w:val="006959FD"/>
    <w:rsid w:val="00940C01"/>
    <w:rsid w:val="00B75006"/>
    <w:rsid w:val="00BC7DA7"/>
    <w:rsid w:val="00E83775"/>
    <w:rsid w:val="00F05319"/>
    <w:rsid w:val="00F50763"/>
    <w:rsid w:val="00F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C5D4"/>
  <w15:chartTrackingRefBased/>
  <w15:docId w15:val="{4C1019D1-2882-4CA0-916F-4B51F4E6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0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3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52D"/>
  </w:style>
  <w:style w:type="paragraph" w:styleId="Footer">
    <w:name w:val="footer"/>
    <w:basedOn w:val="Normal"/>
    <w:link w:val="FooterChar"/>
    <w:uiPriority w:val="99"/>
    <w:unhideWhenUsed/>
    <w:rsid w:val="001A3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8</cp:revision>
  <dcterms:created xsi:type="dcterms:W3CDTF">2018-06-04T02:34:00Z</dcterms:created>
  <dcterms:modified xsi:type="dcterms:W3CDTF">2018-06-04T05:00:00Z</dcterms:modified>
</cp:coreProperties>
</file>