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AC1EB" w14:textId="77777777" w:rsidR="000E47A8" w:rsidRDefault="000E47A8">
      <w:pPr>
        <w:spacing w:before="1600"/>
      </w:pPr>
    </w:p>
    <w:p w14:paraId="554E1D20" w14:textId="77777777" w:rsidR="000E47A8" w:rsidRDefault="00000000">
      <w:pPr>
        <w:jc w:val="center"/>
      </w:pPr>
      <w:r>
        <w:rPr>
          <w:b/>
          <w:bCs/>
          <w:sz w:val="48"/>
          <w:szCs w:val="48"/>
        </w:rPr>
        <w:t>IFEXA Healthcare</w:t>
      </w:r>
    </w:p>
    <w:p w14:paraId="30C03CC7" w14:textId="77777777" w:rsidR="000E47A8" w:rsidRDefault="00000000">
      <w:pPr>
        <w:spacing w:after="300"/>
        <w:jc w:val="center"/>
      </w:pPr>
      <w:r>
        <w:rPr>
          <w:b/>
          <w:bCs/>
          <w:sz w:val="30"/>
          <w:szCs w:val="30"/>
        </w:rPr>
        <w:t>Performance &amp; Patient Analytics — Project Analysis Report</w:t>
      </w:r>
    </w:p>
    <w:p w14:paraId="59E86433" w14:textId="77777777" w:rsidR="000E47A8" w:rsidRDefault="00000000">
      <w:pPr>
        <w:spacing w:before="800"/>
        <w:jc w:val="center"/>
      </w:pPr>
      <w:r>
        <w:rPr>
          <w:sz w:val="22"/>
          <w:szCs w:val="22"/>
        </w:rPr>
        <w:t xml:space="preserve">Prepared by Samuel Vivian Nkechi </w:t>
      </w:r>
      <w:proofErr w:type="spellStart"/>
      <w:r>
        <w:rPr>
          <w:sz w:val="22"/>
          <w:szCs w:val="22"/>
        </w:rPr>
        <w:t>Okwara</w:t>
      </w:r>
      <w:proofErr w:type="spellEnd"/>
    </w:p>
    <w:p w14:paraId="4358E46D" w14:textId="77777777" w:rsidR="000E47A8" w:rsidRDefault="00000000">
      <w:pPr>
        <w:spacing w:after="60"/>
        <w:jc w:val="center"/>
      </w:pPr>
      <w:r>
        <w:t>Data Analyst | Lagos, Nigeria</w:t>
      </w:r>
    </w:p>
    <w:p w14:paraId="443FF2A7" w14:textId="77777777" w:rsidR="000E47A8" w:rsidRDefault="00000000">
      <w:pPr>
        <w:jc w:val="center"/>
      </w:pPr>
      <w:r>
        <w:t>linkedin.com/in/</w:t>
      </w:r>
      <w:proofErr w:type="spellStart"/>
      <w:r>
        <w:t>okwara</w:t>
      </w:r>
      <w:proofErr w:type="spellEnd"/>
      <w:r>
        <w:t>-</w:t>
      </w:r>
      <w:proofErr w:type="gramStart"/>
      <w:r>
        <w:t>vivian  |</w:t>
      </w:r>
      <w:proofErr w:type="gramEnd"/>
      <w:r>
        <w:t xml:space="preserve">  okwaravivian26@gmail.com</w:t>
      </w:r>
    </w:p>
    <w:p w14:paraId="644CCE54" w14:textId="77777777" w:rsidR="000E47A8" w:rsidRDefault="00000000">
      <w:r>
        <w:br w:type="page"/>
      </w:r>
    </w:p>
    <w:p w14:paraId="7194484D" w14:textId="77777777" w:rsidR="000E47A8" w:rsidRDefault="00000000">
      <w:pPr>
        <w:pStyle w:val="Heading1"/>
        <w:pBdr>
          <w:bottom w:val="single" w:sz="6" w:space="4" w:color="2E75B6"/>
        </w:pBdr>
        <w:spacing w:before="400" w:after="200"/>
        <w:rPr>
          <w:color w:val="000000"/>
        </w:rPr>
      </w:pPr>
      <w:r>
        <w:rPr>
          <w:b/>
          <w:bCs/>
          <w:color w:val="000000"/>
          <w:sz w:val="30"/>
          <w:szCs w:val="30"/>
        </w:rPr>
        <w:lastRenderedPageBreak/>
        <w:t>1. Executive Summary</w:t>
      </w:r>
    </w:p>
    <w:p w14:paraId="60A69F5E" w14:textId="77777777" w:rsidR="000E47A8" w:rsidRDefault="00000000">
      <w:pPr>
        <w:spacing w:after="160" w:line="276" w:lineRule="auto"/>
        <w:jc w:val="both"/>
      </w:pPr>
      <w:r>
        <w:rPr>
          <w:sz w:val="22"/>
          <w:szCs w:val="22"/>
        </w:rPr>
        <w:t>This report presents the analysis behind the IFEXA Healthcare Performance &amp; Patient Analytics Dashboard, built in Power BI to evaluate patient volume, financial performance, hospital operations, and patient experience across four Nigerian states in 2025. The dashboard consolidates 1,200 patients and 2,920 recorded visits into a five-page interactive report, supported by 18 DAX measures, a star-schema data model, and drill-through, tooltip, and bookmark interactivity.</w:t>
      </w:r>
    </w:p>
    <w:p w14:paraId="733CBA7A" w14:textId="77777777" w:rsidR="000E47A8" w:rsidRDefault="00000000">
      <w:pPr>
        <w:spacing w:after="160" w:line="276" w:lineRule="auto"/>
        <w:jc w:val="both"/>
      </w:pPr>
      <w:r>
        <w:rPr>
          <w:sz w:val="22"/>
          <w:szCs w:val="22"/>
        </w:rPr>
        <w:t>The analysis surfaces five key findings: revenue targets are set far above what is achievable (actual performance reached only ~24% of target); waiting time has no meaningful effect on patient satisfaction; departments are operationally similar but differ significantly in patient outcomes; the majority of patients (74%) are returning rather than new; and two data quality issues (gender/department and age/department mismatches) were identified and disclosed rather than silently corrected. Recommendations arising from these findings are detailed in Section 8.</w:t>
      </w:r>
    </w:p>
    <w:p w14:paraId="7BCAD8A5" w14:textId="77777777" w:rsidR="000E47A8" w:rsidRDefault="00000000">
      <w:pPr>
        <w:pStyle w:val="Heading1"/>
        <w:pBdr>
          <w:bottom w:val="single" w:sz="6" w:space="4" w:color="2E75B6"/>
        </w:pBdr>
        <w:spacing w:before="400" w:after="200"/>
        <w:rPr>
          <w:color w:val="000000"/>
        </w:rPr>
      </w:pPr>
      <w:r>
        <w:rPr>
          <w:b/>
          <w:bCs/>
          <w:color w:val="000000"/>
          <w:sz w:val="30"/>
          <w:szCs w:val="30"/>
        </w:rPr>
        <w:t>2. Business Problem</w:t>
      </w:r>
    </w:p>
    <w:p w14:paraId="2FE63BBC" w14:textId="77777777" w:rsidR="000E47A8" w:rsidRDefault="00000000">
      <w:pPr>
        <w:spacing w:after="160" w:line="276" w:lineRule="auto"/>
        <w:jc w:val="both"/>
      </w:pPr>
      <w:r>
        <w:rPr>
          <w:sz w:val="22"/>
          <w:szCs w:val="22"/>
        </w:rPr>
        <w:t>IFEXA Healthcare operates across multiple branches and states in Nigeria and needed a consolidated view of patient activity, financial performance against targets, hospital operational efficiency, and patient satisfaction. Prior to this project, this information existed only as raw transactional data, with no dashboard to track performance, identify underperforming areas, or support data-driven decisions across departments and states.</w:t>
      </w:r>
    </w:p>
    <w:p w14:paraId="2E8E76A3" w14:textId="77777777" w:rsidR="000E47A8" w:rsidRDefault="00000000">
      <w:pPr>
        <w:spacing w:after="160" w:line="276" w:lineRule="auto"/>
        <w:jc w:val="both"/>
      </w:pPr>
      <w:r>
        <w:rPr>
          <w:sz w:val="22"/>
          <w:szCs w:val="22"/>
        </w:rPr>
        <w:t>This project set out to answer four core questions: How is patient volume and revenue trending across states and departments? How does actual revenue compare to state-level targets? Are there operational inefficiencies (e.g., waiting time) affecting patient experience? What data quality or process issues need to be flagged to leadership?</w:t>
      </w:r>
    </w:p>
    <w:p w14:paraId="2A6A0ECD" w14:textId="77777777" w:rsidR="000E47A8" w:rsidRDefault="00000000">
      <w:pPr>
        <w:pStyle w:val="Heading1"/>
        <w:pBdr>
          <w:bottom w:val="single" w:sz="6" w:space="4" w:color="2E75B6"/>
        </w:pBdr>
        <w:spacing w:before="400" w:after="200"/>
        <w:rPr>
          <w:color w:val="000000"/>
        </w:rPr>
      </w:pPr>
      <w:r>
        <w:rPr>
          <w:b/>
          <w:bCs/>
          <w:color w:val="000000"/>
          <w:sz w:val="30"/>
          <w:szCs w:val="30"/>
        </w:rPr>
        <w:t>3. Data Source</w:t>
      </w:r>
    </w:p>
    <w:p w14:paraId="41C6A22B" w14:textId="77777777" w:rsidR="000E47A8" w:rsidRDefault="00000000">
      <w:pPr>
        <w:spacing w:after="60"/>
        <w:jc w:val="both"/>
      </w:pPr>
      <w:r>
        <w:rPr>
          <w:b/>
          <w:bCs/>
        </w:rPr>
        <w:t xml:space="preserve">Source file: </w:t>
      </w:r>
      <w:r>
        <w:t>IFEXA_HealthCare_BI_Project_Dataset.xlsx</w:t>
      </w:r>
    </w:p>
    <w:p w14:paraId="7C482156" w14:textId="77777777" w:rsidR="000E47A8" w:rsidRDefault="00000000">
      <w:pPr>
        <w:spacing w:after="60"/>
        <w:jc w:val="both"/>
      </w:pPr>
      <w:r>
        <w:rPr>
          <w:b/>
          <w:bCs/>
        </w:rPr>
        <w:t xml:space="preserve">Sheets: </w:t>
      </w:r>
      <w:proofErr w:type="spellStart"/>
      <w:r>
        <w:t>Patient_Visits</w:t>
      </w:r>
      <w:proofErr w:type="spellEnd"/>
      <w:r>
        <w:t xml:space="preserve"> (1,200 rows, 17 columns), </w:t>
      </w:r>
      <w:proofErr w:type="spellStart"/>
      <w:r>
        <w:t>State_Targets</w:t>
      </w:r>
      <w:proofErr w:type="spellEnd"/>
      <w:r>
        <w:t xml:space="preserve"> (4 rows), </w:t>
      </w:r>
      <w:proofErr w:type="spellStart"/>
      <w:r>
        <w:t>Date_Table</w:t>
      </w:r>
      <w:proofErr w:type="spellEnd"/>
      <w:r>
        <w:t xml:space="preserve"> (365 rows, full 2025 calendar)</w:t>
      </w:r>
    </w:p>
    <w:p w14:paraId="7633D8A6" w14:textId="77777777" w:rsidR="000E47A8" w:rsidRDefault="00000000">
      <w:pPr>
        <w:spacing w:after="60"/>
        <w:jc w:val="both"/>
      </w:pPr>
      <w:r>
        <w:rPr>
          <w:b/>
          <w:bCs/>
        </w:rPr>
        <w:t xml:space="preserve">Coverage: </w:t>
      </w:r>
      <w:r>
        <w:t>January 1 – December 31, 2025, across 4 Nigerian states</w:t>
      </w:r>
    </w:p>
    <w:p w14:paraId="3E0B549C" w14:textId="77777777" w:rsidR="000E47A8" w:rsidRDefault="00000000">
      <w:pPr>
        <w:spacing w:after="160" w:line="276" w:lineRule="auto"/>
        <w:jc w:val="both"/>
      </w:pPr>
      <w:r>
        <w:rPr>
          <w:sz w:val="22"/>
          <w:szCs w:val="22"/>
        </w:rPr>
        <w:t xml:space="preserve">The </w:t>
      </w:r>
      <w:proofErr w:type="spellStart"/>
      <w:r>
        <w:rPr>
          <w:sz w:val="22"/>
          <w:szCs w:val="22"/>
        </w:rPr>
        <w:t>Patient_Visits</w:t>
      </w:r>
      <w:proofErr w:type="spellEnd"/>
      <w:r>
        <w:rPr>
          <w:sz w:val="22"/>
          <w:szCs w:val="22"/>
        </w:rPr>
        <w:t xml:space="preserve"> sheet was the primary transactional table, with one row per patient carrying a </w:t>
      </w:r>
      <w:proofErr w:type="spellStart"/>
      <w:r>
        <w:rPr>
          <w:sz w:val="22"/>
          <w:szCs w:val="22"/>
        </w:rPr>
        <w:t>Visit_Count</w:t>
      </w:r>
      <w:proofErr w:type="spellEnd"/>
      <w:r>
        <w:rPr>
          <w:sz w:val="22"/>
          <w:szCs w:val="22"/>
        </w:rPr>
        <w:t xml:space="preserve"> field (1–4) representing that patient's total visits for the year — meaning total visits (2,920) had to be calculated as a sum of this field rather than a row count. The </w:t>
      </w:r>
      <w:proofErr w:type="spellStart"/>
      <w:r>
        <w:rPr>
          <w:sz w:val="22"/>
          <w:szCs w:val="22"/>
        </w:rPr>
        <w:t>State_Targets</w:t>
      </w:r>
      <w:proofErr w:type="spellEnd"/>
      <w:r>
        <w:rPr>
          <w:sz w:val="22"/>
          <w:szCs w:val="22"/>
        </w:rPr>
        <w:t xml:space="preserve"> sheet provided only annual, state-level revenue targets, with no branch or monthly breakdown. The </w:t>
      </w:r>
      <w:proofErr w:type="spellStart"/>
      <w:r>
        <w:rPr>
          <w:sz w:val="22"/>
          <w:szCs w:val="22"/>
        </w:rPr>
        <w:t>Date_Table</w:t>
      </w:r>
      <w:proofErr w:type="spellEnd"/>
      <w:r>
        <w:rPr>
          <w:sz w:val="22"/>
          <w:szCs w:val="22"/>
        </w:rPr>
        <w:t xml:space="preserve"> sheet provided a complete calendar table used as the model's official date table.</w:t>
      </w:r>
    </w:p>
    <w:p w14:paraId="53B9CBB3" w14:textId="77777777" w:rsidR="000E47A8" w:rsidRDefault="00000000">
      <w:pPr>
        <w:pStyle w:val="Heading1"/>
        <w:pBdr>
          <w:bottom w:val="single" w:sz="6" w:space="4" w:color="2E75B6"/>
        </w:pBdr>
        <w:spacing w:before="400" w:after="200"/>
        <w:rPr>
          <w:color w:val="000000"/>
        </w:rPr>
      </w:pPr>
      <w:r>
        <w:rPr>
          <w:b/>
          <w:bCs/>
          <w:color w:val="000000"/>
          <w:sz w:val="30"/>
          <w:szCs w:val="30"/>
        </w:rPr>
        <w:t>4. Data Cleaning &amp; Transformation</w:t>
      </w:r>
    </w:p>
    <w:p w14:paraId="19C86281" w14:textId="77777777" w:rsidR="000E47A8" w:rsidRDefault="00000000">
      <w:pPr>
        <w:spacing w:after="160" w:line="276" w:lineRule="auto"/>
        <w:jc w:val="both"/>
      </w:pPr>
      <w:r>
        <w:rPr>
          <w:sz w:val="22"/>
          <w:szCs w:val="22"/>
        </w:rPr>
        <w:t>All transformation was performed in Power Query prior to loading into the Power BI data model. No rows were removed at any stage — data quality issues were flagged for disclosure rather than deleted, to preserve the integrity of the original dataset.</w:t>
      </w:r>
    </w:p>
    <w:p w14:paraId="3777A57D" w14:textId="77777777" w:rsidR="000E47A8" w:rsidRDefault="00000000">
      <w:pPr>
        <w:pStyle w:val="Heading2"/>
        <w:spacing w:before="300" w:after="150"/>
        <w:rPr>
          <w:color w:val="000000"/>
        </w:rPr>
      </w:pPr>
      <w:r>
        <w:rPr>
          <w:b/>
          <w:bCs/>
          <w:color w:val="000000"/>
          <w:sz w:val="24"/>
          <w:szCs w:val="24"/>
        </w:rPr>
        <w:t>Steps performed</w:t>
      </w:r>
    </w:p>
    <w:p w14:paraId="04146FD9" w14:textId="77777777" w:rsidR="000E47A8" w:rsidRDefault="00000000">
      <w:pPr>
        <w:numPr>
          <w:ilvl w:val="0"/>
          <w:numId w:val="1"/>
        </w:numPr>
        <w:pBdr>
          <w:top w:val="nil"/>
          <w:left w:val="nil"/>
          <w:bottom w:val="nil"/>
          <w:right w:val="nil"/>
          <w:between w:val="nil"/>
        </w:pBdr>
        <w:spacing w:after="80"/>
        <w:jc w:val="both"/>
      </w:pPr>
      <w:r>
        <w:rPr>
          <w:sz w:val="22"/>
          <w:szCs w:val="22"/>
        </w:rPr>
        <w:t xml:space="preserve">Verified no null values or duplicate records existed in </w:t>
      </w:r>
      <w:proofErr w:type="spellStart"/>
      <w:r>
        <w:rPr>
          <w:sz w:val="22"/>
          <w:szCs w:val="22"/>
        </w:rPr>
        <w:t>Patient_Visits</w:t>
      </w:r>
      <w:proofErr w:type="spellEnd"/>
      <w:r>
        <w:rPr>
          <w:sz w:val="22"/>
          <w:szCs w:val="22"/>
        </w:rPr>
        <w:t>.</w:t>
      </w:r>
    </w:p>
    <w:p w14:paraId="1F139D98" w14:textId="77777777" w:rsidR="000E47A8" w:rsidRDefault="00000000">
      <w:pPr>
        <w:numPr>
          <w:ilvl w:val="0"/>
          <w:numId w:val="1"/>
        </w:numPr>
        <w:pBdr>
          <w:top w:val="nil"/>
          <w:left w:val="nil"/>
          <w:bottom w:val="nil"/>
          <w:right w:val="nil"/>
          <w:between w:val="nil"/>
        </w:pBdr>
        <w:spacing w:after="80"/>
        <w:jc w:val="both"/>
      </w:pPr>
      <w:r>
        <w:rPr>
          <w:sz w:val="22"/>
          <w:szCs w:val="22"/>
        </w:rPr>
        <w:t xml:space="preserve">Confirmed </w:t>
      </w:r>
      <w:proofErr w:type="spellStart"/>
      <w:r>
        <w:rPr>
          <w:sz w:val="22"/>
          <w:szCs w:val="22"/>
        </w:rPr>
        <w:t>Patient_ID</w:t>
      </w:r>
      <w:proofErr w:type="spellEnd"/>
      <w:r>
        <w:rPr>
          <w:sz w:val="22"/>
          <w:szCs w:val="22"/>
        </w:rPr>
        <w:t xml:space="preserve"> uniqueness (one row per patient, not per visit).</w:t>
      </w:r>
    </w:p>
    <w:p w14:paraId="4E9187D1" w14:textId="77777777" w:rsidR="000E47A8" w:rsidRDefault="00000000">
      <w:pPr>
        <w:numPr>
          <w:ilvl w:val="0"/>
          <w:numId w:val="1"/>
        </w:numPr>
        <w:pBdr>
          <w:top w:val="nil"/>
          <w:left w:val="nil"/>
          <w:bottom w:val="nil"/>
          <w:right w:val="nil"/>
          <w:between w:val="nil"/>
        </w:pBdr>
        <w:spacing w:after="80"/>
        <w:jc w:val="both"/>
      </w:pPr>
      <w:r>
        <w:rPr>
          <w:sz w:val="22"/>
          <w:szCs w:val="22"/>
        </w:rPr>
        <w:lastRenderedPageBreak/>
        <w:t xml:space="preserve">Created </w:t>
      </w:r>
      <w:proofErr w:type="spellStart"/>
      <w:r>
        <w:rPr>
          <w:sz w:val="22"/>
          <w:szCs w:val="22"/>
        </w:rPr>
        <w:t>Age_Group</w:t>
      </w:r>
      <w:proofErr w:type="spellEnd"/>
      <w:r>
        <w:rPr>
          <w:sz w:val="22"/>
          <w:szCs w:val="22"/>
        </w:rPr>
        <w:t xml:space="preserve"> (0–12, 13–17, 18–35, 36–50, 51–65, 66+) via custom M code, after resolving a date auto-detection bug that miscast the age column.</w:t>
      </w:r>
    </w:p>
    <w:p w14:paraId="40142E39" w14:textId="77777777" w:rsidR="000E47A8" w:rsidRDefault="00000000">
      <w:pPr>
        <w:numPr>
          <w:ilvl w:val="0"/>
          <w:numId w:val="1"/>
        </w:numPr>
        <w:pBdr>
          <w:top w:val="nil"/>
          <w:left w:val="nil"/>
          <w:bottom w:val="nil"/>
          <w:right w:val="nil"/>
          <w:between w:val="nil"/>
        </w:pBdr>
        <w:spacing w:after="80"/>
        <w:jc w:val="both"/>
      </w:pPr>
      <w:r>
        <w:rPr>
          <w:sz w:val="22"/>
          <w:szCs w:val="22"/>
        </w:rPr>
        <w:t xml:space="preserve">Created </w:t>
      </w:r>
      <w:proofErr w:type="spellStart"/>
      <w:r>
        <w:rPr>
          <w:sz w:val="22"/>
          <w:szCs w:val="22"/>
        </w:rPr>
        <w:t>Patient_Type</w:t>
      </w:r>
      <w:proofErr w:type="spellEnd"/>
      <w:r>
        <w:rPr>
          <w:sz w:val="22"/>
          <w:szCs w:val="22"/>
        </w:rPr>
        <w:t xml:space="preserve"> (New vs. Returning), correcting a data entry typo ("</w:t>
      </w:r>
      <w:proofErr w:type="spellStart"/>
      <w:r>
        <w:rPr>
          <w:sz w:val="22"/>
          <w:szCs w:val="22"/>
        </w:rPr>
        <w:t>Returing</w:t>
      </w:r>
      <w:proofErr w:type="spellEnd"/>
      <w:r>
        <w:rPr>
          <w:sz w:val="22"/>
          <w:szCs w:val="22"/>
        </w:rPr>
        <w:t>") using Replace Values.</w:t>
      </w:r>
    </w:p>
    <w:p w14:paraId="613E1D9E" w14:textId="77777777" w:rsidR="000E47A8" w:rsidRDefault="00000000">
      <w:pPr>
        <w:numPr>
          <w:ilvl w:val="0"/>
          <w:numId w:val="1"/>
        </w:numPr>
        <w:pBdr>
          <w:top w:val="nil"/>
          <w:left w:val="nil"/>
          <w:bottom w:val="nil"/>
          <w:right w:val="nil"/>
          <w:between w:val="nil"/>
        </w:pBdr>
        <w:spacing w:after="80"/>
        <w:jc w:val="both"/>
      </w:pPr>
      <w:r>
        <w:rPr>
          <w:sz w:val="22"/>
          <w:szCs w:val="22"/>
        </w:rPr>
        <w:t xml:space="preserve">Created </w:t>
      </w:r>
      <w:proofErr w:type="spellStart"/>
      <w:r>
        <w:rPr>
          <w:sz w:val="22"/>
          <w:szCs w:val="22"/>
        </w:rPr>
        <w:t>Satisfaction_Band</w:t>
      </w:r>
      <w:proofErr w:type="spellEnd"/>
      <w:r>
        <w:rPr>
          <w:sz w:val="22"/>
          <w:szCs w:val="22"/>
        </w:rPr>
        <w:t xml:space="preserve"> (0–1 through 4–5) for distribution analysis, using the same M-code fix as </w:t>
      </w:r>
      <w:proofErr w:type="spellStart"/>
      <w:r>
        <w:rPr>
          <w:sz w:val="22"/>
          <w:szCs w:val="22"/>
        </w:rPr>
        <w:t>Age_Group</w:t>
      </w:r>
      <w:proofErr w:type="spellEnd"/>
      <w:r>
        <w:rPr>
          <w:sz w:val="22"/>
          <w:szCs w:val="22"/>
        </w:rPr>
        <w:t>.</w:t>
      </w:r>
    </w:p>
    <w:p w14:paraId="2703193B" w14:textId="77777777" w:rsidR="000E47A8" w:rsidRDefault="00000000">
      <w:pPr>
        <w:numPr>
          <w:ilvl w:val="0"/>
          <w:numId w:val="1"/>
        </w:numPr>
        <w:pBdr>
          <w:top w:val="nil"/>
          <w:left w:val="nil"/>
          <w:bottom w:val="nil"/>
          <w:right w:val="nil"/>
          <w:between w:val="nil"/>
        </w:pBdr>
        <w:spacing w:after="80"/>
        <w:jc w:val="both"/>
      </w:pPr>
      <w:r>
        <w:rPr>
          <w:sz w:val="22"/>
          <w:szCs w:val="22"/>
        </w:rPr>
        <w:t xml:space="preserve">Identified and flagged, without altering, 94 male patients recorded under the Maternity department, and 183 of 221 </w:t>
      </w:r>
      <w:proofErr w:type="spellStart"/>
      <w:r>
        <w:rPr>
          <w:sz w:val="22"/>
          <w:szCs w:val="22"/>
        </w:rPr>
        <w:t>Pediatrics</w:t>
      </w:r>
      <w:proofErr w:type="spellEnd"/>
      <w:r>
        <w:rPr>
          <w:sz w:val="22"/>
          <w:szCs w:val="22"/>
        </w:rPr>
        <w:t xml:space="preserve"> patients aged 18 or older.</w:t>
      </w:r>
    </w:p>
    <w:p w14:paraId="3CEBB650" w14:textId="77777777" w:rsidR="000E47A8" w:rsidRDefault="00000000">
      <w:pPr>
        <w:pStyle w:val="Heading1"/>
        <w:pBdr>
          <w:bottom w:val="single" w:sz="6" w:space="4" w:color="2E75B6"/>
        </w:pBdr>
        <w:spacing w:before="400" w:after="200"/>
        <w:rPr>
          <w:color w:val="000000"/>
        </w:rPr>
      </w:pPr>
      <w:r>
        <w:rPr>
          <w:b/>
          <w:bCs/>
          <w:color w:val="000000"/>
          <w:sz w:val="30"/>
          <w:szCs w:val="30"/>
        </w:rPr>
        <w:t>5. Data Model</w:t>
      </w:r>
    </w:p>
    <w:p w14:paraId="39BDF8A6" w14:textId="77777777" w:rsidR="000E47A8" w:rsidRDefault="00000000">
      <w:pPr>
        <w:spacing w:after="160" w:line="276" w:lineRule="auto"/>
      </w:pPr>
      <w:r>
        <w:rPr>
          <w:sz w:val="22"/>
          <w:szCs w:val="22"/>
        </w:rPr>
        <w:t xml:space="preserve">A star schema was built in Power BI with </w:t>
      </w:r>
      <w:proofErr w:type="spellStart"/>
      <w:r>
        <w:rPr>
          <w:sz w:val="22"/>
          <w:szCs w:val="22"/>
        </w:rPr>
        <w:t>Fact_Visits</w:t>
      </w:r>
      <w:proofErr w:type="spellEnd"/>
      <w:r>
        <w:rPr>
          <w:sz w:val="22"/>
          <w:szCs w:val="22"/>
        </w:rPr>
        <w:t xml:space="preserve"> at the </w:t>
      </w:r>
      <w:proofErr w:type="spellStart"/>
      <w:r>
        <w:rPr>
          <w:sz w:val="22"/>
          <w:szCs w:val="22"/>
        </w:rPr>
        <w:t>center</w:t>
      </w:r>
      <w:proofErr w:type="spellEnd"/>
      <w:r>
        <w:rPr>
          <w:sz w:val="22"/>
          <w:szCs w:val="22"/>
        </w:rPr>
        <w:t xml:space="preserve">, connected to </w:t>
      </w:r>
      <w:proofErr w:type="gramStart"/>
      <w:r>
        <w:rPr>
          <w:sz w:val="22"/>
          <w:szCs w:val="22"/>
        </w:rPr>
        <w:t>four dimension</w:t>
      </w:r>
      <w:proofErr w:type="gramEnd"/>
      <w:r>
        <w:rPr>
          <w:sz w:val="22"/>
          <w:szCs w:val="22"/>
        </w:rPr>
        <w:t xml:space="preserve"> tables:</w:t>
      </w: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4800"/>
        <w:gridCol w:w="1600"/>
      </w:tblGrid>
      <w:tr w:rsidR="000E47A8" w14:paraId="35BC40BD" w14:textId="77777777">
        <w:trPr>
          <w:cantSplit/>
          <w:tblHeader/>
        </w:trPr>
        <w:tc>
          <w:tcPr>
            <w:tcW w:w="3600" w:type="dxa"/>
            <w:shd w:val="clear" w:color="auto" w:fill="1F3864"/>
            <w:tcMar>
              <w:top w:w="80" w:type="dxa"/>
              <w:left w:w="100" w:type="dxa"/>
              <w:bottom w:w="80" w:type="dxa"/>
              <w:right w:w="100" w:type="dxa"/>
            </w:tcMar>
          </w:tcPr>
          <w:p w14:paraId="47F8CD20" w14:textId="77777777" w:rsidR="000E47A8" w:rsidRDefault="00000000">
            <w:r>
              <w:rPr>
                <w:b/>
                <w:bCs/>
              </w:rPr>
              <w:t>Table</w:t>
            </w:r>
          </w:p>
        </w:tc>
        <w:tc>
          <w:tcPr>
            <w:tcW w:w="4800" w:type="dxa"/>
            <w:shd w:val="clear" w:color="auto" w:fill="1F3864"/>
            <w:tcMar>
              <w:top w:w="80" w:type="dxa"/>
              <w:left w:w="100" w:type="dxa"/>
              <w:bottom w:w="80" w:type="dxa"/>
              <w:right w:w="100" w:type="dxa"/>
            </w:tcMar>
          </w:tcPr>
          <w:p w14:paraId="2EE20FC8" w14:textId="77777777" w:rsidR="000E47A8" w:rsidRDefault="00000000">
            <w:r>
              <w:rPr>
                <w:b/>
                <w:bCs/>
              </w:rPr>
              <w:t>Role</w:t>
            </w:r>
          </w:p>
        </w:tc>
        <w:tc>
          <w:tcPr>
            <w:tcW w:w="1600" w:type="dxa"/>
            <w:shd w:val="clear" w:color="auto" w:fill="1F3864"/>
            <w:tcMar>
              <w:top w:w="80" w:type="dxa"/>
              <w:left w:w="100" w:type="dxa"/>
              <w:bottom w:w="80" w:type="dxa"/>
              <w:right w:w="100" w:type="dxa"/>
            </w:tcMar>
          </w:tcPr>
          <w:p w14:paraId="31842640" w14:textId="77777777" w:rsidR="000E47A8" w:rsidRDefault="00000000">
            <w:r>
              <w:rPr>
                <w:b/>
                <w:bCs/>
              </w:rPr>
              <w:t>Row Count</w:t>
            </w:r>
          </w:p>
        </w:tc>
      </w:tr>
      <w:tr w:rsidR="000E47A8" w14:paraId="64989398" w14:textId="77777777">
        <w:trPr>
          <w:cantSplit/>
        </w:trPr>
        <w:tc>
          <w:tcPr>
            <w:tcW w:w="3600" w:type="dxa"/>
            <w:tcMar>
              <w:top w:w="80" w:type="dxa"/>
              <w:left w:w="100" w:type="dxa"/>
              <w:bottom w:w="80" w:type="dxa"/>
              <w:right w:w="100" w:type="dxa"/>
            </w:tcMar>
          </w:tcPr>
          <w:p w14:paraId="120C642F" w14:textId="77777777" w:rsidR="000E47A8" w:rsidRDefault="00000000">
            <w:proofErr w:type="spellStart"/>
            <w:r>
              <w:t>Fact_Visits</w:t>
            </w:r>
            <w:proofErr w:type="spellEnd"/>
          </w:p>
        </w:tc>
        <w:tc>
          <w:tcPr>
            <w:tcW w:w="4800" w:type="dxa"/>
            <w:tcMar>
              <w:top w:w="80" w:type="dxa"/>
              <w:left w:w="100" w:type="dxa"/>
              <w:bottom w:w="80" w:type="dxa"/>
              <w:right w:w="100" w:type="dxa"/>
            </w:tcMar>
          </w:tcPr>
          <w:p w14:paraId="006C2A88" w14:textId="77777777" w:rsidR="000E47A8" w:rsidRDefault="00000000">
            <w:r>
              <w:t>Transactional fact table (patient visits, revenue, cost, outcomes)</w:t>
            </w:r>
          </w:p>
        </w:tc>
        <w:tc>
          <w:tcPr>
            <w:tcW w:w="1600" w:type="dxa"/>
            <w:tcMar>
              <w:top w:w="80" w:type="dxa"/>
              <w:left w:w="100" w:type="dxa"/>
              <w:bottom w:w="80" w:type="dxa"/>
              <w:right w:w="100" w:type="dxa"/>
            </w:tcMar>
          </w:tcPr>
          <w:p w14:paraId="50A85382" w14:textId="77777777" w:rsidR="000E47A8" w:rsidRDefault="00000000">
            <w:r>
              <w:t>1,200</w:t>
            </w:r>
          </w:p>
        </w:tc>
      </w:tr>
      <w:tr w:rsidR="000E47A8" w14:paraId="57408877" w14:textId="77777777">
        <w:trPr>
          <w:cantSplit/>
        </w:trPr>
        <w:tc>
          <w:tcPr>
            <w:tcW w:w="3600" w:type="dxa"/>
            <w:shd w:val="clear" w:color="auto" w:fill="F2F2F2"/>
            <w:tcMar>
              <w:top w:w="80" w:type="dxa"/>
              <w:left w:w="100" w:type="dxa"/>
              <w:bottom w:w="80" w:type="dxa"/>
              <w:right w:w="100" w:type="dxa"/>
            </w:tcMar>
          </w:tcPr>
          <w:p w14:paraId="4C630CB4" w14:textId="77777777" w:rsidR="000E47A8" w:rsidRDefault="00000000">
            <w:proofErr w:type="spellStart"/>
            <w:r>
              <w:t>Dim_Date</w:t>
            </w:r>
            <w:proofErr w:type="spellEnd"/>
          </w:p>
        </w:tc>
        <w:tc>
          <w:tcPr>
            <w:tcW w:w="4800" w:type="dxa"/>
            <w:shd w:val="clear" w:color="auto" w:fill="F2F2F2"/>
            <w:tcMar>
              <w:top w:w="80" w:type="dxa"/>
              <w:left w:w="100" w:type="dxa"/>
              <w:bottom w:w="80" w:type="dxa"/>
              <w:right w:w="100" w:type="dxa"/>
            </w:tcMar>
          </w:tcPr>
          <w:p w14:paraId="0EEB311B" w14:textId="77777777" w:rsidR="000E47A8" w:rsidRDefault="00000000">
            <w:r>
              <w:t>Official date table, marked in model settings</w:t>
            </w:r>
          </w:p>
        </w:tc>
        <w:tc>
          <w:tcPr>
            <w:tcW w:w="1600" w:type="dxa"/>
            <w:shd w:val="clear" w:color="auto" w:fill="F2F2F2"/>
            <w:tcMar>
              <w:top w:w="80" w:type="dxa"/>
              <w:left w:w="100" w:type="dxa"/>
              <w:bottom w:w="80" w:type="dxa"/>
              <w:right w:w="100" w:type="dxa"/>
            </w:tcMar>
          </w:tcPr>
          <w:p w14:paraId="6FC798DF" w14:textId="77777777" w:rsidR="000E47A8" w:rsidRDefault="00000000">
            <w:r>
              <w:t>365</w:t>
            </w:r>
          </w:p>
        </w:tc>
      </w:tr>
      <w:tr w:rsidR="000E47A8" w14:paraId="5070F946" w14:textId="77777777">
        <w:trPr>
          <w:cantSplit/>
        </w:trPr>
        <w:tc>
          <w:tcPr>
            <w:tcW w:w="3600" w:type="dxa"/>
            <w:tcMar>
              <w:top w:w="80" w:type="dxa"/>
              <w:left w:w="100" w:type="dxa"/>
              <w:bottom w:w="80" w:type="dxa"/>
              <w:right w:w="100" w:type="dxa"/>
            </w:tcMar>
          </w:tcPr>
          <w:p w14:paraId="61C014F8" w14:textId="77777777" w:rsidR="000E47A8" w:rsidRDefault="00000000">
            <w:proofErr w:type="spellStart"/>
            <w:r>
              <w:t>Dim_State</w:t>
            </w:r>
            <w:proofErr w:type="spellEnd"/>
          </w:p>
        </w:tc>
        <w:tc>
          <w:tcPr>
            <w:tcW w:w="4800" w:type="dxa"/>
            <w:tcMar>
              <w:top w:w="80" w:type="dxa"/>
              <w:left w:w="100" w:type="dxa"/>
              <w:bottom w:w="80" w:type="dxa"/>
              <w:right w:w="100" w:type="dxa"/>
            </w:tcMar>
          </w:tcPr>
          <w:p w14:paraId="20F162D6" w14:textId="77777777" w:rsidR="000E47A8" w:rsidRDefault="00000000">
            <w:r>
              <w:t xml:space="preserve">Carries </w:t>
            </w:r>
            <w:proofErr w:type="spellStart"/>
            <w:r>
              <w:t>Annual_Revenue_Target_NGN</w:t>
            </w:r>
            <w:proofErr w:type="spellEnd"/>
            <w:r>
              <w:t xml:space="preserve"> per state</w:t>
            </w:r>
          </w:p>
        </w:tc>
        <w:tc>
          <w:tcPr>
            <w:tcW w:w="1600" w:type="dxa"/>
            <w:tcMar>
              <w:top w:w="80" w:type="dxa"/>
              <w:left w:w="100" w:type="dxa"/>
              <w:bottom w:w="80" w:type="dxa"/>
              <w:right w:w="100" w:type="dxa"/>
            </w:tcMar>
          </w:tcPr>
          <w:p w14:paraId="67695F11" w14:textId="77777777" w:rsidR="000E47A8" w:rsidRDefault="00000000">
            <w:r>
              <w:t>4</w:t>
            </w:r>
          </w:p>
        </w:tc>
      </w:tr>
      <w:tr w:rsidR="000E47A8" w14:paraId="5B19B609" w14:textId="77777777">
        <w:trPr>
          <w:cantSplit/>
        </w:trPr>
        <w:tc>
          <w:tcPr>
            <w:tcW w:w="3600" w:type="dxa"/>
            <w:shd w:val="clear" w:color="auto" w:fill="F2F2F2"/>
            <w:tcMar>
              <w:top w:w="80" w:type="dxa"/>
              <w:left w:w="100" w:type="dxa"/>
              <w:bottom w:w="80" w:type="dxa"/>
              <w:right w:w="100" w:type="dxa"/>
            </w:tcMar>
          </w:tcPr>
          <w:p w14:paraId="1917D410" w14:textId="77777777" w:rsidR="000E47A8" w:rsidRDefault="00000000">
            <w:proofErr w:type="spellStart"/>
            <w:r>
              <w:t>Dim_Branch</w:t>
            </w:r>
            <w:proofErr w:type="spellEnd"/>
          </w:p>
        </w:tc>
        <w:tc>
          <w:tcPr>
            <w:tcW w:w="4800" w:type="dxa"/>
            <w:shd w:val="clear" w:color="auto" w:fill="F2F2F2"/>
            <w:tcMar>
              <w:top w:w="80" w:type="dxa"/>
              <w:left w:w="100" w:type="dxa"/>
              <w:bottom w:w="80" w:type="dxa"/>
              <w:right w:w="100" w:type="dxa"/>
            </w:tcMar>
          </w:tcPr>
          <w:p w14:paraId="422F374A" w14:textId="77777777" w:rsidR="000E47A8" w:rsidRDefault="00000000">
            <w:r>
              <w:t>Extracted distinct Branch/State pairs</w:t>
            </w:r>
          </w:p>
        </w:tc>
        <w:tc>
          <w:tcPr>
            <w:tcW w:w="1600" w:type="dxa"/>
            <w:shd w:val="clear" w:color="auto" w:fill="F2F2F2"/>
            <w:tcMar>
              <w:top w:w="80" w:type="dxa"/>
              <w:left w:w="100" w:type="dxa"/>
              <w:bottom w:w="80" w:type="dxa"/>
              <w:right w:w="100" w:type="dxa"/>
            </w:tcMar>
          </w:tcPr>
          <w:p w14:paraId="2868E4AE" w14:textId="77777777" w:rsidR="000E47A8" w:rsidRDefault="00000000">
            <w:r>
              <w:t>—</w:t>
            </w:r>
          </w:p>
        </w:tc>
      </w:tr>
      <w:tr w:rsidR="000E47A8" w14:paraId="6ECB7A11" w14:textId="77777777">
        <w:trPr>
          <w:cantSplit/>
        </w:trPr>
        <w:tc>
          <w:tcPr>
            <w:tcW w:w="3600" w:type="dxa"/>
            <w:tcMar>
              <w:top w:w="80" w:type="dxa"/>
              <w:left w:w="100" w:type="dxa"/>
              <w:bottom w:w="80" w:type="dxa"/>
              <w:right w:w="100" w:type="dxa"/>
            </w:tcMar>
          </w:tcPr>
          <w:p w14:paraId="04695469" w14:textId="77777777" w:rsidR="000E47A8" w:rsidRDefault="00000000">
            <w:proofErr w:type="spellStart"/>
            <w:r>
              <w:t>Dim_Department</w:t>
            </w:r>
            <w:proofErr w:type="spellEnd"/>
          </w:p>
        </w:tc>
        <w:tc>
          <w:tcPr>
            <w:tcW w:w="4800" w:type="dxa"/>
            <w:tcMar>
              <w:top w:w="80" w:type="dxa"/>
              <w:left w:w="100" w:type="dxa"/>
              <w:bottom w:w="80" w:type="dxa"/>
              <w:right w:w="100" w:type="dxa"/>
            </w:tcMar>
          </w:tcPr>
          <w:p w14:paraId="57D7EB27" w14:textId="77777777" w:rsidR="000E47A8" w:rsidRDefault="00000000">
            <w:r>
              <w:t>Extracted distinct Department/Service pairs</w:t>
            </w:r>
          </w:p>
        </w:tc>
        <w:tc>
          <w:tcPr>
            <w:tcW w:w="1600" w:type="dxa"/>
            <w:tcMar>
              <w:top w:w="80" w:type="dxa"/>
              <w:left w:w="100" w:type="dxa"/>
              <w:bottom w:w="80" w:type="dxa"/>
              <w:right w:w="100" w:type="dxa"/>
            </w:tcMar>
          </w:tcPr>
          <w:p w14:paraId="11651B0D" w14:textId="77777777" w:rsidR="000E47A8" w:rsidRDefault="00000000">
            <w:r>
              <w:t>—</w:t>
            </w:r>
          </w:p>
        </w:tc>
      </w:tr>
    </w:tbl>
    <w:p w14:paraId="0F16CECC" w14:textId="77777777" w:rsidR="000E47A8" w:rsidRDefault="000E47A8">
      <w:pPr>
        <w:spacing w:after="160" w:line="276" w:lineRule="auto"/>
      </w:pPr>
    </w:p>
    <w:p w14:paraId="79081BE2" w14:textId="77777777" w:rsidR="000E47A8" w:rsidRDefault="00000000">
      <w:pPr>
        <w:spacing w:after="160" w:line="276" w:lineRule="auto"/>
        <w:jc w:val="both"/>
      </w:pPr>
      <w:r>
        <w:rPr>
          <w:rFonts w:ascii="Cardo" w:eastAsia="Cardo" w:hAnsi="Cardo" w:cs="Cardo"/>
          <w:sz w:val="22"/>
          <w:szCs w:val="22"/>
        </w:rPr>
        <w:t xml:space="preserve">Relationships: </w:t>
      </w:r>
      <w:proofErr w:type="spellStart"/>
      <w:r>
        <w:rPr>
          <w:rFonts w:ascii="Cardo" w:eastAsia="Cardo" w:hAnsi="Cardo" w:cs="Cardo"/>
          <w:sz w:val="22"/>
          <w:szCs w:val="22"/>
        </w:rPr>
        <w:t>Dim_</w:t>
      </w:r>
      <w:proofErr w:type="gramStart"/>
      <w:r>
        <w:rPr>
          <w:rFonts w:ascii="Cardo" w:eastAsia="Cardo" w:hAnsi="Cardo" w:cs="Cardo"/>
          <w:sz w:val="22"/>
          <w:szCs w:val="22"/>
        </w:rPr>
        <w:t>Date</w:t>
      </w:r>
      <w:proofErr w:type="spellEnd"/>
      <w:r>
        <w:rPr>
          <w:rFonts w:ascii="Cardo" w:eastAsia="Cardo" w:hAnsi="Cardo" w:cs="Cardo"/>
          <w:sz w:val="22"/>
          <w:szCs w:val="22"/>
        </w:rPr>
        <w:t>[</w:t>
      </w:r>
      <w:proofErr w:type="gramEnd"/>
      <w:r>
        <w:rPr>
          <w:rFonts w:ascii="Cardo" w:eastAsia="Cardo" w:hAnsi="Cardo" w:cs="Cardo"/>
          <w:sz w:val="22"/>
          <w:szCs w:val="22"/>
        </w:rPr>
        <w:t xml:space="preserve">Date] → </w:t>
      </w:r>
      <w:proofErr w:type="spellStart"/>
      <w:r>
        <w:rPr>
          <w:rFonts w:ascii="Cardo" w:eastAsia="Cardo" w:hAnsi="Cardo" w:cs="Cardo"/>
          <w:sz w:val="22"/>
          <w:szCs w:val="22"/>
        </w:rPr>
        <w:t>Fact_Visits</w:t>
      </w:r>
      <w:proofErr w:type="spellEnd"/>
      <w:r>
        <w:rPr>
          <w:rFonts w:ascii="Cardo" w:eastAsia="Cardo" w:hAnsi="Cardo" w:cs="Cardo"/>
          <w:sz w:val="22"/>
          <w:szCs w:val="22"/>
        </w:rPr>
        <w:t>[</w:t>
      </w:r>
      <w:proofErr w:type="spellStart"/>
      <w:r>
        <w:rPr>
          <w:rFonts w:ascii="Cardo" w:eastAsia="Cardo" w:hAnsi="Cardo" w:cs="Cardo"/>
          <w:sz w:val="22"/>
          <w:szCs w:val="22"/>
        </w:rPr>
        <w:t>Visit_Date</w:t>
      </w:r>
      <w:proofErr w:type="spellEnd"/>
      <w:r>
        <w:rPr>
          <w:rFonts w:ascii="Cardo" w:eastAsia="Cardo" w:hAnsi="Cardo" w:cs="Cardo"/>
          <w:sz w:val="22"/>
          <w:szCs w:val="22"/>
        </w:rPr>
        <w:t xml:space="preserve">]; </w:t>
      </w:r>
      <w:proofErr w:type="spellStart"/>
      <w:r>
        <w:rPr>
          <w:rFonts w:ascii="Cardo" w:eastAsia="Cardo" w:hAnsi="Cardo" w:cs="Cardo"/>
          <w:sz w:val="22"/>
          <w:szCs w:val="22"/>
        </w:rPr>
        <w:t>Dim_State</w:t>
      </w:r>
      <w:proofErr w:type="spellEnd"/>
      <w:r>
        <w:rPr>
          <w:rFonts w:ascii="Cardo" w:eastAsia="Cardo" w:hAnsi="Cardo" w:cs="Cardo"/>
          <w:sz w:val="22"/>
          <w:szCs w:val="22"/>
        </w:rPr>
        <w:t xml:space="preserve">[State] → </w:t>
      </w:r>
      <w:proofErr w:type="spellStart"/>
      <w:r>
        <w:rPr>
          <w:rFonts w:ascii="Cardo" w:eastAsia="Cardo" w:hAnsi="Cardo" w:cs="Cardo"/>
          <w:sz w:val="22"/>
          <w:szCs w:val="22"/>
        </w:rPr>
        <w:t>Fact_Visits</w:t>
      </w:r>
      <w:proofErr w:type="spellEnd"/>
      <w:r>
        <w:rPr>
          <w:rFonts w:ascii="Cardo" w:eastAsia="Cardo" w:hAnsi="Cardo" w:cs="Cardo"/>
          <w:sz w:val="22"/>
          <w:szCs w:val="22"/>
        </w:rPr>
        <w:t xml:space="preserve">[State]; </w:t>
      </w:r>
      <w:proofErr w:type="spellStart"/>
      <w:r>
        <w:rPr>
          <w:rFonts w:ascii="Cardo" w:eastAsia="Cardo" w:hAnsi="Cardo" w:cs="Cardo"/>
          <w:sz w:val="22"/>
          <w:szCs w:val="22"/>
        </w:rPr>
        <w:t>Dim_Branch</w:t>
      </w:r>
      <w:proofErr w:type="spellEnd"/>
      <w:r>
        <w:rPr>
          <w:rFonts w:ascii="Cardo" w:eastAsia="Cardo" w:hAnsi="Cardo" w:cs="Cardo"/>
          <w:sz w:val="22"/>
          <w:szCs w:val="22"/>
        </w:rPr>
        <w:t xml:space="preserve">[Branch] → </w:t>
      </w:r>
      <w:proofErr w:type="spellStart"/>
      <w:r>
        <w:rPr>
          <w:rFonts w:ascii="Cardo" w:eastAsia="Cardo" w:hAnsi="Cardo" w:cs="Cardo"/>
          <w:sz w:val="22"/>
          <w:szCs w:val="22"/>
        </w:rPr>
        <w:t>Fact_Visits</w:t>
      </w:r>
      <w:proofErr w:type="spellEnd"/>
      <w:r>
        <w:rPr>
          <w:rFonts w:ascii="Cardo" w:eastAsia="Cardo" w:hAnsi="Cardo" w:cs="Cardo"/>
          <w:sz w:val="22"/>
          <w:szCs w:val="22"/>
        </w:rPr>
        <w:t xml:space="preserve">[Branch]; </w:t>
      </w:r>
      <w:proofErr w:type="spellStart"/>
      <w:r>
        <w:rPr>
          <w:rFonts w:ascii="Cardo" w:eastAsia="Cardo" w:hAnsi="Cardo" w:cs="Cardo"/>
          <w:sz w:val="22"/>
          <w:szCs w:val="22"/>
        </w:rPr>
        <w:t>Dim_Department</w:t>
      </w:r>
      <w:proofErr w:type="spellEnd"/>
      <w:r>
        <w:rPr>
          <w:rFonts w:ascii="Cardo" w:eastAsia="Cardo" w:hAnsi="Cardo" w:cs="Cardo"/>
          <w:sz w:val="22"/>
          <w:szCs w:val="22"/>
        </w:rPr>
        <w:t xml:space="preserve">[Department] → </w:t>
      </w:r>
      <w:proofErr w:type="spellStart"/>
      <w:r>
        <w:rPr>
          <w:rFonts w:ascii="Cardo" w:eastAsia="Cardo" w:hAnsi="Cardo" w:cs="Cardo"/>
          <w:sz w:val="22"/>
          <w:szCs w:val="22"/>
        </w:rPr>
        <w:t>Fact_Visits</w:t>
      </w:r>
      <w:proofErr w:type="spellEnd"/>
      <w:r>
        <w:rPr>
          <w:rFonts w:ascii="Cardo" w:eastAsia="Cardo" w:hAnsi="Cardo" w:cs="Cardo"/>
          <w:sz w:val="22"/>
          <w:szCs w:val="22"/>
        </w:rPr>
        <w:t xml:space="preserve">[Department] — all one-to-many. A key limitation of the model is that </w:t>
      </w:r>
      <w:proofErr w:type="spellStart"/>
      <w:r>
        <w:rPr>
          <w:rFonts w:ascii="Cardo" w:eastAsia="Cardo" w:hAnsi="Cardo" w:cs="Cardo"/>
          <w:sz w:val="22"/>
          <w:szCs w:val="22"/>
        </w:rPr>
        <w:t>Annual_Revenue_Target_NGN</w:t>
      </w:r>
      <w:proofErr w:type="spellEnd"/>
      <w:r>
        <w:rPr>
          <w:rFonts w:ascii="Cardo" w:eastAsia="Cardo" w:hAnsi="Cardo" w:cs="Cardo"/>
          <w:sz w:val="22"/>
          <w:szCs w:val="22"/>
        </w:rPr>
        <w:t xml:space="preserve"> exists only at state and annual grain, so the Revenue Target measure pro-rates the annual figure across months in the current filter context rather than reflecting a true branch- or month-level target.</w:t>
      </w:r>
    </w:p>
    <w:p w14:paraId="47229AA6" w14:textId="77777777" w:rsidR="000E47A8" w:rsidRDefault="00000000">
      <w:pPr>
        <w:pStyle w:val="Heading1"/>
        <w:pBdr>
          <w:bottom w:val="single" w:sz="6" w:space="4" w:color="2E75B6"/>
        </w:pBdr>
        <w:spacing w:before="400" w:after="200"/>
        <w:rPr>
          <w:color w:val="000000"/>
        </w:rPr>
      </w:pPr>
      <w:r>
        <w:rPr>
          <w:b/>
          <w:bCs/>
          <w:color w:val="000000"/>
          <w:sz w:val="30"/>
          <w:szCs w:val="30"/>
        </w:rPr>
        <w:t>6. Analysis &amp; Metrics</w:t>
      </w:r>
    </w:p>
    <w:p w14:paraId="15939B5D" w14:textId="77777777" w:rsidR="000E47A8" w:rsidRDefault="00000000">
      <w:pPr>
        <w:pStyle w:val="Heading2"/>
        <w:spacing w:before="300" w:after="150"/>
        <w:rPr>
          <w:color w:val="000000"/>
        </w:rPr>
      </w:pPr>
      <w:r>
        <w:rPr>
          <w:b/>
          <w:bCs/>
          <w:color w:val="000000"/>
          <w:sz w:val="24"/>
          <w:szCs w:val="24"/>
        </w:rPr>
        <w:t>Key Metrics</w:t>
      </w:r>
    </w:p>
    <w:tbl>
      <w:tblPr>
        <w:tblStyle w:val="a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200"/>
        <w:gridCol w:w="3200"/>
      </w:tblGrid>
      <w:tr w:rsidR="000E47A8" w14:paraId="6A8A493F" w14:textId="77777777">
        <w:trPr>
          <w:cantSplit/>
          <w:tblHeader/>
        </w:trPr>
        <w:tc>
          <w:tcPr>
            <w:tcW w:w="2600" w:type="dxa"/>
            <w:shd w:val="clear" w:color="auto" w:fill="1F3864"/>
            <w:tcMar>
              <w:top w:w="80" w:type="dxa"/>
              <w:left w:w="100" w:type="dxa"/>
              <w:bottom w:w="80" w:type="dxa"/>
              <w:right w:w="100" w:type="dxa"/>
            </w:tcMar>
          </w:tcPr>
          <w:p w14:paraId="5ABBF615" w14:textId="77777777" w:rsidR="000E47A8" w:rsidRDefault="00000000">
            <w:r>
              <w:rPr>
                <w:b/>
                <w:bCs/>
              </w:rPr>
              <w:t>Metric</w:t>
            </w:r>
          </w:p>
        </w:tc>
        <w:tc>
          <w:tcPr>
            <w:tcW w:w="4200" w:type="dxa"/>
            <w:shd w:val="clear" w:color="auto" w:fill="1F3864"/>
            <w:tcMar>
              <w:top w:w="80" w:type="dxa"/>
              <w:left w:w="100" w:type="dxa"/>
              <w:bottom w:w="80" w:type="dxa"/>
              <w:right w:w="100" w:type="dxa"/>
            </w:tcMar>
          </w:tcPr>
          <w:p w14:paraId="77DC5F6A" w14:textId="77777777" w:rsidR="000E47A8" w:rsidRDefault="00000000">
            <w:r>
              <w:rPr>
                <w:b/>
                <w:bCs/>
              </w:rPr>
              <w:t>Definition</w:t>
            </w:r>
          </w:p>
        </w:tc>
        <w:tc>
          <w:tcPr>
            <w:tcW w:w="3200" w:type="dxa"/>
            <w:shd w:val="clear" w:color="auto" w:fill="1F3864"/>
            <w:tcMar>
              <w:top w:w="80" w:type="dxa"/>
              <w:left w:w="100" w:type="dxa"/>
              <w:bottom w:w="80" w:type="dxa"/>
              <w:right w:w="100" w:type="dxa"/>
            </w:tcMar>
          </w:tcPr>
          <w:p w14:paraId="5C4552E7" w14:textId="77777777" w:rsidR="000E47A8" w:rsidRDefault="00000000">
            <w:r>
              <w:rPr>
                <w:b/>
                <w:bCs/>
              </w:rPr>
              <w:t>Why It Matters</w:t>
            </w:r>
          </w:p>
        </w:tc>
      </w:tr>
      <w:tr w:rsidR="000E47A8" w14:paraId="1BBD2CFC" w14:textId="77777777">
        <w:trPr>
          <w:cantSplit/>
        </w:trPr>
        <w:tc>
          <w:tcPr>
            <w:tcW w:w="2600" w:type="dxa"/>
            <w:tcMar>
              <w:top w:w="80" w:type="dxa"/>
              <w:left w:w="100" w:type="dxa"/>
              <w:bottom w:w="80" w:type="dxa"/>
              <w:right w:w="100" w:type="dxa"/>
            </w:tcMar>
          </w:tcPr>
          <w:p w14:paraId="5628F437" w14:textId="77777777" w:rsidR="000E47A8" w:rsidRDefault="00000000">
            <w:r>
              <w:t>Total Patients</w:t>
            </w:r>
          </w:p>
        </w:tc>
        <w:tc>
          <w:tcPr>
            <w:tcW w:w="4200" w:type="dxa"/>
            <w:tcMar>
              <w:top w:w="80" w:type="dxa"/>
              <w:left w:w="100" w:type="dxa"/>
              <w:bottom w:w="80" w:type="dxa"/>
              <w:right w:w="100" w:type="dxa"/>
            </w:tcMar>
          </w:tcPr>
          <w:p w14:paraId="7C2DC542" w14:textId="77777777" w:rsidR="000E47A8" w:rsidRDefault="00000000">
            <w:r>
              <w:t>Distinct count of patients treated (1,200)</w:t>
            </w:r>
          </w:p>
        </w:tc>
        <w:tc>
          <w:tcPr>
            <w:tcW w:w="3200" w:type="dxa"/>
            <w:tcMar>
              <w:top w:w="80" w:type="dxa"/>
              <w:left w:w="100" w:type="dxa"/>
              <w:bottom w:w="80" w:type="dxa"/>
              <w:right w:w="100" w:type="dxa"/>
            </w:tcMar>
          </w:tcPr>
          <w:p w14:paraId="02F568AB" w14:textId="77777777" w:rsidR="000E47A8" w:rsidRDefault="00000000">
            <w:r>
              <w:t>Establishes patient base size for all ratios</w:t>
            </w:r>
          </w:p>
        </w:tc>
      </w:tr>
      <w:tr w:rsidR="000E47A8" w14:paraId="33A68FA6" w14:textId="77777777">
        <w:trPr>
          <w:cantSplit/>
        </w:trPr>
        <w:tc>
          <w:tcPr>
            <w:tcW w:w="2600" w:type="dxa"/>
            <w:shd w:val="clear" w:color="auto" w:fill="F2F2F2"/>
            <w:tcMar>
              <w:top w:w="80" w:type="dxa"/>
              <w:left w:w="100" w:type="dxa"/>
              <w:bottom w:w="80" w:type="dxa"/>
              <w:right w:w="100" w:type="dxa"/>
            </w:tcMar>
          </w:tcPr>
          <w:p w14:paraId="43737041" w14:textId="77777777" w:rsidR="000E47A8" w:rsidRDefault="00000000">
            <w:r>
              <w:t>Total Visits</w:t>
            </w:r>
          </w:p>
        </w:tc>
        <w:tc>
          <w:tcPr>
            <w:tcW w:w="4200" w:type="dxa"/>
            <w:shd w:val="clear" w:color="auto" w:fill="F2F2F2"/>
            <w:tcMar>
              <w:top w:w="80" w:type="dxa"/>
              <w:left w:w="100" w:type="dxa"/>
              <w:bottom w:w="80" w:type="dxa"/>
              <w:right w:w="100" w:type="dxa"/>
            </w:tcMar>
          </w:tcPr>
          <w:p w14:paraId="3EA63AA4" w14:textId="77777777" w:rsidR="000E47A8" w:rsidRDefault="00000000">
            <w:r>
              <w:t xml:space="preserve">Sum of </w:t>
            </w:r>
            <w:proofErr w:type="spellStart"/>
            <w:r>
              <w:t>Visit_Count</w:t>
            </w:r>
            <w:proofErr w:type="spellEnd"/>
            <w:r>
              <w:t xml:space="preserve"> across all patients (2,920)</w:t>
            </w:r>
          </w:p>
        </w:tc>
        <w:tc>
          <w:tcPr>
            <w:tcW w:w="3200" w:type="dxa"/>
            <w:shd w:val="clear" w:color="auto" w:fill="F2F2F2"/>
            <w:tcMar>
              <w:top w:w="80" w:type="dxa"/>
              <w:left w:w="100" w:type="dxa"/>
              <w:bottom w:w="80" w:type="dxa"/>
              <w:right w:w="100" w:type="dxa"/>
            </w:tcMar>
          </w:tcPr>
          <w:p w14:paraId="0A2474EE" w14:textId="77777777" w:rsidR="000E47A8" w:rsidRDefault="00000000">
            <w:r>
              <w:t>Shows true care volume, including repeat visits</w:t>
            </w:r>
          </w:p>
        </w:tc>
      </w:tr>
      <w:tr w:rsidR="000E47A8" w14:paraId="3C85E829" w14:textId="77777777">
        <w:trPr>
          <w:cantSplit/>
        </w:trPr>
        <w:tc>
          <w:tcPr>
            <w:tcW w:w="2600" w:type="dxa"/>
            <w:tcMar>
              <w:top w:w="80" w:type="dxa"/>
              <w:left w:w="100" w:type="dxa"/>
              <w:bottom w:w="80" w:type="dxa"/>
              <w:right w:w="100" w:type="dxa"/>
            </w:tcMar>
          </w:tcPr>
          <w:p w14:paraId="17E1AE32" w14:textId="77777777" w:rsidR="000E47A8" w:rsidRDefault="00000000">
            <w:r>
              <w:t>Total Revenue</w:t>
            </w:r>
          </w:p>
        </w:tc>
        <w:tc>
          <w:tcPr>
            <w:tcW w:w="4200" w:type="dxa"/>
            <w:tcMar>
              <w:top w:w="80" w:type="dxa"/>
              <w:left w:w="100" w:type="dxa"/>
              <w:bottom w:w="80" w:type="dxa"/>
              <w:right w:w="100" w:type="dxa"/>
            </w:tcMar>
          </w:tcPr>
          <w:p w14:paraId="47E4744D" w14:textId="77777777" w:rsidR="000E47A8" w:rsidRDefault="00000000">
            <w:r>
              <w:t>Sum of revenue across all visits (₦47.84M)</w:t>
            </w:r>
          </w:p>
        </w:tc>
        <w:tc>
          <w:tcPr>
            <w:tcW w:w="3200" w:type="dxa"/>
            <w:tcMar>
              <w:top w:w="80" w:type="dxa"/>
              <w:left w:w="100" w:type="dxa"/>
              <w:bottom w:w="80" w:type="dxa"/>
              <w:right w:w="100" w:type="dxa"/>
            </w:tcMar>
          </w:tcPr>
          <w:p w14:paraId="224E9A65" w14:textId="77777777" w:rsidR="000E47A8" w:rsidRDefault="00000000">
            <w:r>
              <w:t>Core financial output measure</w:t>
            </w:r>
          </w:p>
        </w:tc>
      </w:tr>
      <w:tr w:rsidR="000E47A8" w14:paraId="0E3D415E" w14:textId="77777777">
        <w:trPr>
          <w:cantSplit/>
        </w:trPr>
        <w:tc>
          <w:tcPr>
            <w:tcW w:w="2600" w:type="dxa"/>
            <w:shd w:val="clear" w:color="auto" w:fill="F2F2F2"/>
            <w:tcMar>
              <w:top w:w="80" w:type="dxa"/>
              <w:left w:w="100" w:type="dxa"/>
              <w:bottom w:w="80" w:type="dxa"/>
              <w:right w:w="100" w:type="dxa"/>
            </w:tcMar>
          </w:tcPr>
          <w:p w14:paraId="78285411" w14:textId="77777777" w:rsidR="000E47A8" w:rsidRDefault="00000000">
            <w:r>
              <w:t>Target Achievement %</w:t>
            </w:r>
          </w:p>
        </w:tc>
        <w:tc>
          <w:tcPr>
            <w:tcW w:w="4200" w:type="dxa"/>
            <w:shd w:val="clear" w:color="auto" w:fill="F2F2F2"/>
            <w:tcMar>
              <w:top w:w="80" w:type="dxa"/>
              <w:left w:w="100" w:type="dxa"/>
              <w:bottom w:w="80" w:type="dxa"/>
              <w:right w:w="100" w:type="dxa"/>
            </w:tcMar>
          </w:tcPr>
          <w:p w14:paraId="3E2E14F3" w14:textId="77777777" w:rsidR="000E47A8" w:rsidRDefault="00000000">
            <w:r>
              <w:t>Actual revenue ÷ pro-rated annual target, by state</w:t>
            </w:r>
          </w:p>
        </w:tc>
        <w:tc>
          <w:tcPr>
            <w:tcW w:w="3200" w:type="dxa"/>
            <w:shd w:val="clear" w:color="auto" w:fill="F2F2F2"/>
            <w:tcMar>
              <w:top w:w="80" w:type="dxa"/>
              <w:left w:w="100" w:type="dxa"/>
              <w:bottom w:w="80" w:type="dxa"/>
              <w:right w:w="100" w:type="dxa"/>
            </w:tcMar>
          </w:tcPr>
          <w:p w14:paraId="08E68306" w14:textId="77777777" w:rsidR="000E47A8" w:rsidRDefault="00000000">
            <w:r>
              <w:t>Flags whether targets are realistic and where gaps exist</w:t>
            </w:r>
          </w:p>
        </w:tc>
      </w:tr>
      <w:tr w:rsidR="000E47A8" w14:paraId="4DF83B24" w14:textId="77777777">
        <w:trPr>
          <w:cantSplit/>
        </w:trPr>
        <w:tc>
          <w:tcPr>
            <w:tcW w:w="2600" w:type="dxa"/>
            <w:tcMar>
              <w:top w:w="80" w:type="dxa"/>
              <w:left w:w="100" w:type="dxa"/>
              <w:bottom w:w="80" w:type="dxa"/>
              <w:right w:w="100" w:type="dxa"/>
            </w:tcMar>
          </w:tcPr>
          <w:p w14:paraId="5F0171DD" w14:textId="77777777" w:rsidR="000E47A8" w:rsidRDefault="00000000">
            <w:r>
              <w:t>Avg Satisfaction Score</w:t>
            </w:r>
          </w:p>
        </w:tc>
        <w:tc>
          <w:tcPr>
            <w:tcW w:w="4200" w:type="dxa"/>
            <w:tcMar>
              <w:top w:w="80" w:type="dxa"/>
              <w:left w:w="100" w:type="dxa"/>
              <w:bottom w:w="80" w:type="dxa"/>
              <w:right w:w="100" w:type="dxa"/>
            </w:tcMar>
          </w:tcPr>
          <w:p w14:paraId="557A0666" w14:textId="77777777" w:rsidR="000E47A8" w:rsidRDefault="00000000">
            <w:r>
              <w:t>Mean satisfaction score, 1–5 (3.71)</w:t>
            </w:r>
          </w:p>
        </w:tc>
        <w:tc>
          <w:tcPr>
            <w:tcW w:w="3200" w:type="dxa"/>
            <w:tcMar>
              <w:top w:w="80" w:type="dxa"/>
              <w:left w:w="100" w:type="dxa"/>
              <w:bottom w:w="80" w:type="dxa"/>
              <w:right w:w="100" w:type="dxa"/>
            </w:tcMar>
          </w:tcPr>
          <w:p w14:paraId="45544C19" w14:textId="77777777" w:rsidR="000E47A8" w:rsidRDefault="00000000">
            <w:r>
              <w:t>Tracks patient experience independent of financial results</w:t>
            </w:r>
          </w:p>
        </w:tc>
      </w:tr>
      <w:tr w:rsidR="000E47A8" w14:paraId="7EE84AFE" w14:textId="77777777">
        <w:trPr>
          <w:cantSplit/>
        </w:trPr>
        <w:tc>
          <w:tcPr>
            <w:tcW w:w="2600" w:type="dxa"/>
            <w:shd w:val="clear" w:color="auto" w:fill="F2F2F2"/>
            <w:tcMar>
              <w:top w:w="80" w:type="dxa"/>
              <w:left w:w="100" w:type="dxa"/>
              <w:bottom w:w="80" w:type="dxa"/>
              <w:right w:w="100" w:type="dxa"/>
            </w:tcMar>
          </w:tcPr>
          <w:p w14:paraId="4701A8AC" w14:textId="77777777" w:rsidR="000E47A8" w:rsidRDefault="00000000">
            <w:r>
              <w:t>Returning Patient %</w:t>
            </w:r>
          </w:p>
        </w:tc>
        <w:tc>
          <w:tcPr>
            <w:tcW w:w="4200" w:type="dxa"/>
            <w:shd w:val="clear" w:color="auto" w:fill="F2F2F2"/>
            <w:tcMar>
              <w:top w:w="80" w:type="dxa"/>
              <w:left w:w="100" w:type="dxa"/>
              <w:bottom w:w="80" w:type="dxa"/>
              <w:right w:w="100" w:type="dxa"/>
            </w:tcMar>
          </w:tcPr>
          <w:p w14:paraId="25B0AB19" w14:textId="77777777" w:rsidR="000E47A8" w:rsidRDefault="00000000">
            <w:r>
              <w:t>Share of patients with more than one visit (74%)</w:t>
            </w:r>
          </w:p>
        </w:tc>
        <w:tc>
          <w:tcPr>
            <w:tcW w:w="3200" w:type="dxa"/>
            <w:shd w:val="clear" w:color="auto" w:fill="F2F2F2"/>
            <w:tcMar>
              <w:top w:w="80" w:type="dxa"/>
              <w:left w:w="100" w:type="dxa"/>
              <w:bottom w:w="80" w:type="dxa"/>
              <w:right w:w="100" w:type="dxa"/>
            </w:tcMar>
          </w:tcPr>
          <w:p w14:paraId="05A0A50B" w14:textId="77777777" w:rsidR="000E47A8" w:rsidRDefault="00000000">
            <w:r>
              <w:t>Indicates patient retention/loyalty</w:t>
            </w:r>
          </w:p>
        </w:tc>
      </w:tr>
      <w:tr w:rsidR="000E47A8" w14:paraId="323C17F5" w14:textId="77777777">
        <w:trPr>
          <w:cantSplit/>
        </w:trPr>
        <w:tc>
          <w:tcPr>
            <w:tcW w:w="2600" w:type="dxa"/>
            <w:tcMar>
              <w:top w:w="80" w:type="dxa"/>
              <w:left w:w="100" w:type="dxa"/>
              <w:bottom w:w="80" w:type="dxa"/>
              <w:right w:w="100" w:type="dxa"/>
            </w:tcMar>
          </w:tcPr>
          <w:p w14:paraId="3091F4BA" w14:textId="77777777" w:rsidR="000E47A8" w:rsidRDefault="00000000">
            <w:r>
              <w:t>Profit Margin %</w:t>
            </w:r>
          </w:p>
        </w:tc>
        <w:tc>
          <w:tcPr>
            <w:tcW w:w="4200" w:type="dxa"/>
            <w:tcMar>
              <w:top w:w="80" w:type="dxa"/>
              <w:left w:w="100" w:type="dxa"/>
              <w:bottom w:w="80" w:type="dxa"/>
              <w:right w:w="100" w:type="dxa"/>
            </w:tcMar>
          </w:tcPr>
          <w:p w14:paraId="6A66402F" w14:textId="77777777" w:rsidR="000E47A8" w:rsidRDefault="00000000">
            <w:r>
              <w:rPr>
                <w:rFonts w:ascii="Gungsuh" w:eastAsia="Gungsuh" w:hAnsi="Gungsuh" w:cs="Gungsuh"/>
              </w:rPr>
              <w:t>(Revenue − Cost) ÷ Revenue (≈38%)</w:t>
            </w:r>
          </w:p>
        </w:tc>
        <w:tc>
          <w:tcPr>
            <w:tcW w:w="3200" w:type="dxa"/>
            <w:tcMar>
              <w:top w:w="80" w:type="dxa"/>
              <w:left w:w="100" w:type="dxa"/>
              <w:bottom w:w="80" w:type="dxa"/>
              <w:right w:w="100" w:type="dxa"/>
            </w:tcMar>
          </w:tcPr>
          <w:p w14:paraId="6FB94940" w14:textId="77777777" w:rsidR="000E47A8" w:rsidRDefault="00000000">
            <w:r>
              <w:t>Shows financial sustainability per visit</w:t>
            </w:r>
          </w:p>
        </w:tc>
      </w:tr>
    </w:tbl>
    <w:p w14:paraId="466FE7A6" w14:textId="77777777" w:rsidR="000E47A8" w:rsidRDefault="000E47A8">
      <w:pPr>
        <w:spacing w:after="160" w:line="276" w:lineRule="auto"/>
      </w:pPr>
    </w:p>
    <w:p w14:paraId="4E169662" w14:textId="77777777" w:rsidR="000E47A8" w:rsidRDefault="00000000">
      <w:pPr>
        <w:pStyle w:val="Heading2"/>
        <w:spacing w:before="300" w:after="150"/>
        <w:rPr>
          <w:color w:val="000000"/>
        </w:rPr>
      </w:pPr>
      <w:r>
        <w:rPr>
          <w:b/>
          <w:bCs/>
          <w:color w:val="000000"/>
          <w:sz w:val="24"/>
          <w:szCs w:val="24"/>
        </w:rPr>
        <w:t>Methods Used</w:t>
      </w:r>
    </w:p>
    <w:p w14:paraId="53940797" w14:textId="77777777" w:rsidR="000E47A8" w:rsidRDefault="00000000">
      <w:pPr>
        <w:numPr>
          <w:ilvl w:val="0"/>
          <w:numId w:val="1"/>
        </w:numPr>
        <w:pBdr>
          <w:top w:val="nil"/>
          <w:left w:val="nil"/>
          <w:bottom w:val="nil"/>
          <w:right w:val="nil"/>
          <w:between w:val="nil"/>
        </w:pBdr>
        <w:spacing w:after="80"/>
        <w:jc w:val="both"/>
      </w:pPr>
      <w:r>
        <w:rPr>
          <w:sz w:val="22"/>
          <w:szCs w:val="22"/>
        </w:rPr>
        <w:t>Descriptive statistics — distribution of age, revenue, waiting time, and satisfaction; outlier and data-quality checks.</w:t>
      </w:r>
    </w:p>
    <w:p w14:paraId="70F40B76" w14:textId="77777777" w:rsidR="000E47A8" w:rsidRDefault="00000000">
      <w:pPr>
        <w:numPr>
          <w:ilvl w:val="0"/>
          <w:numId w:val="1"/>
        </w:numPr>
        <w:pBdr>
          <w:top w:val="nil"/>
          <w:left w:val="nil"/>
          <w:bottom w:val="nil"/>
          <w:right w:val="nil"/>
          <w:between w:val="nil"/>
        </w:pBdr>
        <w:spacing w:after="80"/>
        <w:jc w:val="both"/>
      </w:pPr>
      <w:r>
        <w:rPr>
          <w:sz w:val="22"/>
          <w:szCs w:val="22"/>
        </w:rPr>
        <w:t>Trend analysis of monthly patient visits and revenue across 2025.</w:t>
      </w:r>
    </w:p>
    <w:p w14:paraId="5D68A560" w14:textId="77777777" w:rsidR="000E47A8" w:rsidRDefault="00000000">
      <w:pPr>
        <w:numPr>
          <w:ilvl w:val="0"/>
          <w:numId w:val="1"/>
        </w:numPr>
        <w:pBdr>
          <w:top w:val="nil"/>
          <w:left w:val="nil"/>
          <w:bottom w:val="nil"/>
          <w:right w:val="nil"/>
          <w:between w:val="nil"/>
        </w:pBdr>
        <w:spacing w:after="80"/>
        <w:jc w:val="both"/>
      </w:pPr>
      <w:r>
        <w:rPr>
          <w:sz w:val="22"/>
          <w:szCs w:val="22"/>
        </w:rPr>
        <w:t>Segmentation and group comparison by department, branch, state, age group, and patient type.</w:t>
      </w:r>
    </w:p>
    <w:p w14:paraId="129D494A" w14:textId="77777777" w:rsidR="000E47A8" w:rsidRDefault="00000000">
      <w:pPr>
        <w:numPr>
          <w:ilvl w:val="0"/>
          <w:numId w:val="1"/>
        </w:numPr>
        <w:pBdr>
          <w:top w:val="nil"/>
          <w:left w:val="nil"/>
          <w:bottom w:val="nil"/>
          <w:right w:val="nil"/>
          <w:between w:val="nil"/>
        </w:pBdr>
        <w:spacing w:after="80"/>
        <w:jc w:val="both"/>
      </w:pPr>
      <w:r>
        <w:rPr>
          <w:sz w:val="22"/>
          <w:szCs w:val="22"/>
        </w:rPr>
        <w:t>Correlation analysis between waiting time and satisfaction score, using a scatter plot with a trend line.</w:t>
      </w:r>
    </w:p>
    <w:p w14:paraId="37116790" w14:textId="77777777" w:rsidR="000E47A8" w:rsidRDefault="00000000">
      <w:pPr>
        <w:numPr>
          <w:ilvl w:val="0"/>
          <w:numId w:val="1"/>
        </w:numPr>
        <w:pBdr>
          <w:top w:val="nil"/>
          <w:left w:val="nil"/>
          <w:bottom w:val="nil"/>
          <w:right w:val="nil"/>
          <w:between w:val="nil"/>
        </w:pBdr>
        <w:spacing w:after="80"/>
        <w:jc w:val="both"/>
      </w:pPr>
      <w:r>
        <w:rPr>
          <w:sz w:val="22"/>
          <w:szCs w:val="22"/>
        </w:rPr>
        <w:t>Custom DAX measures for target pro-ration, MoM/YoY growth, and a patient retention funnel.</w:t>
      </w:r>
    </w:p>
    <w:p w14:paraId="31BEC453" w14:textId="77777777" w:rsidR="000E47A8" w:rsidRDefault="00000000">
      <w:pPr>
        <w:pStyle w:val="Heading1"/>
        <w:pBdr>
          <w:bottom w:val="single" w:sz="6" w:space="4" w:color="2E75B6"/>
        </w:pBdr>
        <w:spacing w:before="400" w:after="200"/>
        <w:rPr>
          <w:color w:val="000000"/>
        </w:rPr>
      </w:pPr>
      <w:r>
        <w:rPr>
          <w:b/>
          <w:bCs/>
          <w:color w:val="000000"/>
          <w:sz w:val="30"/>
          <w:szCs w:val="30"/>
        </w:rPr>
        <w:t>7. Key Insights</w:t>
      </w:r>
    </w:p>
    <w:p w14:paraId="7E7E62CA" w14:textId="77777777" w:rsidR="000E47A8" w:rsidRDefault="00000000">
      <w:pPr>
        <w:spacing w:before="200" w:after="60"/>
        <w:jc w:val="both"/>
      </w:pPr>
      <w:r>
        <w:rPr>
          <w:b/>
          <w:bCs/>
          <w:sz w:val="22"/>
          <w:szCs w:val="22"/>
        </w:rPr>
        <w:t>Insight 1 — Revenue targets are set unrealistically high</w:t>
      </w:r>
    </w:p>
    <w:p w14:paraId="51A0D9E4" w14:textId="77777777" w:rsidR="000E47A8" w:rsidRDefault="00000000">
      <w:pPr>
        <w:spacing w:after="160" w:line="276" w:lineRule="auto"/>
        <w:jc w:val="both"/>
      </w:pPr>
      <w:r>
        <w:rPr>
          <w:sz w:val="22"/>
          <w:szCs w:val="22"/>
        </w:rPr>
        <w:t>Actual 2025 revenue reached only ~24% of the combined state targets (₦47.84M vs. ₦200M). Even the best-performing state, Abuja, hit just ~27–28%, while Anambra lagged at ~21%. This gap is consistent across every state, suggesting the targets themselves — not underperformance — are the issue, and should be reviewed rather than treated as a KPI failure.</w:t>
      </w:r>
    </w:p>
    <w:p w14:paraId="22D3D912" w14:textId="77777777" w:rsidR="000E47A8" w:rsidRDefault="00000000">
      <w:pPr>
        <w:spacing w:before="200" w:after="60"/>
        <w:jc w:val="both"/>
      </w:pPr>
      <w:r>
        <w:rPr>
          <w:b/>
          <w:bCs/>
          <w:sz w:val="22"/>
          <w:szCs w:val="22"/>
        </w:rPr>
        <w:t>Insight 2 — Waiting time has no meaningful effect on patient satisfaction</w:t>
      </w:r>
    </w:p>
    <w:p w14:paraId="343B47D4" w14:textId="77777777" w:rsidR="000E47A8" w:rsidRDefault="00000000">
      <w:pPr>
        <w:spacing w:after="160" w:line="276" w:lineRule="auto"/>
        <w:jc w:val="both"/>
      </w:pPr>
      <w:r>
        <w:rPr>
          <w:sz w:val="22"/>
          <w:szCs w:val="22"/>
        </w:rPr>
        <w:t>A scatter plot of waiting time vs. satisfaction score, with a trend line, shows an essentially flat relationship. Pharmacy has both short wait times and the highest satisfaction, while Outpatient has short waits but comparatively lower satisfaction — meaning other factors, likely staff interaction, communication, or diagnosis outcome, drive satisfaction more than speed of service.</w:t>
      </w:r>
    </w:p>
    <w:p w14:paraId="613F6402" w14:textId="77777777" w:rsidR="000E47A8" w:rsidRDefault="00000000">
      <w:pPr>
        <w:spacing w:before="200" w:after="60"/>
        <w:jc w:val="both"/>
      </w:pPr>
      <w:r>
        <w:rPr>
          <w:b/>
          <w:bCs/>
          <w:sz w:val="22"/>
          <w:szCs w:val="22"/>
        </w:rPr>
        <w:t>Insight 3 — Departments are operationally similar but differ in patient outcomes</w:t>
      </w:r>
    </w:p>
    <w:p w14:paraId="57EC9251" w14:textId="77777777" w:rsidR="000E47A8" w:rsidRDefault="00000000">
      <w:pPr>
        <w:spacing w:after="160" w:line="276" w:lineRule="auto"/>
        <w:jc w:val="both"/>
      </w:pPr>
      <w:r>
        <w:rPr>
          <w:sz w:val="22"/>
          <w:szCs w:val="22"/>
        </w:rPr>
        <w:t>Waiting time (43–47 minutes) and satisfaction (3.60–3.74) are nearly uniform across all departments. However, outcome mix varies: Pharmacy has the lowest recovery rate (50.5%) and highest follow-up rate (23.7%), while Laboratory has the highest recovery rate (58.8%). This points to differences in case complexity or treatment pathway rather than service quality.</w:t>
      </w:r>
    </w:p>
    <w:p w14:paraId="29B6155A" w14:textId="77777777" w:rsidR="000E47A8" w:rsidRDefault="00000000">
      <w:pPr>
        <w:spacing w:before="200" w:after="60"/>
        <w:jc w:val="both"/>
      </w:pPr>
      <w:r>
        <w:rPr>
          <w:b/>
          <w:bCs/>
          <w:sz w:val="22"/>
          <w:szCs w:val="22"/>
        </w:rPr>
        <w:t>Insight 4 — Most patients are returning, not new</w:t>
      </w:r>
    </w:p>
    <w:p w14:paraId="495DF510" w14:textId="77777777" w:rsidR="000E47A8" w:rsidRDefault="00000000">
      <w:pPr>
        <w:spacing w:after="160" w:line="276" w:lineRule="auto"/>
        <w:jc w:val="both"/>
      </w:pPr>
      <w:r>
        <w:rPr>
          <w:sz w:val="22"/>
          <w:szCs w:val="22"/>
        </w:rPr>
        <w:t>889 of 1,200 patients (74%) are returning patients, averaging 2.43 visits each. This signals either strong patient trust and retention, or a pattern of chronic/recurring conditions requiring multiple visits — worth investigating further to determine which.</w:t>
      </w:r>
    </w:p>
    <w:p w14:paraId="348F38B6" w14:textId="77777777" w:rsidR="000E47A8" w:rsidRDefault="00000000">
      <w:pPr>
        <w:spacing w:before="200" w:after="60"/>
        <w:jc w:val="both"/>
      </w:pPr>
      <w:r>
        <w:rPr>
          <w:b/>
          <w:bCs/>
          <w:sz w:val="22"/>
          <w:szCs w:val="22"/>
        </w:rPr>
        <w:t>Insight 5 — Data quality issues exist and should be disclosed, not silently corrected</w:t>
      </w:r>
    </w:p>
    <w:p w14:paraId="757F660C" w14:textId="77777777" w:rsidR="000E47A8" w:rsidRDefault="00000000">
      <w:pPr>
        <w:spacing w:after="160" w:line="276" w:lineRule="auto"/>
        <w:jc w:val="both"/>
        <w:rPr>
          <w:sz w:val="22"/>
          <w:szCs w:val="22"/>
        </w:rPr>
      </w:pPr>
      <w:r>
        <w:rPr>
          <w:sz w:val="22"/>
          <w:szCs w:val="22"/>
        </w:rPr>
        <w:t xml:space="preserve">94 male patients are recorded under the Maternity department, and 183 of 221 </w:t>
      </w:r>
      <w:proofErr w:type="spellStart"/>
      <w:r>
        <w:rPr>
          <w:sz w:val="22"/>
          <w:szCs w:val="22"/>
        </w:rPr>
        <w:t>Pediatrics</w:t>
      </w:r>
      <w:proofErr w:type="spellEnd"/>
      <w:r>
        <w:rPr>
          <w:sz w:val="22"/>
          <w:szCs w:val="22"/>
        </w:rPr>
        <w:t xml:space="preserve"> patients are aged 18 or older. Rather than deleting or "fixing" these records — which would distort the dataset — they are flagged for the client to investigate at the source.</w:t>
      </w:r>
    </w:p>
    <w:p w14:paraId="337AC296" w14:textId="77777777" w:rsidR="000E47A8" w:rsidRDefault="000E47A8">
      <w:pPr>
        <w:spacing w:after="160" w:line="276" w:lineRule="auto"/>
        <w:jc w:val="both"/>
        <w:rPr>
          <w:sz w:val="22"/>
          <w:szCs w:val="22"/>
        </w:rPr>
      </w:pPr>
    </w:p>
    <w:p w14:paraId="5FDE7B42" w14:textId="77777777" w:rsidR="00A615F7" w:rsidRDefault="00A615F7">
      <w:pPr>
        <w:spacing w:after="160" w:line="276" w:lineRule="auto"/>
        <w:jc w:val="both"/>
        <w:rPr>
          <w:sz w:val="22"/>
          <w:szCs w:val="22"/>
        </w:rPr>
      </w:pPr>
    </w:p>
    <w:p w14:paraId="20DA3E7E" w14:textId="77777777" w:rsidR="00A615F7" w:rsidRDefault="00A615F7">
      <w:pPr>
        <w:spacing w:after="160" w:line="276" w:lineRule="auto"/>
        <w:jc w:val="both"/>
        <w:rPr>
          <w:sz w:val="22"/>
          <w:szCs w:val="22"/>
        </w:rPr>
      </w:pPr>
    </w:p>
    <w:p w14:paraId="55A29755" w14:textId="77777777" w:rsidR="00A615F7" w:rsidRDefault="00A615F7">
      <w:pPr>
        <w:spacing w:after="160" w:line="276" w:lineRule="auto"/>
        <w:jc w:val="both"/>
        <w:rPr>
          <w:sz w:val="22"/>
          <w:szCs w:val="22"/>
        </w:rPr>
      </w:pPr>
    </w:p>
    <w:p w14:paraId="2E6876B1" w14:textId="77777777" w:rsidR="00A615F7" w:rsidRDefault="00A615F7">
      <w:pPr>
        <w:spacing w:after="160" w:line="276" w:lineRule="auto"/>
        <w:jc w:val="both"/>
        <w:rPr>
          <w:sz w:val="22"/>
          <w:szCs w:val="22"/>
        </w:rPr>
      </w:pPr>
    </w:p>
    <w:p w14:paraId="65A6AC15" w14:textId="77777777" w:rsidR="00A615F7" w:rsidRDefault="00A615F7">
      <w:pPr>
        <w:spacing w:after="160" w:line="276" w:lineRule="auto"/>
        <w:jc w:val="both"/>
        <w:rPr>
          <w:sz w:val="22"/>
          <w:szCs w:val="22"/>
        </w:rPr>
      </w:pPr>
    </w:p>
    <w:p w14:paraId="0787C173" w14:textId="77777777" w:rsidR="000E47A8" w:rsidRDefault="00000000">
      <w:pPr>
        <w:pStyle w:val="Heading1"/>
        <w:pBdr>
          <w:bottom w:val="single" w:sz="6" w:space="4" w:color="2E75B6"/>
        </w:pBdr>
        <w:spacing w:before="400" w:after="200"/>
        <w:rPr>
          <w:color w:val="000000"/>
        </w:rPr>
      </w:pPr>
      <w:r>
        <w:rPr>
          <w:b/>
          <w:bCs/>
          <w:color w:val="000000"/>
          <w:sz w:val="30"/>
          <w:szCs w:val="30"/>
        </w:rPr>
        <w:lastRenderedPageBreak/>
        <w:t>8. Recommendations</w:t>
      </w:r>
    </w:p>
    <w:tbl>
      <w:tblPr>
        <w:tblStyle w:val="a1"/>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4400"/>
        <w:gridCol w:w="2000"/>
        <w:gridCol w:w="2200"/>
      </w:tblGrid>
      <w:tr w:rsidR="000E47A8" w14:paraId="2DF3DBAE" w14:textId="77777777">
        <w:trPr>
          <w:cantSplit/>
          <w:tblHeader/>
        </w:trPr>
        <w:tc>
          <w:tcPr>
            <w:tcW w:w="1400" w:type="dxa"/>
            <w:shd w:val="clear" w:color="auto" w:fill="1F3864"/>
            <w:tcMar>
              <w:top w:w="80" w:type="dxa"/>
              <w:left w:w="100" w:type="dxa"/>
              <w:bottom w:w="80" w:type="dxa"/>
              <w:right w:w="100" w:type="dxa"/>
            </w:tcMar>
          </w:tcPr>
          <w:p w14:paraId="7E14FACB" w14:textId="77777777" w:rsidR="000E47A8" w:rsidRDefault="00000000">
            <w:r>
              <w:rPr>
                <w:b/>
                <w:bCs/>
              </w:rPr>
              <w:t>Priority</w:t>
            </w:r>
          </w:p>
        </w:tc>
        <w:tc>
          <w:tcPr>
            <w:tcW w:w="4400" w:type="dxa"/>
            <w:shd w:val="clear" w:color="auto" w:fill="1F3864"/>
            <w:tcMar>
              <w:top w:w="80" w:type="dxa"/>
              <w:left w:w="100" w:type="dxa"/>
              <w:bottom w:w="80" w:type="dxa"/>
              <w:right w:w="100" w:type="dxa"/>
            </w:tcMar>
          </w:tcPr>
          <w:p w14:paraId="05E6296C" w14:textId="77777777" w:rsidR="000E47A8" w:rsidRDefault="00000000">
            <w:r>
              <w:rPr>
                <w:b/>
                <w:bCs/>
              </w:rPr>
              <w:t>Recommendation</w:t>
            </w:r>
          </w:p>
        </w:tc>
        <w:tc>
          <w:tcPr>
            <w:tcW w:w="2000" w:type="dxa"/>
            <w:shd w:val="clear" w:color="auto" w:fill="1F3864"/>
            <w:tcMar>
              <w:top w:w="80" w:type="dxa"/>
              <w:left w:w="100" w:type="dxa"/>
              <w:bottom w:w="80" w:type="dxa"/>
              <w:right w:w="100" w:type="dxa"/>
            </w:tcMar>
          </w:tcPr>
          <w:p w14:paraId="69CFC875" w14:textId="77777777" w:rsidR="000E47A8" w:rsidRDefault="00000000">
            <w:r>
              <w:rPr>
                <w:b/>
                <w:bCs/>
              </w:rPr>
              <w:t>Based On</w:t>
            </w:r>
          </w:p>
        </w:tc>
        <w:tc>
          <w:tcPr>
            <w:tcW w:w="2200" w:type="dxa"/>
            <w:shd w:val="clear" w:color="auto" w:fill="1F3864"/>
            <w:tcMar>
              <w:top w:w="80" w:type="dxa"/>
              <w:left w:w="100" w:type="dxa"/>
              <w:bottom w:w="80" w:type="dxa"/>
              <w:right w:w="100" w:type="dxa"/>
            </w:tcMar>
          </w:tcPr>
          <w:p w14:paraId="634A217E" w14:textId="77777777" w:rsidR="000E47A8" w:rsidRDefault="00000000">
            <w:r>
              <w:rPr>
                <w:b/>
                <w:bCs/>
              </w:rPr>
              <w:t>Suggested Owner</w:t>
            </w:r>
          </w:p>
        </w:tc>
      </w:tr>
      <w:tr w:rsidR="000E47A8" w14:paraId="047FE476" w14:textId="77777777">
        <w:trPr>
          <w:cantSplit/>
        </w:trPr>
        <w:tc>
          <w:tcPr>
            <w:tcW w:w="1400" w:type="dxa"/>
            <w:tcMar>
              <w:top w:w="80" w:type="dxa"/>
              <w:left w:w="100" w:type="dxa"/>
              <w:bottom w:w="80" w:type="dxa"/>
              <w:right w:w="100" w:type="dxa"/>
            </w:tcMar>
          </w:tcPr>
          <w:p w14:paraId="7F3F742E" w14:textId="77777777" w:rsidR="000E47A8" w:rsidRDefault="00000000">
            <w:r>
              <w:t>High</w:t>
            </w:r>
          </w:p>
        </w:tc>
        <w:tc>
          <w:tcPr>
            <w:tcW w:w="4400" w:type="dxa"/>
            <w:tcMar>
              <w:top w:w="80" w:type="dxa"/>
              <w:left w:w="100" w:type="dxa"/>
              <w:bottom w:w="80" w:type="dxa"/>
              <w:right w:w="100" w:type="dxa"/>
            </w:tcMar>
          </w:tcPr>
          <w:p w14:paraId="4058FDF9" w14:textId="77777777" w:rsidR="000E47A8" w:rsidRDefault="00000000">
            <w:r>
              <w:t>Review and reset state-level revenue targets using historical actuals rather than fixed annual figures</w:t>
            </w:r>
          </w:p>
        </w:tc>
        <w:tc>
          <w:tcPr>
            <w:tcW w:w="2000" w:type="dxa"/>
            <w:tcMar>
              <w:top w:w="80" w:type="dxa"/>
              <w:left w:w="100" w:type="dxa"/>
              <w:bottom w:w="80" w:type="dxa"/>
              <w:right w:w="100" w:type="dxa"/>
            </w:tcMar>
          </w:tcPr>
          <w:p w14:paraId="31141DA3" w14:textId="77777777" w:rsidR="000E47A8" w:rsidRDefault="00000000">
            <w:r>
              <w:t>Insight 1</w:t>
            </w:r>
          </w:p>
        </w:tc>
        <w:tc>
          <w:tcPr>
            <w:tcW w:w="2200" w:type="dxa"/>
            <w:tcMar>
              <w:top w:w="80" w:type="dxa"/>
              <w:left w:w="100" w:type="dxa"/>
              <w:bottom w:w="80" w:type="dxa"/>
              <w:right w:w="100" w:type="dxa"/>
            </w:tcMar>
          </w:tcPr>
          <w:p w14:paraId="6BC1CA6F" w14:textId="77777777" w:rsidR="000E47A8" w:rsidRDefault="00000000">
            <w:r>
              <w:t>Finance / Executive team</w:t>
            </w:r>
          </w:p>
        </w:tc>
      </w:tr>
      <w:tr w:rsidR="000E47A8" w14:paraId="619E4565" w14:textId="77777777">
        <w:trPr>
          <w:cantSplit/>
        </w:trPr>
        <w:tc>
          <w:tcPr>
            <w:tcW w:w="1400" w:type="dxa"/>
            <w:shd w:val="clear" w:color="auto" w:fill="F2F2F2"/>
            <w:tcMar>
              <w:top w:w="80" w:type="dxa"/>
              <w:left w:w="100" w:type="dxa"/>
              <w:bottom w:w="80" w:type="dxa"/>
              <w:right w:w="100" w:type="dxa"/>
            </w:tcMar>
          </w:tcPr>
          <w:p w14:paraId="396C3824" w14:textId="77777777" w:rsidR="000E47A8" w:rsidRDefault="00000000">
            <w:r>
              <w:t>High</w:t>
            </w:r>
          </w:p>
        </w:tc>
        <w:tc>
          <w:tcPr>
            <w:tcW w:w="4400" w:type="dxa"/>
            <w:shd w:val="clear" w:color="auto" w:fill="F2F2F2"/>
            <w:tcMar>
              <w:top w:w="80" w:type="dxa"/>
              <w:left w:w="100" w:type="dxa"/>
              <w:bottom w:w="80" w:type="dxa"/>
              <w:right w:w="100" w:type="dxa"/>
            </w:tcMar>
          </w:tcPr>
          <w:p w14:paraId="07B29C8A" w14:textId="77777777" w:rsidR="000E47A8" w:rsidRDefault="00000000">
            <w:r>
              <w:t>Investigate root cause of low Pharmacy recovery / high follow-up rate against Laboratory's protocols</w:t>
            </w:r>
          </w:p>
        </w:tc>
        <w:tc>
          <w:tcPr>
            <w:tcW w:w="2000" w:type="dxa"/>
            <w:shd w:val="clear" w:color="auto" w:fill="F2F2F2"/>
            <w:tcMar>
              <w:top w:w="80" w:type="dxa"/>
              <w:left w:w="100" w:type="dxa"/>
              <w:bottom w:w="80" w:type="dxa"/>
              <w:right w:w="100" w:type="dxa"/>
            </w:tcMar>
          </w:tcPr>
          <w:p w14:paraId="6A2C1D57" w14:textId="77777777" w:rsidR="000E47A8" w:rsidRDefault="00000000">
            <w:r>
              <w:t>Insight 3</w:t>
            </w:r>
          </w:p>
        </w:tc>
        <w:tc>
          <w:tcPr>
            <w:tcW w:w="2200" w:type="dxa"/>
            <w:shd w:val="clear" w:color="auto" w:fill="F2F2F2"/>
            <w:tcMar>
              <w:top w:w="80" w:type="dxa"/>
              <w:left w:w="100" w:type="dxa"/>
              <w:bottom w:w="80" w:type="dxa"/>
              <w:right w:w="100" w:type="dxa"/>
            </w:tcMar>
          </w:tcPr>
          <w:p w14:paraId="396E9030" w14:textId="77777777" w:rsidR="000E47A8" w:rsidRDefault="00000000">
            <w:r>
              <w:t>Clinical Operations</w:t>
            </w:r>
          </w:p>
        </w:tc>
      </w:tr>
      <w:tr w:rsidR="000E47A8" w14:paraId="049C490F" w14:textId="77777777">
        <w:trPr>
          <w:cantSplit/>
        </w:trPr>
        <w:tc>
          <w:tcPr>
            <w:tcW w:w="1400" w:type="dxa"/>
            <w:tcMar>
              <w:top w:w="80" w:type="dxa"/>
              <w:left w:w="100" w:type="dxa"/>
              <w:bottom w:w="80" w:type="dxa"/>
              <w:right w:w="100" w:type="dxa"/>
            </w:tcMar>
          </w:tcPr>
          <w:p w14:paraId="0FD92A3B" w14:textId="77777777" w:rsidR="000E47A8" w:rsidRDefault="00000000">
            <w:r>
              <w:t>High</w:t>
            </w:r>
          </w:p>
        </w:tc>
        <w:tc>
          <w:tcPr>
            <w:tcW w:w="4400" w:type="dxa"/>
            <w:tcMar>
              <w:top w:w="80" w:type="dxa"/>
              <w:left w:w="100" w:type="dxa"/>
              <w:bottom w:w="80" w:type="dxa"/>
              <w:right w:w="100" w:type="dxa"/>
            </w:tcMar>
          </w:tcPr>
          <w:p w14:paraId="1935DA8D" w14:textId="77777777" w:rsidR="000E47A8" w:rsidRDefault="00000000">
            <w:r>
              <w:t xml:space="preserve">Audit Maternity and </w:t>
            </w:r>
            <w:proofErr w:type="spellStart"/>
            <w:r>
              <w:t>Pediatrics</w:t>
            </w:r>
            <w:proofErr w:type="spellEnd"/>
            <w:r>
              <w:t xml:space="preserve"> records for gender/age </w:t>
            </w:r>
            <w:proofErr w:type="spellStart"/>
            <w:r>
              <w:t>miscategorization</w:t>
            </w:r>
            <w:proofErr w:type="spellEnd"/>
            <w:r>
              <w:t xml:space="preserve"> at point of entry</w:t>
            </w:r>
          </w:p>
        </w:tc>
        <w:tc>
          <w:tcPr>
            <w:tcW w:w="2000" w:type="dxa"/>
            <w:tcMar>
              <w:top w:w="80" w:type="dxa"/>
              <w:left w:w="100" w:type="dxa"/>
              <w:bottom w:w="80" w:type="dxa"/>
              <w:right w:w="100" w:type="dxa"/>
            </w:tcMar>
          </w:tcPr>
          <w:p w14:paraId="420E00C7" w14:textId="77777777" w:rsidR="000E47A8" w:rsidRDefault="00000000">
            <w:r>
              <w:t>Insight 5</w:t>
            </w:r>
          </w:p>
        </w:tc>
        <w:tc>
          <w:tcPr>
            <w:tcW w:w="2200" w:type="dxa"/>
            <w:tcMar>
              <w:top w:w="80" w:type="dxa"/>
              <w:left w:w="100" w:type="dxa"/>
              <w:bottom w:w="80" w:type="dxa"/>
              <w:right w:w="100" w:type="dxa"/>
            </w:tcMar>
          </w:tcPr>
          <w:p w14:paraId="2E40BCEB" w14:textId="77777777" w:rsidR="000E47A8" w:rsidRDefault="00000000">
            <w:r>
              <w:t>Health Records / IT</w:t>
            </w:r>
          </w:p>
        </w:tc>
      </w:tr>
      <w:tr w:rsidR="000E47A8" w14:paraId="73D19A50" w14:textId="77777777">
        <w:trPr>
          <w:cantSplit/>
        </w:trPr>
        <w:tc>
          <w:tcPr>
            <w:tcW w:w="1400" w:type="dxa"/>
            <w:shd w:val="clear" w:color="auto" w:fill="F2F2F2"/>
            <w:tcMar>
              <w:top w:w="80" w:type="dxa"/>
              <w:left w:w="100" w:type="dxa"/>
              <w:bottom w:w="80" w:type="dxa"/>
              <w:right w:w="100" w:type="dxa"/>
            </w:tcMar>
          </w:tcPr>
          <w:p w14:paraId="7AAB7513" w14:textId="77777777" w:rsidR="000E47A8" w:rsidRDefault="00000000">
            <w:r>
              <w:t>Medium</w:t>
            </w:r>
          </w:p>
        </w:tc>
        <w:tc>
          <w:tcPr>
            <w:tcW w:w="4400" w:type="dxa"/>
            <w:shd w:val="clear" w:color="auto" w:fill="F2F2F2"/>
            <w:tcMar>
              <w:top w:w="80" w:type="dxa"/>
              <w:left w:w="100" w:type="dxa"/>
              <w:bottom w:w="80" w:type="dxa"/>
              <w:right w:w="100" w:type="dxa"/>
            </w:tcMar>
          </w:tcPr>
          <w:p w14:paraId="1EB755B0" w14:textId="77777777" w:rsidR="000E47A8" w:rsidRDefault="00000000">
            <w:r>
              <w:t>Shift patient experience initiatives toward staff communication/service quality rather than wait-time reduction</w:t>
            </w:r>
          </w:p>
        </w:tc>
        <w:tc>
          <w:tcPr>
            <w:tcW w:w="2000" w:type="dxa"/>
            <w:shd w:val="clear" w:color="auto" w:fill="F2F2F2"/>
            <w:tcMar>
              <w:top w:w="80" w:type="dxa"/>
              <w:left w:w="100" w:type="dxa"/>
              <w:bottom w:w="80" w:type="dxa"/>
              <w:right w:w="100" w:type="dxa"/>
            </w:tcMar>
          </w:tcPr>
          <w:p w14:paraId="7A5EF71C" w14:textId="77777777" w:rsidR="000E47A8" w:rsidRDefault="00000000">
            <w:r>
              <w:t>Insight 2</w:t>
            </w:r>
          </w:p>
        </w:tc>
        <w:tc>
          <w:tcPr>
            <w:tcW w:w="2200" w:type="dxa"/>
            <w:shd w:val="clear" w:color="auto" w:fill="F2F2F2"/>
            <w:tcMar>
              <w:top w:w="80" w:type="dxa"/>
              <w:left w:w="100" w:type="dxa"/>
              <w:bottom w:w="80" w:type="dxa"/>
              <w:right w:w="100" w:type="dxa"/>
            </w:tcMar>
          </w:tcPr>
          <w:p w14:paraId="283AD387" w14:textId="77777777" w:rsidR="000E47A8" w:rsidRDefault="00000000">
            <w:r>
              <w:t>Patient Experience team</w:t>
            </w:r>
          </w:p>
        </w:tc>
      </w:tr>
      <w:tr w:rsidR="000E47A8" w14:paraId="05C0678E" w14:textId="77777777">
        <w:trPr>
          <w:cantSplit/>
        </w:trPr>
        <w:tc>
          <w:tcPr>
            <w:tcW w:w="1400" w:type="dxa"/>
            <w:tcMar>
              <w:top w:w="80" w:type="dxa"/>
              <w:left w:w="100" w:type="dxa"/>
              <w:bottom w:w="80" w:type="dxa"/>
              <w:right w:w="100" w:type="dxa"/>
            </w:tcMar>
          </w:tcPr>
          <w:p w14:paraId="4B19D8B6" w14:textId="77777777" w:rsidR="000E47A8" w:rsidRDefault="00000000">
            <w:r>
              <w:t>Medium</w:t>
            </w:r>
          </w:p>
        </w:tc>
        <w:tc>
          <w:tcPr>
            <w:tcW w:w="4400" w:type="dxa"/>
            <w:tcMar>
              <w:top w:w="80" w:type="dxa"/>
              <w:left w:w="100" w:type="dxa"/>
              <w:bottom w:w="80" w:type="dxa"/>
              <w:right w:w="100" w:type="dxa"/>
            </w:tcMar>
          </w:tcPr>
          <w:p w14:paraId="399B9C74" w14:textId="77777777" w:rsidR="000E47A8" w:rsidRDefault="00000000">
            <w:r>
              <w:t>Build a retention/loyalty program targeting the 74% returning patient base</w:t>
            </w:r>
          </w:p>
        </w:tc>
        <w:tc>
          <w:tcPr>
            <w:tcW w:w="2000" w:type="dxa"/>
            <w:tcMar>
              <w:top w:w="80" w:type="dxa"/>
              <w:left w:w="100" w:type="dxa"/>
              <w:bottom w:w="80" w:type="dxa"/>
              <w:right w:w="100" w:type="dxa"/>
            </w:tcMar>
          </w:tcPr>
          <w:p w14:paraId="21CDDBEB" w14:textId="77777777" w:rsidR="000E47A8" w:rsidRDefault="00000000">
            <w:r>
              <w:t>Insight 4</w:t>
            </w:r>
          </w:p>
        </w:tc>
        <w:tc>
          <w:tcPr>
            <w:tcW w:w="2200" w:type="dxa"/>
            <w:tcMar>
              <w:top w:w="80" w:type="dxa"/>
              <w:left w:w="100" w:type="dxa"/>
              <w:bottom w:w="80" w:type="dxa"/>
              <w:right w:w="100" w:type="dxa"/>
            </w:tcMar>
          </w:tcPr>
          <w:p w14:paraId="717A8EAD" w14:textId="77777777" w:rsidR="000E47A8" w:rsidRDefault="00000000">
            <w:r>
              <w:t>Marketing / Patient Relations</w:t>
            </w:r>
          </w:p>
        </w:tc>
      </w:tr>
      <w:tr w:rsidR="000E47A8" w14:paraId="2611C940" w14:textId="77777777">
        <w:trPr>
          <w:cantSplit/>
        </w:trPr>
        <w:tc>
          <w:tcPr>
            <w:tcW w:w="1400" w:type="dxa"/>
            <w:shd w:val="clear" w:color="auto" w:fill="F2F2F2"/>
            <w:tcMar>
              <w:top w:w="80" w:type="dxa"/>
              <w:left w:w="100" w:type="dxa"/>
              <w:bottom w:w="80" w:type="dxa"/>
              <w:right w:w="100" w:type="dxa"/>
            </w:tcMar>
          </w:tcPr>
          <w:p w14:paraId="41516ADB" w14:textId="77777777" w:rsidR="000E47A8" w:rsidRDefault="00000000">
            <w:r>
              <w:t>Low</w:t>
            </w:r>
          </w:p>
        </w:tc>
        <w:tc>
          <w:tcPr>
            <w:tcW w:w="4400" w:type="dxa"/>
            <w:shd w:val="clear" w:color="auto" w:fill="F2F2F2"/>
            <w:tcMar>
              <w:top w:w="80" w:type="dxa"/>
              <w:left w:w="100" w:type="dxa"/>
              <w:bottom w:w="80" w:type="dxa"/>
              <w:right w:w="100" w:type="dxa"/>
            </w:tcMar>
          </w:tcPr>
          <w:p w14:paraId="6B7D3D35" w14:textId="77777777" w:rsidR="000E47A8" w:rsidRDefault="00000000">
            <w:r>
              <w:t>Expand target-setting to branch and monthly granularity instead of annual/state-only</w:t>
            </w:r>
          </w:p>
        </w:tc>
        <w:tc>
          <w:tcPr>
            <w:tcW w:w="2000" w:type="dxa"/>
            <w:shd w:val="clear" w:color="auto" w:fill="F2F2F2"/>
            <w:tcMar>
              <w:top w:w="80" w:type="dxa"/>
              <w:left w:w="100" w:type="dxa"/>
              <w:bottom w:w="80" w:type="dxa"/>
              <w:right w:w="100" w:type="dxa"/>
            </w:tcMar>
          </w:tcPr>
          <w:p w14:paraId="3EA1F870" w14:textId="77777777" w:rsidR="000E47A8" w:rsidRDefault="00000000">
            <w:r>
              <w:t>Insight 1</w:t>
            </w:r>
          </w:p>
        </w:tc>
        <w:tc>
          <w:tcPr>
            <w:tcW w:w="2200" w:type="dxa"/>
            <w:shd w:val="clear" w:color="auto" w:fill="F2F2F2"/>
            <w:tcMar>
              <w:top w:w="80" w:type="dxa"/>
              <w:left w:w="100" w:type="dxa"/>
              <w:bottom w:w="80" w:type="dxa"/>
              <w:right w:w="100" w:type="dxa"/>
            </w:tcMar>
          </w:tcPr>
          <w:p w14:paraId="66C4C6F6" w14:textId="77777777" w:rsidR="000E47A8" w:rsidRDefault="00000000">
            <w:r>
              <w:t>Finance</w:t>
            </w:r>
          </w:p>
        </w:tc>
      </w:tr>
    </w:tbl>
    <w:p w14:paraId="136255B9" w14:textId="77777777" w:rsidR="000E47A8" w:rsidRDefault="00000000">
      <w:pPr>
        <w:pStyle w:val="Heading1"/>
        <w:pBdr>
          <w:bottom w:val="single" w:sz="6" w:space="4" w:color="2E75B6"/>
        </w:pBdr>
        <w:spacing w:before="400" w:after="200"/>
        <w:rPr>
          <w:color w:val="000000"/>
        </w:rPr>
      </w:pPr>
      <w:r>
        <w:rPr>
          <w:b/>
          <w:bCs/>
          <w:color w:val="000000"/>
          <w:sz w:val="30"/>
          <w:szCs w:val="30"/>
        </w:rPr>
        <w:t>9. Assumptions &amp; Limitations</w:t>
      </w:r>
    </w:p>
    <w:p w14:paraId="3E7F59E6" w14:textId="77777777" w:rsidR="000E47A8" w:rsidRDefault="00000000">
      <w:pPr>
        <w:pStyle w:val="Heading2"/>
        <w:spacing w:before="300" w:after="150"/>
        <w:rPr>
          <w:color w:val="000000"/>
        </w:rPr>
      </w:pPr>
      <w:r>
        <w:rPr>
          <w:b/>
          <w:bCs/>
          <w:color w:val="000000"/>
          <w:sz w:val="24"/>
          <w:szCs w:val="24"/>
        </w:rPr>
        <w:t>Assumptions</w:t>
      </w:r>
    </w:p>
    <w:p w14:paraId="36A88F2B" w14:textId="77777777" w:rsidR="000E47A8" w:rsidRDefault="00000000">
      <w:pPr>
        <w:numPr>
          <w:ilvl w:val="0"/>
          <w:numId w:val="1"/>
        </w:numPr>
        <w:pBdr>
          <w:top w:val="nil"/>
          <w:left w:val="nil"/>
          <w:bottom w:val="nil"/>
          <w:right w:val="nil"/>
          <w:between w:val="nil"/>
        </w:pBdr>
        <w:spacing w:after="80"/>
        <w:jc w:val="both"/>
      </w:pPr>
      <w:r>
        <w:rPr>
          <w:sz w:val="22"/>
          <w:szCs w:val="22"/>
        </w:rPr>
        <w:t xml:space="preserve">Each row in </w:t>
      </w:r>
      <w:proofErr w:type="spellStart"/>
      <w:r>
        <w:rPr>
          <w:sz w:val="22"/>
          <w:szCs w:val="22"/>
        </w:rPr>
        <w:t>Fact_Visits</w:t>
      </w:r>
      <w:proofErr w:type="spellEnd"/>
      <w:r>
        <w:rPr>
          <w:sz w:val="22"/>
          <w:szCs w:val="22"/>
        </w:rPr>
        <w:t xml:space="preserve"> represents one patient's cumulative annual record, with </w:t>
      </w:r>
      <w:proofErr w:type="spellStart"/>
      <w:r>
        <w:rPr>
          <w:sz w:val="22"/>
          <w:szCs w:val="22"/>
        </w:rPr>
        <w:t>Visit_Count</w:t>
      </w:r>
      <w:proofErr w:type="spellEnd"/>
      <w:r>
        <w:rPr>
          <w:sz w:val="22"/>
          <w:szCs w:val="22"/>
        </w:rPr>
        <w:t xml:space="preserve"> reflecting total visits — not one row per individual visit event.</w:t>
      </w:r>
    </w:p>
    <w:p w14:paraId="7B892A73" w14:textId="77777777" w:rsidR="000E47A8" w:rsidRDefault="00000000">
      <w:pPr>
        <w:numPr>
          <w:ilvl w:val="0"/>
          <w:numId w:val="1"/>
        </w:numPr>
        <w:pBdr>
          <w:top w:val="nil"/>
          <w:left w:val="nil"/>
          <w:bottom w:val="nil"/>
          <w:right w:val="nil"/>
          <w:between w:val="nil"/>
        </w:pBdr>
        <w:spacing w:after="80"/>
        <w:jc w:val="both"/>
      </w:pPr>
      <w:r>
        <w:rPr>
          <w:sz w:val="22"/>
          <w:szCs w:val="22"/>
        </w:rPr>
        <w:t>Revenue targets, provided only at annual/state grain, were assumed to scale evenly across months for the Revenue Target measure.</w:t>
      </w:r>
    </w:p>
    <w:p w14:paraId="582E8911" w14:textId="77777777" w:rsidR="000E47A8" w:rsidRDefault="00000000">
      <w:pPr>
        <w:numPr>
          <w:ilvl w:val="0"/>
          <w:numId w:val="1"/>
        </w:numPr>
        <w:pBdr>
          <w:top w:val="nil"/>
          <w:left w:val="nil"/>
          <w:bottom w:val="nil"/>
          <w:right w:val="nil"/>
          <w:between w:val="nil"/>
        </w:pBdr>
        <w:spacing w:after="80"/>
        <w:jc w:val="both"/>
      </w:pPr>
      <w:r>
        <w:rPr>
          <w:sz w:val="22"/>
          <w:szCs w:val="22"/>
        </w:rPr>
        <w:t>Records with data quality issues (e.g., male patients in Maternity) were treated as genuine entries for analysis purposes rather than excluded, since there was no way to independently verify the correct value.</w:t>
      </w:r>
    </w:p>
    <w:p w14:paraId="0C4D44CB" w14:textId="77777777" w:rsidR="000E47A8" w:rsidRDefault="00000000">
      <w:pPr>
        <w:pStyle w:val="Heading2"/>
        <w:spacing w:before="300" w:after="150"/>
        <w:jc w:val="both"/>
        <w:rPr>
          <w:color w:val="000000"/>
        </w:rPr>
      </w:pPr>
      <w:r>
        <w:rPr>
          <w:b/>
          <w:bCs/>
          <w:color w:val="000000"/>
          <w:sz w:val="24"/>
          <w:szCs w:val="24"/>
        </w:rPr>
        <w:t>Limitations</w:t>
      </w:r>
    </w:p>
    <w:p w14:paraId="0B54DDA4" w14:textId="77777777" w:rsidR="000E47A8" w:rsidRDefault="00000000">
      <w:pPr>
        <w:numPr>
          <w:ilvl w:val="0"/>
          <w:numId w:val="1"/>
        </w:numPr>
        <w:pBdr>
          <w:top w:val="nil"/>
          <w:left w:val="nil"/>
          <w:bottom w:val="nil"/>
          <w:right w:val="nil"/>
          <w:between w:val="nil"/>
        </w:pBdr>
        <w:spacing w:after="80"/>
        <w:jc w:val="both"/>
      </w:pPr>
      <w:r>
        <w:rPr>
          <w:sz w:val="22"/>
          <w:szCs w:val="22"/>
        </w:rPr>
        <w:t>Revenue targets cannot be broken down by branch or department, only by state and year, limiting how precisely underperformance can be localized.</w:t>
      </w:r>
    </w:p>
    <w:p w14:paraId="51C79167" w14:textId="77777777" w:rsidR="000E47A8" w:rsidRDefault="00000000">
      <w:pPr>
        <w:numPr>
          <w:ilvl w:val="0"/>
          <w:numId w:val="1"/>
        </w:numPr>
        <w:pBdr>
          <w:top w:val="nil"/>
          <w:left w:val="nil"/>
          <w:bottom w:val="nil"/>
          <w:right w:val="nil"/>
          <w:between w:val="nil"/>
        </w:pBdr>
        <w:spacing w:after="80"/>
        <w:jc w:val="both"/>
      </w:pPr>
      <w:r>
        <w:rPr>
          <w:sz w:val="22"/>
          <w:szCs w:val="22"/>
        </w:rPr>
        <w:t>The dataset covers only 2025, so no year-over-year trend analysis is possible.</w:t>
      </w:r>
    </w:p>
    <w:p w14:paraId="7021F86D" w14:textId="77777777" w:rsidR="000E47A8" w:rsidRDefault="00000000">
      <w:pPr>
        <w:numPr>
          <w:ilvl w:val="0"/>
          <w:numId w:val="1"/>
        </w:numPr>
        <w:pBdr>
          <w:top w:val="nil"/>
          <w:left w:val="nil"/>
          <w:bottom w:val="nil"/>
          <w:right w:val="nil"/>
          <w:between w:val="nil"/>
        </w:pBdr>
        <w:spacing w:after="80"/>
        <w:jc w:val="both"/>
      </w:pPr>
      <w:r>
        <w:rPr>
          <w:sz w:val="22"/>
          <w:szCs w:val="22"/>
        </w:rPr>
        <w:t>No qualitative data (e.g., patient comments, staff notes) exists to explain why satisfaction or outcomes vary — the dashboard identifies patterns but not root causes.</w:t>
      </w:r>
    </w:p>
    <w:p w14:paraId="62446FE5" w14:textId="77777777" w:rsidR="000E47A8" w:rsidRDefault="00000000">
      <w:pPr>
        <w:numPr>
          <w:ilvl w:val="0"/>
          <w:numId w:val="1"/>
        </w:numPr>
        <w:pBdr>
          <w:top w:val="nil"/>
          <w:left w:val="nil"/>
          <w:bottom w:val="nil"/>
          <w:right w:val="nil"/>
          <w:between w:val="nil"/>
        </w:pBdr>
        <w:spacing w:after="80"/>
        <w:jc w:val="both"/>
      </w:pPr>
      <w:r>
        <w:rPr>
          <w:sz w:val="22"/>
          <w:szCs w:val="22"/>
        </w:rPr>
        <w:t>Known data quality issues (Maternity/</w:t>
      </w:r>
      <w:proofErr w:type="spellStart"/>
      <w:r>
        <w:rPr>
          <w:sz w:val="22"/>
          <w:szCs w:val="22"/>
        </w:rPr>
        <w:t>Pediatrics</w:t>
      </w:r>
      <w:proofErr w:type="spellEnd"/>
      <w:r>
        <w:rPr>
          <w:sz w:val="22"/>
          <w:szCs w:val="22"/>
        </w:rPr>
        <w:t xml:space="preserve"> mismatches) were not corrected, so department-level figures for those two departments should be read with that caveat in mind.</w:t>
      </w:r>
    </w:p>
    <w:p w14:paraId="76859F98" w14:textId="77777777" w:rsidR="000E47A8" w:rsidRDefault="000E47A8">
      <w:pPr>
        <w:spacing w:after="160" w:line="276" w:lineRule="auto"/>
      </w:pPr>
    </w:p>
    <w:p w14:paraId="7F4890A3" w14:textId="77777777" w:rsidR="000E47A8" w:rsidRDefault="00000000">
      <w:pPr>
        <w:pBdr>
          <w:left w:val="single" w:sz="12" w:space="8" w:color="2E75B6"/>
        </w:pBdr>
        <w:spacing w:before="100" w:after="160"/>
        <w:ind w:left="431"/>
        <w:jc w:val="both"/>
      </w:pPr>
      <w:r>
        <w:rPr>
          <w:i/>
          <w:iCs/>
        </w:rPr>
        <w:t xml:space="preserve">A </w:t>
      </w:r>
      <w:proofErr w:type="spellStart"/>
      <w:r>
        <w:rPr>
          <w:i/>
          <w:iCs/>
        </w:rPr>
        <w:t>skeptic</w:t>
      </w:r>
      <w:proofErr w:type="spellEnd"/>
      <w:r>
        <w:rPr>
          <w:i/>
          <w:iCs/>
        </w:rPr>
        <w:t xml:space="preserve"> might ask: "If some Maternity/</w:t>
      </w:r>
      <w:proofErr w:type="spellStart"/>
      <w:r>
        <w:rPr>
          <w:i/>
          <w:iCs/>
        </w:rPr>
        <w:t>Pediatrics</w:t>
      </w:r>
      <w:proofErr w:type="spellEnd"/>
      <w:r>
        <w:rPr>
          <w:i/>
          <w:iCs/>
        </w:rPr>
        <w:t xml:space="preserve"> records are wrong, can we trust any department-level numbers?" — Yes, for all other departments; the flagged issues are isolated to two departments and were identified precisely because they were checked, not assumed correct.</w:t>
      </w:r>
    </w:p>
    <w:p w14:paraId="0261E818" w14:textId="77777777" w:rsidR="00A615F7" w:rsidRDefault="00A615F7">
      <w:pPr>
        <w:pStyle w:val="Heading1"/>
        <w:pBdr>
          <w:bottom w:val="single" w:sz="6" w:space="4" w:color="2E75B6"/>
        </w:pBdr>
        <w:spacing w:before="400" w:after="200"/>
        <w:rPr>
          <w:b/>
          <w:bCs/>
          <w:color w:val="000000"/>
          <w:sz w:val="30"/>
          <w:szCs w:val="30"/>
        </w:rPr>
      </w:pPr>
    </w:p>
    <w:p w14:paraId="1BC24495" w14:textId="77777777" w:rsidR="00A615F7" w:rsidRDefault="00A615F7">
      <w:pPr>
        <w:pStyle w:val="Heading1"/>
        <w:pBdr>
          <w:bottom w:val="single" w:sz="6" w:space="4" w:color="2E75B6"/>
        </w:pBdr>
        <w:spacing w:before="400" w:after="200"/>
        <w:rPr>
          <w:b/>
          <w:bCs/>
          <w:color w:val="000000"/>
          <w:sz w:val="30"/>
          <w:szCs w:val="30"/>
        </w:rPr>
      </w:pPr>
    </w:p>
    <w:p w14:paraId="1D21674C" w14:textId="77777777" w:rsidR="00A615F7" w:rsidRDefault="00A615F7">
      <w:pPr>
        <w:pStyle w:val="Heading1"/>
        <w:pBdr>
          <w:bottom w:val="single" w:sz="6" w:space="4" w:color="2E75B6"/>
        </w:pBdr>
        <w:spacing w:before="400" w:after="200"/>
        <w:rPr>
          <w:b/>
          <w:bCs/>
          <w:color w:val="000000"/>
          <w:sz w:val="30"/>
          <w:szCs w:val="30"/>
        </w:rPr>
      </w:pPr>
    </w:p>
    <w:p w14:paraId="77690C69" w14:textId="06CDB83B" w:rsidR="000E47A8" w:rsidRDefault="00000000">
      <w:pPr>
        <w:pStyle w:val="Heading1"/>
        <w:pBdr>
          <w:bottom w:val="single" w:sz="6" w:space="4" w:color="2E75B6"/>
        </w:pBdr>
        <w:spacing w:before="400" w:after="200"/>
        <w:rPr>
          <w:color w:val="000000"/>
        </w:rPr>
      </w:pPr>
      <w:r>
        <w:rPr>
          <w:b/>
          <w:bCs/>
          <w:color w:val="000000"/>
          <w:sz w:val="30"/>
          <w:szCs w:val="30"/>
        </w:rPr>
        <w:lastRenderedPageBreak/>
        <w:t>10. Future Enhancements</w:t>
      </w:r>
    </w:p>
    <w:p w14:paraId="140E0432" w14:textId="77777777" w:rsidR="000E47A8" w:rsidRDefault="00000000">
      <w:pPr>
        <w:numPr>
          <w:ilvl w:val="0"/>
          <w:numId w:val="1"/>
        </w:numPr>
        <w:pBdr>
          <w:top w:val="nil"/>
          <w:left w:val="nil"/>
          <w:bottom w:val="nil"/>
          <w:right w:val="nil"/>
          <w:between w:val="nil"/>
        </w:pBdr>
        <w:spacing w:after="80"/>
        <w:jc w:val="both"/>
      </w:pPr>
      <w:r>
        <w:rPr>
          <w:sz w:val="22"/>
          <w:szCs w:val="22"/>
        </w:rPr>
        <w:t>Add branch- and month-level revenue targets to enable more granular achievement tracking.</w:t>
      </w:r>
    </w:p>
    <w:p w14:paraId="78C3A2F0" w14:textId="77777777" w:rsidR="000E47A8" w:rsidRDefault="00000000">
      <w:pPr>
        <w:numPr>
          <w:ilvl w:val="0"/>
          <w:numId w:val="1"/>
        </w:numPr>
        <w:pBdr>
          <w:top w:val="nil"/>
          <w:left w:val="nil"/>
          <w:bottom w:val="nil"/>
          <w:right w:val="nil"/>
          <w:between w:val="nil"/>
        </w:pBdr>
        <w:spacing w:after="80"/>
        <w:jc w:val="both"/>
      </w:pPr>
      <w:r>
        <w:rPr>
          <w:sz w:val="22"/>
          <w:szCs w:val="22"/>
        </w:rPr>
        <w:t xml:space="preserve">Build a patient-level drill-through page (by </w:t>
      </w:r>
      <w:proofErr w:type="spellStart"/>
      <w:r>
        <w:rPr>
          <w:sz w:val="22"/>
          <w:szCs w:val="22"/>
        </w:rPr>
        <w:t>Patient_ID</w:t>
      </w:r>
      <w:proofErr w:type="spellEnd"/>
      <w:r>
        <w:rPr>
          <w:sz w:val="22"/>
          <w:szCs w:val="22"/>
        </w:rPr>
        <w:t>) for deeper case investigation.</w:t>
      </w:r>
    </w:p>
    <w:p w14:paraId="044EDAE9" w14:textId="77777777" w:rsidR="000E47A8" w:rsidRDefault="00000000">
      <w:pPr>
        <w:numPr>
          <w:ilvl w:val="0"/>
          <w:numId w:val="1"/>
        </w:numPr>
        <w:pBdr>
          <w:top w:val="nil"/>
          <w:left w:val="nil"/>
          <w:bottom w:val="nil"/>
          <w:right w:val="nil"/>
          <w:between w:val="nil"/>
        </w:pBdr>
        <w:spacing w:after="80"/>
        <w:jc w:val="both"/>
      </w:pPr>
      <w:r>
        <w:rPr>
          <w:sz w:val="22"/>
          <w:szCs w:val="22"/>
        </w:rPr>
        <w:t>Incorporate multi-year data once available, to enable real year-over-year trend analysis.</w:t>
      </w:r>
    </w:p>
    <w:p w14:paraId="34F2BDCE" w14:textId="77E7A94E" w:rsidR="00A615F7" w:rsidRPr="00A615F7" w:rsidRDefault="00000000" w:rsidP="00A615F7">
      <w:pPr>
        <w:numPr>
          <w:ilvl w:val="0"/>
          <w:numId w:val="1"/>
        </w:numPr>
        <w:pBdr>
          <w:top w:val="nil"/>
          <w:left w:val="nil"/>
          <w:bottom w:val="nil"/>
          <w:right w:val="nil"/>
          <w:between w:val="nil"/>
        </w:pBdr>
        <w:spacing w:after="80"/>
        <w:jc w:val="both"/>
      </w:pPr>
      <w:r>
        <w:rPr>
          <w:sz w:val="22"/>
          <w:szCs w:val="22"/>
        </w:rPr>
        <w:t>Add a data-quality monitoring page that automatically flags mismatches (e.g., gender/department, age/department) as new data loads.</w:t>
      </w:r>
    </w:p>
    <w:p w14:paraId="4ADE103F" w14:textId="23600623" w:rsidR="000E47A8" w:rsidRDefault="00000000">
      <w:pPr>
        <w:pStyle w:val="Heading1"/>
        <w:pBdr>
          <w:bottom w:val="single" w:sz="6" w:space="4" w:color="2E75B6"/>
        </w:pBdr>
        <w:spacing w:before="400" w:after="200"/>
        <w:rPr>
          <w:color w:val="000000"/>
        </w:rPr>
      </w:pPr>
      <w:r>
        <w:rPr>
          <w:b/>
          <w:bCs/>
          <w:color w:val="000000"/>
          <w:sz w:val="30"/>
          <w:szCs w:val="30"/>
        </w:rPr>
        <w:t>11. Deliverables</w:t>
      </w:r>
    </w:p>
    <w:tbl>
      <w:tblPr>
        <w:tblStyle w:val="a2"/>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200"/>
      </w:tblGrid>
      <w:tr w:rsidR="000E47A8" w14:paraId="6A0E1E70" w14:textId="77777777">
        <w:trPr>
          <w:cantSplit/>
          <w:tblHeader/>
        </w:trPr>
        <w:tc>
          <w:tcPr>
            <w:tcW w:w="2800" w:type="dxa"/>
            <w:shd w:val="clear" w:color="auto" w:fill="1F3864"/>
            <w:tcMar>
              <w:top w:w="80" w:type="dxa"/>
              <w:left w:w="100" w:type="dxa"/>
              <w:bottom w:w="80" w:type="dxa"/>
              <w:right w:w="100" w:type="dxa"/>
            </w:tcMar>
          </w:tcPr>
          <w:p w14:paraId="44221016" w14:textId="77777777" w:rsidR="000E47A8" w:rsidRDefault="00000000">
            <w:r>
              <w:rPr>
                <w:b/>
                <w:bCs/>
              </w:rPr>
              <w:t>Deliverable</w:t>
            </w:r>
          </w:p>
        </w:tc>
        <w:tc>
          <w:tcPr>
            <w:tcW w:w="7200" w:type="dxa"/>
            <w:shd w:val="clear" w:color="auto" w:fill="1F3864"/>
            <w:tcMar>
              <w:top w:w="80" w:type="dxa"/>
              <w:left w:w="100" w:type="dxa"/>
              <w:bottom w:w="80" w:type="dxa"/>
              <w:right w:w="100" w:type="dxa"/>
            </w:tcMar>
          </w:tcPr>
          <w:p w14:paraId="69CFF59B" w14:textId="77777777" w:rsidR="000E47A8" w:rsidRDefault="00000000">
            <w:r>
              <w:rPr>
                <w:b/>
                <w:bCs/>
              </w:rPr>
              <w:t>Description</w:t>
            </w:r>
          </w:p>
        </w:tc>
      </w:tr>
      <w:tr w:rsidR="000E47A8" w14:paraId="38422E7C" w14:textId="77777777">
        <w:trPr>
          <w:cantSplit/>
        </w:trPr>
        <w:tc>
          <w:tcPr>
            <w:tcW w:w="2800" w:type="dxa"/>
            <w:tcMar>
              <w:top w:w="80" w:type="dxa"/>
              <w:left w:w="100" w:type="dxa"/>
              <w:bottom w:w="80" w:type="dxa"/>
              <w:right w:w="100" w:type="dxa"/>
            </w:tcMar>
          </w:tcPr>
          <w:p w14:paraId="3AB29471" w14:textId="77777777" w:rsidR="000E47A8" w:rsidRDefault="00000000">
            <w:r>
              <w:t>Power BI file (.</w:t>
            </w:r>
            <w:proofErr w:type="spellStart"/>
            <w:r>
              <w:t>pbix</w:t>
            </w:r>
            <w:proofErr w:type="spellEnd"/>
            <w:r>
              <w:t>)</w:t>
            </w:r>
          </w:p>
        </w:tc>
        <w:tc>
          <w:tcPr>
            <w:tcW w:w="7200" w:type="dxa"/>
            <w:tcMar>
              <w:top w:w="80" w:type="dxa"/>
              <w:left w:w="100" w:type="dxa"/>
              <w:bottom w:w="80" w:type="dxa"/>
              <w:right w:w="100" w:type="dxa"/>
            </w:tcMar>
          </w:tcPr>
          <w:p w14:paraId="6FF58026" w14:textId="77777777" w:rsidR="000E47A8" w:rsidRDefault="00000000">
            <w:r>
              <w:t>Full interactive dashboard — 5 report pages, drill-through, tooltips, bookmarks</w:t>
            </w:r>
          </w:p>
        </w:tc>
      </w:tr>
      <w:tr w:rsidR="000E47A8" w14:paraId="5B2D0C1C" w14:textId="77777777">
        <w:trPr>
          <w:cantSplit/>
        </w:trPr>
        <w:tc>
          <w:tcPr>
            <w:tcW w:w="2800" w:type="dxa"/>
            <w:shd w:val="clear" w:color="auto" w:fill="F2F2F2"/>
            <w:tcMar>
              <w:top w:w="80" w:type="dxa"/>
              <w:left w:w="100" w:type="dxa"/>
              <w:bottom w:w="80" w:type="dxa"/>
              <w:right w:w="100" w:type="dxa"/>
            </w:tcMar>
          </w:tcPr>
          <w:p w14:paraId="5DFE2E7A" w14:textId="77777777" w:rsidR="000E47A8" w:rsidRDefault="00000000">
            <w:r>
              <w:t>Cleaned dataset</w:t>
            </w:r>
          </w:p>
        </w:tc>
        <w:tc>
          <w:tcPr>
            <w:tcW w:w="7200" w:type="dxa"/>
            <w:shd w:val="clear" w:color="auto" w:fill="F2F2F2"/>
            <w:tcMar>
              <w:top w:w="80" w:type="dxa"/>
              <w:left w:w="100" w:type="dxa"/>
              <w:bottom w:w="80" w:type="dxa"/>
              <w:right w:w="100" w:type="dxa"/>
            </w:tcMar>
          </w:tcPr>
          <w:p w14:paraId="7B49D994" w14:textId="77777777" w:rsidR="000E47A8" w:rsidRDefault="00000000">
            <w:r>
              <w:t xml:space="preserve">Excel/CSV export of the transformed dataset, including </w:t>
            </w:r>
            <w:proofErr w:type="spellStart"/>
            <w:r>
              <w:t>Age_Group</w:t>
            </w:r>
            <w:proofErr w:type="spellEnd"/>
            <w:r>
              <w:t xml:space="preserve">, </w:t>
            </w:r>
            <w:proofErr w:type="spellStart"/>
            <w:r>
              <w:t>Patient_Type</w:t>
            </w:r>
            <w:proofErr w:type="spellEnd"/>
            <w:r>
              <w:t xml:space="preserve">, and </w:t>
            </w:r>
            <w:proofErr w:type="spellStart"/>
            <w:r>
              <w:t>Satisfaction_Band</w:t>
            </w:r>
            <w:proofErr w:type="spellEnd"/>
            <w:r>
              <w:t xml:space="preserve"> columns</w:t>
            </w:r>
          </w:p>
        </w:tc>
      </w:tr>
      <w:tr w:rsidR="000E47A8" w14:paraId="5B6CAD12" w14:textId="77777777">
        <w:trPr>
          <w:cantSplit/>
        </w:trPr>
        <w:tc>
          <w:tcPr>
            <w:tcW w:w="2800" w:type="dxa"/>
            <w:tcMar>
              <w:top w:w="80" w:type="dxa"/>
              <w:left w:w="100" w:type="dxa"/>
              <w:bottom w:w="80" w:type="dxa"/>
              <w:right w:w="100" w:type="dxa"/>
            </w:tcMar>
          </w:tcPr>
          <w:p w14:paraId="6A36660F" w14:textId="77777777" w:rsidR="000E47A8" w:rsidRDefault="00000000">
            <w:r>
              <w:t>GitHub repository</w:t>
            </w:r>
          </w:p>
        </w:tc>
        <w:tc>
          <w:tcPr>
            <w:tcW w:w="7200" w:type="dxa"/>
            <w:tcMar>
              <w:top w:w="80" w:type="dxa"/>
              <w:left w:w="100" w:type="dxa"/>
              <w:bottom w:w="80" w:type="dxa"/>
              <w:right w:w="100" w:type="dxa"/>
            </w:tcMar>
          </w:tcPr>
          <w:p w14:paraId="43F65020" w14:textId="77777777" w:rsidR="000E47A8" w:rsidRDefault="00000000">
            <w:r>
              <w:t>Contains the .</w:t>
            </w:r>
            <w:proofErr w:type="spellStart"/>
            <w:r>
              <w:t>pbix</w:t>
            </w:r>
            <w:proofErr w:type="spellEnd"/>
            <w:r>
              <w:t xml:space="preserve"> file, cleaned dataset, screenshots, and README documentation</w:t>
            </w:r>
          </w:p>
        </w:tc>
      </w:tr>
      <w:tr w:rsidR="000E47A8" w14:paraId="40C3A84A" w14:textId="77777777">
        <w:trPr>
          <w:cantSplit/>
        </w:trPr>
        <w:tc>
          <w:tcPr>
            <w:tcW w:w="2800" w:type="dxa"/>
            <w:shd w:val="clear" w:color="auto" w:fill="F2F2F2"/>
            <w:tcMar>
              <w:top w:w="80" w:type="dxa"/>
              <w:left w:w="100" w:type="dxa"/>
              <w:bottom w:w="80" w:type="dxa"/>
              <w:right w:w="100" w:type="dxa"/>
            </w:tcMar>
          </w:tcPr>
          <w:p w14:paraId="73387662" w14:textId="77777777" w:rsidR="000E47A8" w:rsidRDefault="00000000">
            <w:r>
              <w:t>Dashboard screenshots</w:t>
            </w:r>
          </w:p>
        </w:tc>
        <w:tc>
          <w:tcPr>
            <w:tcW w:w="7200" w:type="dxa"/>
            <w:shd w:val="clear" w:color="auto" w:fill="F2F2F2"/>
            <w:tcMar>
              <w:top w:w="80" w:type="dxa"/>
              <w:left w:w="100" w:type="dxa"/>
              <w:bottom w:w="80" w:type="dxa"/>
              <w:right w:w="100" w:type="dxa"/>
            </w:tcMar>
          </w:tcPr>
          <w:p w14:paraId="58228E8D" w14:textId="77777777" w:rsidR="000E47A8" w:rsidRDefault="00000000">
            <w:r>
              <w:t>Image of each of the 5 report pages plus the Branch Detail drill-through page</w:t>
            </w:r>
          </w:p>
        </w:tc>
      </w:tr>
      <w:tr w:rsidR="000E47A8" w14:paraId="31ECAFC5" w14:textId="77777777">
        <w:trPr>
          <w:cantSplit/>
        </w:trPr>
        <w:tc>
          <w:tcPr>
            <w:tcW w:w="2800" w:type="dxa"/>
            <w:tcMar>
              <w:top w:w="80" w:type="dxa"/>
              <w:left w:w="100" w:type="dxa"/>
              <w:bottom w:w="80" w:type="dxa"/>
              <w:right w:w="100" w:type="dxa"/>
            </w:tcMar>
          </w:tcPr>
          <w:p w14:paraId="2D1BFC65" w14:textId="77777777" w:rsidR="000E47A8" w:rsidRDefault="00000000">
            <w:r>
              <w:t>Presentation</w:t>
            </w:r>
          </w:p>
        </w:tc>
        <w:tc>
          <w:tcPr>
            <w:tcW w:w="7200" w:type="dxa"/>
            <w:tcMar>
              <w:top w:w="80" w:type="dxa"/>
              <w:left w:w="100" w:type="dxa"/>
              <w:bottom w:w="80" w:type="dxa"/>
              <w:right w:w="100" w:type="dxa"/>
            </w:tcMar>
          </w:tcPr>
          <w:p w14:paraId="25AE7C8B" w14:textId="77777777" w:rsidR="000E47A8" w:rsidRDefault="00000000">
            <w:r>
              <w:t>3–</w:t>
            </w:r>
            <w:proofErr w:type="gramStart"/>
            <w:r>
              <w:t>5 minute</w:t>
            </w:r>
            <w:proofErr w:type="gramEnd"/>
            <w:r>
              <w:t xml:space="preserve"> walkthrough covering problem, analysis, dashboard demo, findings, and recommendations</w:t>
            </w:r>
          </w:p>
        </w:tc>
      </w:tr>
    </w:tbl>
    <w:p w14:paraId="601FF926" w14:textId="77777777" w:rsidR="000E47A8" w:rsidRDefault="00000000">
      <w:pPr>
        <w:pStyle w:val="Heading1"/>
        <w:pBdr>
          <w:bottom w:val="single" w:sz="6" w:space="4" w:color="2E75B6"/>
        </w:pBdr>
        <w:spacing w:before="400" w:after="200"/>
        <w:rPr>
          <w:color w:val="000000"/>
        </w:rPr>
      </w:pPr>
      <w:r>
        <w:rPr>
          <w:b/>
          <w:bCs/>
          <w:color w:val="000000"/>
          <w:sz w:val="30"/>
          <w:szCs w:val="30"/>
        </w:rPr>
        <w:t>12. Conclusion</w:t>
      </w:r>
    </w:p>
    <w:p w14:paraId="45A605D0" w14:textId="77777777" w:rsidR="000E47A8" w:rsidRDefault="00000000">
      <w:pPr>
        <w:spacing w:after="160" w:line="276" w:lineRule="auto"/>
        <w:jc w:val="both"/>
      </w:pPr>
      <w:r>
        <w:rPr>
          <w:sz w:val="22"/>
          <w:szCs w:val="22"/>
        </w:rPr>
        <w:t xml:space="preserve">The IFEXA Healthcare Performance &amp; Patient Analytics Dashboard provides a consolidated, interactive view of patient volume, financial performance, operations, and patient experience across four Nigerian states. The analysis shows that </w:t>
      </w:r>
      <w:proofErr w:type="spellStart"/>
      <w:r>
        <w:rPr>
          <w:sz w:val="22"/>
          <w:szCs w:val="22"/>
        </w:rPr>
        <w:t>IFEXA's</w:t>
      </w:r>
      <w:proofErr w:type="spellEnd"/>
      <w:r>
        <w:rPr>
          <w:sz w:val="22"/>
          <w:szCs w:val="22"/>
        </w:rPr>
        <w:t xml:space="preserve"> core operations are performing consistently — waiting times, satisfaction scores, and profit margins are stable across departments — but revenue targets are set well beyond what current operations can realistically achieve, and patient outcomes vary meaningfully by department in ways that merit clinical review.</w:t>
      </w:r>
    </w:p>
    <w:p w14:paraId="0D39E2B1" w14:textId="77777777" w:rsidR="000E47A8" w:rsidRDefault="00000000">
      <w:pPr>
        <w:spacing w:after="160" w:line="276" w:lineRule="auto"/>
        <w:jc w:val="both"/>
      </w:pPr>
      <w:r>
        <w:rPr>
          <w:sz w:val="22"/>
          <w:szCs w:val="22"/>
        </w:rPr>
        <w:t>Addressing the recommendations in Section 8, particularly resetting revenue targets and investigating Pharmacy's outcome mix, would allow IFEXA to move from a dashboard that reports performance to one that actively supports more realistic target-setting and more targeted clinical improvement.</w:t>
      </w:r>
    </w:p>
    <w:sectPr w:rsidR="000E47A8" w:rsidSect="00A615F7">
      <w:pgSz w:w="11906" w:h="16838" w:code="9"/>
      <w:pgMar w:top="1080" w:right="1080" w:bottom="1080" w:left="1080" w:header="708" w:footer="708"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18F930-A7F4-47E0-B09D-E77D290D8CE0}"/>
  </w:font>
  <w:font w:name="Cardo">
    <w:charset w:val="00"/>
    <w:family w:val="auto"/>
    <w:pitch w:val="default"/>
    <w:embedRegular r:id="rId2" w:fontKey="{5DA8F366-883F-476D-918B-BFF974A57CC8}"/>
  </w:font>
  <w:font w:name="Gungsuh">
    <w:charset w:val="81"/>
    <w:family w:val="roman"/>
    <w:pitch w:val="variable"/>
    <w:sig w:usb0="B00002AF" w:usb1="69D77CFB" w:usb2="00000030" w:usb3="00000000" w:csb0="0008009F" w:csb1="00000000"/>
    <w:embedRegular r:id="rId3" w:subsetted="1" w:fontKey="{C501A529-8B78-45E8-9B0E-3A1C1BFD14EF}"/>
  </w:font>
  <w:font w:name="Calibri">
    <w:panose1 w:val="020F0502020204030204"/>
    <w:charset w:val="00"/>
    <w:family w:val="swiss"/>
    <w:pitch w:val="variable"/>
    <w:sig w:usb0="E4002EFF" w:usb1="C000247B" w:usb2="00000009" w:usb3="00000000" w:csb0="000001FF" w:csb1="00000000"/>
    <w:embedRegular r:id="rId4" w:fontKey="{0373FD6F-D0EE-43F3-9D28-8CE4FAEB5070}"/>
  </w:font>
  <w:font w:name="Cambria">
    <w:panose1 w:val="02040503050406030204"/>
    <w:charset w:val="00"/>
    <w:family w:val="roman"/>
    <w:pitch w:val="variable"/>
    <w:sig w:usb0="E00006FF" w:usb1="420024FF" w:usb2="02000000" w:usb3="00000000" w:csb0="0000019F" w:csb1="00000000"/>
    <w:embedRegular r:id="rId5" w:fontKey="{F59E5265-51FB-4E11-B722-5E9A604B7F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F5DD7"/>
    <w:multiLevelType w:val="multilevel"/>
    <w:tmpl w:val="AC48D4CC"/>
    <w:lvl w:ilvl="0">
      <w:start w:val="1"/>
      <w:numFmt w:val="bullet"/>
      <w:lvlText w:val="•"/>
      <w:lvlJc w:val="left"/>
      <w:pPr>
        <w:ind w:left="504" w:hanging="288"/>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3380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7A8"/>
    <w:rsid w:val="000E47A8"/>
    <w:rsid w:val="006A5994"/>
    <w:rsid w:val="00A615F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44DD"/>
  <w15:docId w15:val="{09996E8C-7D23-47EC-B6EF-6970CA7EB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1809</Words>
  <Characters>10312</Characters>
  <Application>Microsoft Office Word</Application>
  <DocSecurity>0</DocSecurity>
  <Lines>85</Lines>
  <Paragraphs>24</Paragraphs>
  <ScaleCrop>false</ScaleCrop>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vivian mark</cp:lastModifiedBy>
  <cp:revision>2</cp:revision>
  <dcterms:created xsi:type="dcterms:W3CDTF">2026-09-30T12:21:00Z</dcterms:created>
  <dcterms:modified xsi:type="dcterms:W3CDTF">2026-09-30T12:28:00Z</dcterms:modified>
</cp:coreProperties>
</file>