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DIN Training and Hyperparameter Investigation</w:t>
      </w:r>
    </w:p>
    <w:p>
      <w:r>
        <w:rPr>
          <w:sz w:val="22"/>
        </w:rPr>
        <w:t>We trained Deep Interest Network (DIN) [Zhou et al., 2018] on Version A of the preprocessed dataset. The training process required three iterations of hyperparameter and feature-set adjustment to surface and remedy a within-train label-leakage issue inherent to certain aggregate features when paired with high-cardinality embeddings. This section documents the three runs, the diagnosis, and the resulting feature-set adjustment that we propagate to other deep CTR models in our experiments.</w:t>
      </w:r>
    </w:p>
    <w:p>
      <w:pPr>
        <w:pStyle w:val="Heading2"/>
      </w:pPr>
      <w:r>
        <w:t>5.1 Experimental Setup</w:t>
      </w:r>
    </w:p>
    <w:p>
      <w:r>
        <w:rPr>
          <w:sz w:val="22"/>
        </w:rPr>
        <w:t>All DIN runs share the following base configuration unless otherwise noted: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Component</w:t>
            </w:r>
          </w:p>
        </w:tc>
        <w:tc>
          <w:tcPr>
            <w:tcW w:type="dxa" w:w="4320"/>
          </w:tcPr>
          <w:p>
            <w:r/>
            <w:r>
              <w:rPr>
                <w:b/>
                <w:sz w:val="20"/>
              </w:rPr>
              <w:t>Value</w:t>
            </w:r>
          </w:p>
        </w:tc>
      </w:tr>
      <w:tr>
        <w:tc>
          <w:tcPr>
            <w:tcW w:type="dxa" w:w="4320"/>
          </w:tcPr>
          <w:p>
            <w:r/>
            <w:r>
              <w:rPr>
                <w:sz w:val="20"/>
              </w:rPr>
              <w:t>Implementation</w:t>
            </w:r>
          </w:p>
        </w:tc>
        <w:tc>
          <w:tcPr>
            <w:tcW w:type="dxa" w:w="4320"/>
          </w:tcPr>
          <w:p>
            <w:r/>
            <w:r>
              <w:rPr>
                <w:sz w:val="20"/>
              </w:rPr>
              <w:t>DeepCTR-Torch 0.3.0 with PyTorch 2.11</w:t>
            </w:r>
          </w:p>
        </w:tc>
      </w:tr>
      <w:tr>
        <w:tc>
          <w:tcPr>
            <w:tcW w:type="dxa" w:w="4320"/>
          </w:tcPr>
          <w:p>
            <w:r/>
            <w:r>
              <w:rPr>
                <w:sz w:val="20"/>
              </w:rPr>
              <w:t>Hardware</w:t>
            </w:r>
          </w:p>
        </w:tc>
        <w:tc>
          <w:tcPr>
            <w:tcW w:type="dxa" w:w="4320"/>
          </w:tcPr>
          <w:p>
            <w:r/>
            <w:r>
              <w:rPr>
                <w:sz w:val="20"/>
              </w:rPr>
              <w:t>Apple M4 Max, 48 GB RAM, MPS backend</w:t>
            </w:r>
          </w:p>
        </w:tc>
      </w:tr>
      <w:tr>
        <w:tc>
          <w:tcPr>
            <w:tcW w:type="dxa" w:w="4320"/>
          </w:tcPr>
          <w:p>
            <w:r/>
            <w:r>
              <w:rPr>
                <w:sz w:val="20"/>
              </w:rPr>
              <w:t>Dataset</w:t>
            </w:r>
          </w:p>
        </w:tc>
        <w:tc>
          <w:tcPr>
            <w:tcW w:type="dxa" w:w="4320"/>
          </w:tcPr>
          <w:p>
            <w:r/>
            <w:r>
              <w:rPr>
                <w:sz w:val="20"/>
              </w:rPr>
              <w:t>Version A: 20.4M train, 3.27M val, 2.85M test impressions</w:t>
            </w:r>
          </w:p>
        </w:tc>
      </w:tr>
      <w:tr>
        <w:tc>
          <w:tcPr>
            <w:tcW w:type="dxa" w:w="4320"/>
          </w:tcPr>
          <w:p>
            <w:r/>
            <w:r>
              <w:rPr>
                <w:sz w:val="20"/>
              </w:rPr>
              <w:t>Behavior sequence length K</w:t>
            </w:r>
          </w:p>
        </w:tc>
        <w:tc>
          <w:tcPr>
            <w:tcW w:type="dxa" w:w="4320"/>
          </w:tcPr>
          <w:p>
            <w:r/>
            <w:r>
              <w:rPr>
                <w:sz w:val="20"/>
              </w:rPr>
              <w:t>50</w:t>
            </w:r>
          </w:p>
        </w:tc>
      </w:tr>
      <w:tr>
        <w:tc>
          <w:tcPr>
            <w:tcW w:type="dxa" w:w="4320"/>
          </w:tcPr>
          <w:p>
            <w:r/>
            <w:r>
              <w:rPr>
                <w:sz w:val="20"/>
              </w:rPr>
              <w:t>DNN hidden units</w:t>
            </w:r>
          </w:p>
        </w:tc>
        <w:tc>
          <w:tcPr>
            <w:tcW w:type="dxa" w:w="4320"/>
          </w:tcPr>
          <w:p>
            <w:r/>
            <w:r>
              <w:rPr>
                <w:sz w:val="20"/>
              </w:rPr>
              <w:t>(256, 128)</w:t>
            </w:r>
          </w:p>
        </w:tc>
      </w:tr>
      <w:tr>
        <w:tc>
          <w:tcPr>
            <w:tcW w:type="dxa" w:w="4320"/>
          </w:tcPr>
          <w:p>
            <w:r/>
            <w:r>
              <w:rPr>
                <w:sz w:val="20"/>
              </w:rPr>
              <w:t>Dropout</w:t>
            </w:r>
          </w:p>
        </w:tc>
        <w:tc>
          <w:tcPr>
            <w:tcW w:type="dxa" w:w="4320"/>
          </w:tcPr>
          <w:p>
            <w:r/>
            <w:r>
              <w:rPr>
                <w:sz w:val="20"/>
              </w:rPr>
              <w:t>0.5</w:t>
            </w:r>
          </w:p>
        </w:tc>
      </w:tr>
      <w:tr>
        <w:tc>
          <w:tcPr>
            <w:tcW w:type="dxa" w:w="4320"/>
          </w:tcPr>
          <w:p>
            <w:r/>
            <w:r>
              <w:rPr>
                <w:sz w:val="20"/>
              </w:rPr>
              <w:t>Batch size</w:t>
            </w:r>
          </w:p>
        </w:tc>
        <w:tc>
          <w:tcPr>
            <w:tcW w:type="dxa" w:w="4320"/>
          </w:tcPr>
          <w:p>
            <w:r/>
            <w:r>
              <w:rPr>
                <w:sz w:val="20"/>
              </w:rPr>
              <w:t>4096</w:t>
            </w:r>
          </w:p>
        </w:tc>
      </w:tr>
      <w:tr>
        <w:tc>
          <w:tcPr>
            <w:tcW w:type="dxa" w:w="4320"/>
          </w:tcPr>
          <w:p>
            <w:r/>
            <w:r>
              <w:rPr>
                <w:sz w:val="20"/>
              </w:rPr>
              <w:t>Max epochs</w:t>
            </w:r>
          </w:p>
        </w:tc>
        <w:tc>
          <w:tcPr>
            <w:tcW w:type="dxa" w:w="4320"/>
          </w:tcPr>
          <w:p>
            <w:r/>
            <w:r>
              <w:rPr>
                <w:sz w:val="20"/>
              </w:rPr>
              <w:t>10</w:t>
            </w:r>
          </w:p>
        </w:tc>
      </w:tr>
      <w:tr>
        <w:tc>
          <w:tcPr>
            <w:tcW w:type="dxa" w:w="4320"/>
          </w:tcPr>
          <w:p>
            <w:r/>
            <w:r>
              <w:rPr>
                <w:sz w:val="20"/>
              </w:rPr>
              <w:t>Early stopping</w:t>
            </w:r>
          </w:p>
        </w:tc>
        <w:tc>
          <w:tcPr>
            <w:tcW w:type="dxa" w:w="4320"/>
          </w:tcPr>
          <w:p>
            <w:r/>
            <w:r>
              <w:rPr>
                <w:sz w:val="20"/>
              </w:rPr>
              <w:t>patience = 2 on val_auc (mode=max)</w:t>
            </w:r>
          </w:p>
        </w:tc>
      </w:tr>
      <w:tr>
        <w:tc>
          <w:tcPr>
            <w:tcW w:type="dxa" w:w="4320"/>
          </w:tcPr>
          <w:p>
            <w:r/>
            <w:r>
              <w:rPr>
                <w:sz w:val="20"/>
              </w:rPr>
              <w:t>Loss</w:t>
            </w:r>
          </w:p>
        </w:tc>
        <w:tc>
          <w:tcPr>
            <w:tcW w:type="dxa" w:w="4320"/>
          </w:tcPr>
          <w:p>
            <w:r/>
            <w:r>
              <w:rPr>
                <w:sz w:val="20"/>
              </w:rPr>
              <w:t>Binary cross-entropy</w:t>
            </w:r>
          </w:p>
        </w:tc>
      </w:tr>
      <w:tr>
        <w:tc>
          <w:tcPr>
            <w:tcW w:type="dxa" w:w="4320"/>
          </w:tcPr>
          <w:p>
            <w:r/>
            <w:r>
              <w:rPr>
                <w:sz w:val="20"/>
              </w:rPr>
              <w:t>Evaluation metrics</w:t>
            </w:r>
          </w:p>
        </w:tc>
        <w:tc>
          <w:tcPr>
            <w:tcW w:type="dxa" w:w="4320"/>
          </w:tcPr>
          <w:p>
            <w:r/>
            <w:r>
              <w:rPr>
                <w:sz w:val="20"/>
              </w:rPr>
              <w:t>AUC, Logloss</w:t>
            </w:r>
          </w:p>
        </w:tc>
      </w:tr>
    </w:tbl>
    <w:p>
      <w:r>
        <w:rPr>
          <w:sz w:val="22"/>
        </w:rPr>
        <w:t>All input arrays are cast to float32 prior to model ingestion. This is required because DeepCTR-Torch's internal np.concatenate over mixed sparse/dense feature arrays produces a float64 tensor, which the MPS backend does not support. Casting all arrays (including sparse integer IDs) to float32 yields a float32 concatenation that MPS handles natively; sparse IDs are subsequently cast to long inside DeepCTR-Torch's embedding lookup, with no precision loss because all our IDs lie within float32's 2^24 integer-precision range.</w:t>
      </w:r>
    </w:p>
    <w:p>
      <w:pPr>
        <w:pStyle w:val="Heading2"/>
      </w:pPr>
      <w:r>
        <w:t>5.2 Run 1: Baseline Configuration</w:t>
      </w:r>
    </w:p>
    <w:p>
      <w:r>
        <w:rPr>
          <w:sz w:val="22"/>
        </w:rPr>
        <w:t>The first run uses all 33 feature columns from Version A: 17 sparse categorical features, 15 dense numerical features (including impression-level CTR aggregates from section 4.9 and behavior-log aggregates from section 4.10), and the length-50 behavior sequence. Embedding dimension is 16; no explicit L2 regularization; Adam optimizer with default learning rate 1e-3.</w:t>
      </w:r>
    </w:p>
    <w:p>
      <w:r>
        <w:rPr>
          <w:sz w:val="22"/>
        </w:rPr>
        <w:t>Trainable parameters: 42,911,266. The high count is dominated by sparse-feature embedding tables, in particular user (1.14M x 16) and adgroup_id (847K x 16).</w:t>
      </w:r>
    </w:p>
    <w:p>
      <w:r>
        <w:rPr>
          <w:sz w:val="22"/>
        </w:rPr>
        <w:t>Training trajectory: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Epoch</w:t>
            </w:r>
          </w:p>
        </w:tc>
        <w:tc>
          <w:tcPr>
            <w:tcW w:type="dxa" w:w="1728"/>
          </w:tcPr>
          <w:p>
            <w:r/>
            <w:r>
              <w:rPr>
                <w:b/>
                <w:sz w:val="20"/>
              </w:rPr>
              <w:t>Train AUC</w:t>
            </w:r>
          </w:p>
        </w:tc>
        <w:tc>
          <w:tcPr>
            <w:tcW w:type="dxa" w:w="1728"/>
          </w:tcPr>
          <w:p>
            <w:r/>
            <w:r>
              <w:rPr>
                <w:b/>
                <w:sz w:val="20"/>
              </w:rPr>
              <w:t>Val AUC</w:t>
            </w:r>
          </w:p>
        </w:tc>
        <w:tc>
          <w:tcPr>
            <w:tcW w:type="dxa" w:w="1728"/>
          </w:tcPr>
          <w:p>
            <w:r/>
            <w:r>
              <w:rPr>
                <w:b/>
                <w:sz w:val="20"/>
              </w:rPr>
              <w:t>Train BCE</w:t>
            </w:r>
          </w:p>
        </w:tc>
        <w:tc>
          <w:tcPr>
            <w:tcW w:type="dxa" w:w="1728"/>
          </w:tcPr>
          <w:p>
            <w:r/>
            <w:r>
              <w:rPr>
                <w:b/>
                <w:sz w:val="20"/>
              </w:rPr>
              <w:t>Val BCE</w:t>
            </w:r>
          </w:p>
        </w:tc>
      </w:tr>
      <w:tr>
        <w:tc>
          <w:tcPr>
            <w:tcW w:type="dxa" w:w="1728"/>
          </w:tcPr>
          <w:p>
            <w:r/>
            <w:r>
              <w:rPr>
                <w:sz w:val="20"/>
              </w:rPr>
              <w:t>1</w:t>
            </w:r>
          </w:p>
        </w:tc>
        <w:tc>
          <w:tcPr>
            <w:tcW w:type="dxa" w:w="1728"/>
          </w:tcPr>
          <w:p>
            <w:r/>
            <w:r>
              <w:rPr>
                <w:sz w:val="20"/>
              </w:rPr>
              <w:t>0.6526</w:t>
            </w:r>
          </w:p>
        </w:tc>
        <w:tc>
          <w:tcPr>
            <w:tcW w:type="dxa" w:w="1728"/>
          </w:tcPr>
          <w:p>
            <w:r/>
            <w:r>
              <w:rPr>
                <w:sz w:val="20"/>
              </w:rPr>
              <w:t>0.6083</w:t>
            </w:r>
          </w:p>
        </w:tc>
        <w:tc>
          <w:tcPr>
            <w:tcW w:type="dxa" w:w="1728"/>
          </w:tcPr>
          <w:p>
            <w:r/>
            <w:r>
              <w:rPr>
                <w:sz w:val="20"/>
              </w:rPr>
              <w:t>0.1983</w:t>
            </w:r>
          </w:p>
        </w:tc>
        <w:tc>
          <w:tcPr>
            <w:tcW w:type="dxa" w:w="1728"/>
          </w:tcPr>
          <w:p>
            <w:r/>
            <w:r>
              <w:rPr>
                <w:sz w:val="20"/>
              </w:rPr>
              <w:t>0.1961</w:t>
            </w:r>
          </w:p>
        </w:tc>
      </w:tr>
      <w:tr>
        <w:tc>
          <w:tcPr>
            <w:tcW w:type="dxa" w:w="1728"/>
          </w:tcPr>
          <w:p>
            <w:r/>
            <w:r>
              <w:rPr>
                <w:sz w:val="20"/>
              </w:rPr>
              <w:t>2</w:t>
            </w:r>
          </w:p>
        </w:tc>
        <w:tc>
          <w:tcPr>
            <w:tcW w:type="dxa" w:w="1728"/>
          </w:tcPr>
          <w:p>
            <w:r/>
            <w:r>
              <w:rPr>
                <w:sz w:val="20"/>
              </w:rPr>
              <w:t>0.8802</w:t>
            </w:r>
          </w:p>
        </w:tc>
        <w:tc>
          <w:tcPr>
            <w:tcW w:type="dxa" w:w="1728"/>
          </w:tcPr>
          <w:p>
            <w:r/>
            <w:r>
              <w:rPr>
                <w:sz w:val="20"/>
              </w:rPr>
              <w:t>0.5830</w:t>
            </w:r>
          </w:p>
        </w:tc>
        <w:tc>
          <w:tcPr>
            <w:tcW w:type="dxa" w:w="1728"/>
          </w:tcPr>
          <w:p>
            <w:r/>
            <w:r>
              <w:rPr>
                <w:sz w:val="20"/>
              </w:rPr>
              <w:t>0.1485</w:t>
            </w:r>
          </w:p>
        </w:tc>
        <w:tc>
          <w:tcPr>
            <w:tcW w:type="dxa" w:w="1728"/>
          </w:tcPr>
          <w:p>
            <w:r/>
            <w:r>
              <w:rPr>
                <w:sz w:val="20"/>
              </w:rPr>
              <w:t>0.3227</w:t>
            </w:r>
          </w:p>
        </w:tc>
      </w:tr>
      <w:tr>
        <w:tc>
          <w:tcPr>
            <w:tcW w:type="dxa" w:w="1728"/>
          </w:tcPr>
          <w:p>
            <w:r/>
            <w:r>
              <w:rPr>
                <w:sz w:val="20"/>
              </w:rPr>
              <w:t>3</w:t>
            </w:r>
          </w:p>
        </w:tc>
        <w:tc>
          <w:tcPr>
            <w:tcW w:type="dxa" w:w="1728"/>
          </w:tcPr>
          <w:p>
            <w:r/>
            <w:r>
              <w:rPr>
                <w:sz w:val="20"/>
              </w:rPr>
              <w:t>0.9190</w:t>
            </w:r>
          </w:p>
        </w:tc>
        <w:tc>
          <w:tcPr>
            <w:tcW w:type="dxa" w:w="1728"/>
          </w:tcPr>
          <w:p>
            <w:r/>
            <w:r>
              <w:rPr>
                <w:sz w:val="20"/>
              </w:rPr>
              <w:t>0.5598</w:t>
            </w:r>
          </w:p>
        </w:tc>
        <w:tc>
          <w:tcPr>
            <w:tcW w:type="dxa" w:w="1728"/>
          </w:tcPr>
          <w:p>
            <w:r/>
            <w:r>
              <w:rPr>
                <w:sz w:val="20"/>
              </w:rPr>
              <w:t>0.1307</w:t>
            </w:r>
          </w:p>
        </w:tc>
        <w:tc>
          <w:tcPr>
            <w:tcW w:type="dxa" w:w="1728"/>
          </w:tcPr>
          <w:p>
            <w:r/>
            <w:r>
              <w:rPr>
                <w:sz w:val="20"/>
              </w:rPr>
              <w:t>0.3374</w:t>
            </w:r>
          </w:p>
        </w:tc>
      </w:tr>
    </w:tbl>
    <w:p>
      <w:r>
        <w:rPr>
          <w:sz w:val="22"/>
        </w:rPr>
        <w:t>Early stopping triggered after epoch 3 (val_auc unchanged from epoch-1 best of 0.6083). Test AUC at the saved best checkpoint: 0.6003. Logloss: 0.2003. Total training time: 15.4 min.</w:t>
      </w:r>
    </w:p>
    <w:p>
      <w:r>
        <w:rPr>
          <w:sz w:val="22"/>
        </w:rPr>
        <w:t>Observation: rapid divergence between train and val AUC from epoch 2 onward. By epoch 3, the train-val AUC gap exceeds 0.36, indicating severe overfitting. This pattern is unusual for a model of this size on 20M training samples and motivated the second run.</w:t>
      </w:r>
    </w:p>
    <w:p>
      <w:pPr>
        <w:pStyle w:val="Heading2"/>
      </w:pPr>
      <w:r>
        <w:t>5.3 Run 2: Capacity Reduction and Regularization</w:t>
      </w:r>
    </w:p>
    <w:p>
      <w:r>
        <w:rPr>
          <w:sz w:val="22"/>
        </w:rPr>
        <w:t>Hypothesis: the 42.9M-parameter model overfits because its capacity exceeds what 20M samples can constrain, despite dropout. We applied three changes simultaneously to reduce capacity and increase implicit/explicit regularization:</w:t>
      </w:r>
    </w:p>
    <w:p>
      <w:pPr>
        <w:pStyle w:val="ListBullet"/>
      </w:pPr>
      <w:r>
        <w:rPr>
          <w:sz w:val="22"/>
        </w:rPr>
        <w:t>Embedding dimension: 16 -&gt; 8 (halves the dominant parameter count to 21.5M)</w:t>
      </w:r>
    </w:p>
    <w:p>
      <w:pPr>
        <w:pStyle w:val="ListBullet"/>
      </w:pPr>
      <w:r>
        <w:rPr>
          <w:sz w:val="22"/>
        </w:rPr>
        <w:t>L2 regularization: l2_reg_embedding = l2_reg_dnn = 1e-4 (was 0)</w:t>
      </w:r>
    </w:p>
    <w:p>
      <w:pPr>
        <w:pStyle w:val="ListBullet"/>
      </w:pPr>
      <w:r>
        <w:rPr>
          <w:sz w:val="22"/>
        </w:rPr>
        <w:t>Learning rate: 1e-3 -&gt; 5e-4 (slower convergence, less aggressive embedding updates)</w:t>
      </w:r>
    </w:p>
    <w:p>
      <w:r>
        <w:rPr>
          <w:sz w:val="22"/>
        </w:rPr>
        <w:t>Training trajectory: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Epoch</w:t>
            </w:r>
          </w:p>
        </w:tc>
        <w:tc>
          <w:tcPr>
            <w:tcW w:type="dxa" w:w="1728"/>
          </w:tcPr>
          <w:p>
            <w:r/>
            <w:r>
              <w:rPr>
                <w:b/>
                <w:sz w:val="20"/>
              </w:rPr>
              <w:t>Train AUC</w:t>
            </w:r>
          </w:p>
        </w:tc>
        <w:tc>
          <w:tcPr>
            <w:tcW w:type="dxa" w:w="1728"/>
          </w:tcPr>
          <w:p>
            <w:r/>
            <w:r>
              <w:rPr>
                <w:b/>
                <w:sz w:val="20"/>
              </w:rPr>
              <w:t>Val AUC</w:t>
            </w:r>
          </w:p>
        </w:tc>
        <w:tc>
          <w:tcPr>
            <w:tcW w:type="dxa" w:w="1728"/>
          </w:tcPr>
          <w:p>
            <w:r/>
            <w:r>
              <w:rPr>
                <w:b/>
                <w:sz w:val="20"/>
              </w:rPr>
              <w:t>Train BCE</w:t>
            </w:r>
          </w:p>
        </w:tc>
        <w:tc>
          <w:tcPr>
            <w:tcW w:type="dxa" w:w="1728"/>
          </w:tcPr>
          <w:p>
            <w:r/>
            <w:r>
              <w:rPr>
                <w:b/>
                <w:sz w:val="20"/>
              </w:rPr>
              <w:t>Val BCE</w:t>
            </w:r>
          </w:p>
        </w:tc>
      </w:tr>
      <w:tr>
        <w:tc>
          <w:tcPr>
            <w:tcW w:type="dxa" w:w="1728"/>
          </w:tcPr>
          <w:p>
            <w:r/>
            <w:r>
              <w:rPr>
                <w:sz w:val="20"/>
              </w:rPr>
              <w:t>1</w:t>
            </w:r>
          </w:p>
        </w:tc>
        <w:tc>
          <w:tcPr>
            <w:tcW w:type="dxa" w:w="1728"/>
          </w:tcPr>
          <w:p>
            <w:r/>
            <w:r>
              <w:rPr>
                <w:sz w:val="20"/>
              </w:rPr>
              <w:t>0.6741</w:t>
            </w:r>
          </w:p>
        </w:tc>
        <w:tc>
          <w:tcPr>
            <w:tcW w:type="dxa" w:w="1728"/>
          </w:tcPr>
          <w:p>
            <w:r/>
            <w:r>
              <w:rPr>
                <w:sz w:val="20"/>
              </w:rPr>
              <w:t>0.5992</w:t>
            </w:r>
          </w:p>
        </w:tc>
        <w:tc>
          <w:tcPr>
            <w:tcW w:type="dxa" w:w="1728"/>
          </w:tcPr>
          <w:p>
            <w:r/>
            <w:r>
              <w:rPr>
                <w:sz w:val="20"/>
              </w:rPr>
              <w:t>0.1951</w:t>
            </w:r>
          </w:p>
        </w:tc>
        <w:tc>
          <w:tcPr>
            <w:tcW w:type="dxa" w:w="1728"/>
          </w:tcPr>
          <w:p>
            <w:r/>
            <w:r>
              <w:rPr>
                <w:sz w:val="20"/>
              </w:rPr>
              <w:t>0.2062</w:t>
            </w:r>
          </w:p>
        </w:tc>
      </w:tr>
      <w:tr>
        <w:tc>
          <w:tcPr>
            <w:tcW w:type="dxa" w:w="1728"/>
          </w:tcPr>
          <w:p>
            <w:r/>
            <w:r>
              <w:rPr>
                <w:sz w:val="20"/>
              </w:rPr>
              <w:t>2</w:t>
            </w:r>
          </w:p>
        </w:tc>
        <w:tc>
          <w:tcPr>
            <w:tcW w:type="dxa" w:w="1728"/>
          </w:tcPr>
          <w:p>
            <w:r/>
            <w:r>
              <w:rPr>
                <w:sz w:val="20"/>
              </w:rPr>
              <w:t>0.8991</w:t>
            </w:r>
          </w:p>
        </w:tc>
        <w:tc>
          <w:tcPr>
            <w:tcW w:type="dxa" w:w="1728"/>
          </w:tcPr>
          <w:p>
            <w:r/>
            <w:r>
              <w:rPr>
                <w:sz w:val="20"/>
              </w:rPr>
              <w:t>0.5438</w:t>
            </w:r>
          </w:p>
        </w:tc>
        <w:tc>
          <w:tcPr>
            <w:tcW w:type="dxa" w:w="1728"/>
          </w:tcPr>
          <w:p>
            <w:r/>
            <w:r>
              <w:rPr>
                <w:sz w:val="20"/>
              </w:rPr>
              <w:t>0.1410</w:t>
            </w:r>
          </w:p>
        </w:tc>
        <w:tc>
          <w:tcPr>
            <w:tcW w:type="dxa" w:w="1728"/>
          </w:tcPr>
          <w:p>
            <w:r/>
            <w:r>
              <w:rPr>
                <w:sz w:val="20"/>
              </w:rPr>
              <w:t>0.3456</w:t>
            </w:r>
          </w:p>
        </w:tc>
      </w:tr>
      <w:tr>
        <w:tc>
          <w:tcPr>
            <w:tcW w:type="dxa" w:w="1728"/>
          </w:tcPr>
          <w:p>
            <w:r/>
            <w:r>
              <w:rPr>
                <w:sz w:val="20"/>
              </w:rPr>
              <w:t>3</w:t>
            </w:r>
          </w:p>
        </w:tc>
        <w:tc>
          <w:tcPr>
            <w:tcW w:type="dxa" w:w="1728"/>
          </w:tcPr>
          <w:p>
            <w:r/>
            <w:r>
              <w:rPr>
                <w:sz w:val="20"/>
              </w:rPr>
              <w:t>0.9224</w:t>
            </w:r>
          </w:p>
        </w:tc>
        <w:tc>
          <w:tcPr>
            <w:tcW w:type="dxa" w:w="1728"/>
          </w:tcPr>
          <w:p>
            <w:r/>
            <w:r>
              <w:rPr>
                <w:sz w:val="20"/>
              </w:rPr>
              <w:t>0.5560</w:t>
            </w:r>
          </w:p>
        </w:tc>
        <w:tc>
          <w:tcPr>
            <w:tcW w:type="dxa" w:w="1728"/>
          </w:tcPr>
          <w:p>
            <w:r/>
            <w:r>
              <w:rPr>
                <w:sz w:val="20"/>
              </w:rPr>
              <w:t>0.1289</w:t>
            </w:r>
          </w:p>
        </w:tc>
        <w:tc>
          <w:tcPr>
            <w:tcW w:type="dxa" w:w="1728"/>
          </w:tcPr>
          <w:p>
            <w:r/>
            <w:r>
              <w:rPr>
                <w:sz w:val="20"/>
              </w:rPr>
              <w:t>0.3326</w:t>
            </w:r>
          </w:p>
        </w:tc>
      </w:tr>
    </w:tbl>
    <w:p>
      <w:r>
        <w:rPr>
          <w:sz w:val="22"/>
        </w:rPr>
        <w:t>Test AUC: 0.5923. Logloss: 0.2100. Slightly worse than Run 1 across all metrics.</w:t>
      </w:r>
    </w:p>
    <w:p>
      <w:r>
        <w:rPr>
          <w:sz w:val="22"/>
        </w:rPr>
        <w:t>Observation: the train-val divergence pattern is preserved despite halving the parameter count and adding L2 regularization. This refutes the capacity-overfit hypothesis: capacity is not the bottleneck. A more fundamental issue must be at play.</w:t>
      </w:r>
    </w:p>
    <w:p>
      <w:pPr>
        <w:pStyle w:val="Heading2"/>
      </w:pPr>
      <w:r>
        <w:t>5.4 Diagnosis: Within-Train Label Leakage from CTR Aggregates</w:t>
      </w:r>
    </w:p>
    <w:p>
      <w:r>
        <w:rPr>
          <w:sz w:val="22"/>
        </w:rPr>
        <w:t>Inspection of the feature set identified four columns as the likely culprits: user_ctr, ad_ctr, cate_ctr, and user_cate_ctr. These were defined in section 4.9 as the empirical mean of the click label clk over the training partition, grouped by their respective key.</w:t>
      </w:r>
    </w:p>
    <w:p>
      <w:r>
        <w:rPr>
          <w:sz w:val="22"/>
        </w:rPr>
        <w:t>The leakage mechanism is as follows. Consider user u with five training impressions and clicks {1, 1, 0, 1, 0}, so user_ctr_u = 0.6. By construction, all five training rows of u carry the same value 0.6 in the user_ctr column. The label is information-theoretically present in this constant: it is the empirical mean of the labels we are trying to predict.</w:t>
      </w:r>
    </w:p>
    <w:p>
      <w:r>
        <w:rPr>
          <w:sz w:val="22"/>
        </w:rPr>
        <w:t>A linear model cannot exploit this leakage to predict individual labels because its prediction for u is w * 0.6 + ..., which produces the same output for all five rows. A tree-based model is similarly limited: a split on user_ctr cannot separate u's rows because they share the value. However, an embedding-based deep model with a per-user embedding (1.14M x 16 = 18.3M parameters in our DIN) can encode an additive interaction between user_embedding[u] and user_ctr_u that is unique to u, allowing the model to learn an effective shortcut:</w:t>
      </w:r>
    </w:p>
    <w:p>
      <w:r>
        <w:rPr>
          <w:rFonts w:ascii="Courier New" w:hAnsi="Courier New"/>
          <w:sz w:val="20"/>
        </w:rPr>
        <w:t>P(click | user = u, user_ctr_u, ...)  ~=  user_ctr_u</w:t>
      </w:r>
    </w:p>
    <w:p>
      <w:r>
        <w:rPr>
          <w:sz w:val="22"/>
        </w:rPr>
        <w:t>On training data, this shortcut achieves near-perfect per-user calibration: the model essentially memorizes each user's empirical CTR. Train AUC can exceed 0.9. On validation and test data, the user_ctr value for u is the same training-partition lookup, so the feature remains meaningful but its relationship with the held-out label is far weaker than its in-training relationship. Hence the catastrophic train-val gap.</w:t>
      </w:r>
    </w:p>
    <w:p>
      <w:r>
        <w:rPr>
          <w:sz w:val="22"/>
        </w:rPr>
        <w:t>Critically, this leakage is asymmetric across model architectures. Tree-based and linear baselines tolerate the same feature without observable overfitting because they cannot represent the per-user interaction that converts a constant feature into a label proxy. The leakage is exploited only when high-cardinality embedding capacity meets a constant-per-entity feature derived from the label.</w:t>
      </w:r>
    </w:p>
    <w:p>
      <w:pPr>
        <w:pStyle w:val="Heading2"/>
      </w:pPr>
      <w:r>
        <w:t>5.5 Run 3: Excluding CTR Aggregates</w:t>
      </w:r>
    </w:p>
    <w:p>
      <w:r>
        <w:rPr>
          <w:sz w:val="22"/>
        </w:rPr>
        <w:t>Based on the diagnosis, we excluded user_ctr, ad_ctr, cate_ctr, and user_cate_ctr from DIN's feature set. The remaining 11 dense features comprise price, log_price, the count features (user_imp_count, ad_imp_count), and the behavior-log aggregates (user_total_*, user_buy_rate). Hyperparameters were restored to the Run 1 baseline (EMBED_DIM = 16, lr = 1e-3, no L2 regularization), so that improvement can be attributed solely to the feature change.</w:t>
      </w:r>
    </w:p>
    <w:p>
      <w:r>
        <w:rPr>
          <w:sz w:val="22"/>
        </w:rPr>
        <w:t>Training trajectory: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Epoch</w:t>
            </w:r>
          </w:p>
        </w:tc>
        <w:tc>
          <w:tcPr>
            <w:tcW w:type="dxa" w:w="1728"/>
          </w:tcPr>
          <w:p>
            <w:r/>
            <w:r>
              <w:rPr>
                <w:b/>
                <w:sz w:val="20"/>
              </w:rPr>
              <w:t>Train AUC</w:t>
            </w:r>
          </w:p>
        </w:tc>
        <w:tc>
          <w:tcPr>
            <w:tcW w:type="dxa" w:w="1728"/>
          </w:tcPr>
          <w:p>
            <w:r/>
            <w:r>
              <w:rPr>
                <w:b/>
                <w:sz w:val="20"/>
              </w:rPr>
              <w:t>Val AUC</w:t>
            </w:r>
          </w:p>
        </w:tc>
        <w:tc>
          <w:tcPr>
            <w:tcW w:type="dxa" w:w="1728"/>
          </w:tcPr>
          <w:p>
            <w:r/>
            <w:r>
              <w:rPr>
                <w:b/>
                <w:sz w:val="20"/>
              </w:rPr>
              <w:t>Train BCE</w:t>
            </w:r>
          </w:p>
        </w:tc>
        <w:tc>
          <w:tcPr>
            <w:tcW w:type="dxa" w:w="1728"/>
          </w:tcPr>
          <w:p>
            <w:r/>
            <w:r>
              <w:rPr>
                <w:b/>
                <w:sz w:val="20"/>
              </w:rPr>
              <w:t>Val BCE</w:t>
            </w:r>
          </w:p>
        </w:tc>
      </w:tr>
      <w:tr>
        <w:tc>
          <w:tcPr>
            <w:tcW w:type="dxa" w:w="1728"/>
          </w:tcPr>
          <w:p>
            <w:r/>
            <w:r>
              <w:rPr>
                <w:sz w:val="20"/>
              </w:rPr>
              <w:t>1</w:t>
            </w:r>
          </w:p>
        </w:tc>
        <w:tc>
          <w:tcPr>
            <w:tcW w:type="dxa" w:w="1728"/>
          </w:tcPr>
          <w:p>
            <w:r/>
            <w:r>
              <w:rPr>
                <w:sz w:val="20"/>
              </w:rPr>
              <w:t>0.6084</w:t>
            </w:r>
          </w:p>
        </w:tc>
        <w:tc>
          <w:tcPr>
            <w:tcW w:type="dxa" w:w="1728"/>
          </w:tcPr>
          <w:p>
            <w:r/>
            <w:r>
              <w:rPr>
                <w:sz w:val="20"/>
              </w:rPr>
              <w:t>0.6327</w:t>
            </w:r>
          </w:p>
        </w:tc>
        <w:tc>
          <w:tcPr>
            <w:tcW w:type="dxa" w:w="1728"/>
          </w:tcPr>
          <w:p>
            <w:r/>
            <w:r>
              <w:rPr>
                <w:sz w:val="20"/>
              </w:rPr>
              <w:t>0.2034</w:t>
            </w:r>
          </w:p>
        </w:tc>
        <w:tc>
          <w:tcPr>
            <w:tcW w:type="dxa" w:w="1728"/>
          </w:tcPr>
          <w:p>
            <w:r/>
            <w:r>
              <w:rPr>
                <w:sz w:val="20"/>
              </w:rPr>
              <w:t>0.1918</w:t>
            </w:r>
          </w:p>
        </w:tc>
      </w:tr>
      <w:tr>
        <w:tc>
          <w:tcPr>
            <w:tcW w:type="dxa" w:w="1728"/>
          </w:tcPr>
          <w:p>
            <w:r/>
            <w:r>
              <w:rPr>
                <w:sz w:val="20"/>
              </w:rPr>
              <w:t>2</w:t>
            </w:r>
          </w:p>
        </w:tc>
        <w:tc>
          <w:tcPr>
            <w:tcW w:type="dxa" w:w="1728"/>
          </w:tcPr>
          <w:p>
            <w:r/>
            <w:r>
              <w:rPr>
                <w:sz w:val="20"/>
              </w:rPr>
              <w:t>0.7889</w:t>
            </w:r>
          </w:p>
        </w:tc>
        <w:tc>
          <w:tcPr>
            <w:tcW w:type="dxa" w:w="1728"/>
          </w:tcPr>
          <w:p>
            <w:r/>
            <w:r>
              <w:rPr>
                <w:sz w:val="20"/>
              </w:rPr>
              <w:t>0.5889</w:t>
            </w:r>
          </w:p>
        </w:tc>
        <w:tc>
          <w:tcPr>
            <w:tcW w:type="dxa" w:w="1728"/>
          </w:tcPr>
          <w:p>
            <w:r/>
            <w:r>
              <w:rPr>
                <w:sz w:val="20"/>
              </w:rPr>
              <w:t>0.1752</w:t>
            </w:r>
          </w:p>
        </w:tc>
        <w:tc>
          <w:tcPr>
            <w:tcW w:type="dxa" w:w="1728"/>
          </w:tcPr>
          <w:p>
            <w:r/>
            <w:r>
              <w:rPr>
                <w:sz w:val="20"/>
              </w:rPr>
              <w:t>0.2432</w:t>
            </w:r>
          </w:p>
        </w:tc>
      </w:tr>
      <w:tr>
        <w:tc>
          <w:tcPr>
            <w:tcW w:type="dxa" w:w="1728"/>
          </w:tcPr>
          <w:p>
            <w:r/>
            <w:r>
              <w:rPr>
                <w:sz w:val="20"/>
              </w:rPr>
              <w:t>3</w:t>
            </w:r>
          </w:p>
        </w:tc>
        <w:tc>
          <w:tcPr>
            <w:tcW w:type="dxa" w:w="1728"/>
          </w:tcPr>
          <w:p>
            <w:r/>
            <w:r>
              <w:rPr>
                <w:sz w:val="20"/>
              </w:rPr>
              <w:t>0.8268</w:t>
            </w:r>
          </w:p>
        </w:tc>
        <w:tc>
          <w:tcPr>
            <w:tcW w:type="dxa" w:w="1728"/>
          </w:tcPr>
          <w:p>
            <w:r/>
            <w:r>
              <w:rPr>
                <w:sz w:val="20"/>
              </w:rPr>
              <w:t>0.6068</w:t>
            </w:r>
          </w:p>
        </w:tc>
        <w:tc>
          <w:tcPr>
            <w:tcW w:type="dxa" w:w="1728"/>
          </w:tcPr>
          <w:p>
            <w:r/>
            <w:r>
              <w:rPr>
                <w:sz w:val="20"/>
              </w:rPr>
              <w:t>0.1645</w:t>
            </w:r>
          </w:p>
        </w:tc>
        <w:tc>
          <w:tcPr>
            <w:tcW w:type="dxa" w:w="1728"/>
          </w:tcPr>
          <w:p>
            <w:r/>
            <w:r>
              <w:rPr>
                <w:sz w:val="20"/>
              </w:rPr>
              <w:t>0.2562</w:t>
            </w:r>
          </w:p>
        </w:tc>
      </w:tr>
    </w:tbl>
    <w:p>
      <w:r>
        <w:rPr>
          <w:sz w:val="22"/>
        </w:rPr>
        <w:t>Test AUC: 0.6240. Logloss: 0.1956. Total training time: 18.6 min.</w:t>
      </w:r>
    </w:p>
    <w:p>
      <w:r>
        <w:rPr>
          <w:sz w:val="22"/>
        </w:rPr>
        <w:t>Observation: removing the leaky features improves test AUC by 0.024 over Run 1, validating the diagnosis. The train-val AUC gap at epoch 3 is approximately 0.22, materially smaller than Run 1's 0.36. This residual gap is consistent with ordinary high-cardinality embedding overfitting and is not pathological.</w:t>
      </w:r>
    </w:p>
    <w:p>
      <w:r>
        <w:rPr>
          <w:sz w:val="22"/>
        </w:rPr>
        <w:t>We also note that val AUC at epoch 1 (0.6327) exceeds train AUC at the same epoch (0.6084). This inversion is normal: train metrics are computed in mini-batch streaming during the epoch (early batches reflect under-trained weights), whereas val metrics are computed on the full validation set after the epoch completes. The inversion is not evidence of leakage in the opposite direction.</w:t>
      </w:r>
    </w:p>
    <w:p>
      <w:pPr>
        <w:pStyle w:val="Heading2"/>
      </w:pPr>
      <w:r>
        <w:t>5.6 Final DIN Configuration</w:t>
      </w:r>
    </w:p>
    <w:p>
      <w:r>
        <w:rPr>
          <w:sz w:val="22"/>
        </w:rPr>
        <w:t>We adopt Run 3 as our DIN 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Hyperparameter</w:t>
            </w:r>
          </w:p>
        </w:tc>
        <w:tc>
          <w:tcPr>
            <w:tcW w:type="dxa" w:w="4320"/>
          </w:tcPr>
          <w:p>
            <w:r/>
            <w:r>
              <w:rPr>
                <w:b/>
                <w:sz w:val="20"/>
              </w:rPr>
              <w:t>Value</w:t>
            </w:r>
          </w:p>
        </w:tc>
      </w:tr>
      <w:tr>
        <w:tc>
          <w:tcPr>
            <w:tcW w:type="dxa" w:w="4320"/>
          </w:tcPr>
          <w:p>
            <w:r/>
            <w:r>
              <w:rPr>
                <w:sz w:val="20"/>
              </w:rPr>
              <w:t>Embedding dim</w:t>
            </w:r>
          </w:p>
        </w:tc>
        <w:tc>
          <w:tcPr>
            <w:tcW w:type="dxa" w:w="4320"/>
          </w:tcPr>
          <w:p>
            <w:r/>
            <w:r>
              <w:rPr>
                <w:sz w:val="20"/>
              </w:rPr>
              <w:t>16</w:t>
            </w:r>
          </w:p>
        </w:tc>
      </w:tr>
      <w:tr>
        <w:tc>
          <w:tcPr>
            <w:tcW w:type="dxa" w:w="4320"/>
          </w:tcPr>
          <w:p>
            <w:r/>
            <w:r>
              <w:rPr>
                <w:sz w:val="20"/>
              </w:rPr>
              <w:t>DNN hidden units</w:t>
            </w:r>
          </w:p>
        </w:tc>
        <w:tc>
          <w:tcPr>
            <w:tcW w:type="dxa" w:w="4320"/>
          </w:tcPr>
          <w:p>
            <w:r/>
            <w:r>
              <w:rPr>
                <w:sz w:val="20"/>
              </w:rPr>
              <w:t>(256, 128)</w:t>
            </w:r>
          </w:p>
        </w:tc>
      </w:tr>
      <w:tr>
        <w:tc>
          <w:tcPr>
            <w:tcW w:type="dxa" w:w="4320"/>
          </w:tcPr>
          <w:p>
            <w:r/>
            <w:r>
              <w:rPr>
                <w:sz w:val="20"/>
              </w:rPr>
              <w:t>DNN dropout</w:t>
            </w:r>
          </w:p>
        </w:tc>
        <w:tc>
          <w:tcPr>
            <w:tcW w:type="dxa" w:w="4320"/>
          </w:tcPr>
          <w:p>
            <w:r/>
            <w:r>
              <w:rPr>
                <w:sz w:val="20"/>
              </w:rPr>
              <w:t>0.5</w:t>
            </w:r>
          </w:p>
        </w:tc>
      </w:tr>
      <w:tr>
        <w:tc>
          <w:tcPr>
            <w:tcW w:type="dxa" w:w="4320"/>
          </w:tcPr>
          <w:p>
            <w:r/>
            <w:r>
              <w:rPr>
                <w:sz w:val="20"/>
              </w:rPr>
              <w:t>L2 regularization</w:t>
            </w:r>
          </w:p>
        </w:tc>
        <w:tc>
          <w:tcPr>
            <w:tcW w:type="dxa" w:w="4320"/>
          </w:tcPr>
          <w:p>
            <w:r/>
            <w:r>
              <w:rPr>
                <w:sz w:val="20"/>
              </w:rPr>
              <w:t>0 (none)</w:t>
            </w:r>
          </w:p>
        </w:tc>
      </w:tr>
      <w:tr>
        <w:tc>
          <w:tcPr>
            <w:tcW w:type="dxa" w:w="4320"/>
          </w:tcPr>
          <w:p>
            <w:r/>
            <w:r>
              <w:rPr>
                <w:sz w:val="20"/>
              </w:rPr>
              <w:t>Sequence length K</w:t>
            </w:r>
          </w:p>
        </w:tc>
        <w:tc>
          <w:tcPr>
            <w:tcW w:type="dxa" w:w="4320"/>
          </w:tcPr>
          <w:p>
            <w:r/>
            <w:r>
              <w:rPr>
                <w:sz w:val="20"/>
              </w:rPr>
              <w:t>50</w:t>
            </w:r>
          </w:p>
        </w:tc>
      </w:tr>
      <w:tr>
        <w:tc>
          <w:tcPr>
            <w:tcW w:type="dxa" w:w="4320"/>
          </w:tcPr>
          <w:p>
            <w:r/>
            <w:r>
              <w:rPr>
                <w:sz w:val="20"/>
              </w:rPr>
              <w:t>Batch size</w:t>
            </w:r>
          </w:p>
        </w:tc>
        <w:tc>
          <w:tcPr>
            <w:tcW w:type="dxa" w:w="4320"/>
          </w:tcPr>
          <w:p>
            <w:r/>
            <w:r>
              <w:rPr>
                <w:sz w:val="20"/>
              </w:rPr>
              <w:t>4096</w:t>
            </w:r>
          </w:p>
        </w:tc>
      </w:tr>
      <w:tr>
        <w:tc>
          <w:tcPr>
            <w:tcW w:type="dxa" w:w="4320"/>
          </w:tcPr>
          <w:p>
            <w:r/>
            <w:r>
              <w:rPr>
                <w:sz w:val="20"/>
              </w:rPr>
              <w:t>Optimizer</w:t>
            </w:r>
          </w:p>
        </w:tc>
        <w:tc>
          <w:tcPr>
            <w:tcW w:type="dxa" w:w="4320"/>
          </w:tcPr>
          <w:p>
            <w:r/>
            <w:r>
              <w:rPr>
                <w:sz w:val="20"/>
              </w:rPr>
              <w:t>Adam, lr = 1e-3</w:t>
            </w:r>
          </w:p>
        </w:tc>
      </w:tr>
      <w:tr>
        <w:tc>
          <w:tcPr>
            <w:tcW w:type="dxa" w:w="4320"/>
          </w:tcPr>
          <w:p>
            <w:r/>
            <w:r>
              <w:rPr>
                <w:sz w:val="20"/>
              </w:rPr>
              <w:t>Early stopping</w:t>
            </w:r>
          </w:p>
        </w:tc>
        <w:tc>
          <w:tcPr>
            <w:tcW w:type="dxa" w:w="4320"/>
          </w:tcPr>
          <w:p>
            <w:r/>
            <w:r>
              <w:rPr>
                <w:sz w:val="20"/>
              </w:rPr>
              <w:t>patience = 2 on val_auc</w:t>
            </w:r>
          </w:p>
        </w:tc>
      </w:tr>
      <w:tr>
        <w:tc>
          <w:tcPr>
            <w:tcW w:type="dxa" w:w="4320"/>
          </w:tcPr>
          <w:p>
            <w:r/>
            <w:r>
              <w:rPr>
                <w:sz w:val="20"/>
              </w:rPr>
              <w:t>Best epoch</w:t>
            </w:r>
          </w:p>
        </w:tc>
        <w:tc>
          <w:tcPr>
            <w:tcW w:type="dxa" w:w="4320"/>
          </w:tcPr>
          <w:p>
            <w:r/>
            <w:r>
              <w:rPr>
                <w:sz w:val="20"/>
              </w:rPr>
              <w:t>1 (out of 3 trained before early stopping)</w:t>
            </w:r>
          </w:p>
        </w:tc>
      </w:tr>
    </w:tbl>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Metric</w:t>
            </w:r>
          </w:p>
        </w:tc>
        <w:tc>
          <w:tcPr>
            <w:tcW w:type="dxa" w:w="4320"/>
          </w:tcPr>
          <w:p>
            <w:r/>
            <w:r>
              <w:rPr>
                <w:b/>
                <w:sz w:val="20"/>
              </w:rPr>
              <w:t>Value</w:t>
            </w:r>
          </w:p>
        </w:tc>
      </w:tr>
      <w:tr>
        <w:tc>
          <w:tcPr>
            <w:tcW w:type="dxa" w:w="4320"/>
          </w:tcPr>
          <w:p>
            <w:r/>
            <w:r>
              <w:rPr>
                <w:sz w:val="20"/>
              </w:rPr>
              <w:t>Test AUC</w:t>
            </w:r>
          </w:p>
        </w:tc>
        <w:tc>
          <w:tcPr>
            <w:tcW w:type="dxa" w:w="4320"/>
          </w:tcPr>
          <w:p>
            <w:r/>
            <w:r>
              <w:rPr>
                <w:sz w:val="20"/>
              </w:rPr>
              <w:t>0.6240</w:t>
            </w:r>
          </w:p>
        </w:tc>
      </w:tr>
      <w:tr>
        <w:tc>
          <w:tcPr>
            <w:tcW w:type="dxa" w:w="4320"/>
          </w:tcPr>
          <w:p>
            <w:r/>
            <w:r>
              <w:rPr>
                <w:sz w:val="20"/>
              </w:rPr>
              <w:t>Test Logloss</w:t>
            </w:r>
          </w:p>
        </w:tc>
        <w:tc>
          <w:tcPr>
            <w:tcW w:type="dxa" w:w="4320"/>
          </w:tcPr>
          <w:p>
            <w:r/>
            <w:r>
              <w:rPr>
                <w:sz w:val="20"/>
              </w:rPr>
              <w:t>0.1956</w:t>
            </w:r>
          </w:p>
        </w:tc>
      </w:tr>
      <w:tr>
        <w:tc>
          <w:tcPr>
            <w:tcW w:type="dxa" w:w="4320"/>
          </w:tcPr>
          <w:p>
            <w:r/>
            <w:r>
              <w:rPr>
                <w:sz w:val="20"/>
              </w:rPr>
              <w:t>Trainable parameters</w:t>
            </w:r>
          </w:p>
        </w:tc>
        <w:tc>
          <w:tcPr>
            <w:tcW w:type="dxa" w:w="4320"/>
          </w:tcPr>
          <w:p>
            <w:r/>
            <w:r>
              <w:rPr>
                <w:sz w:val="20"/>
              </w:rPr>
              <w:t>42,910,242</w:t>
            </w:r>
          </w:p>
        </w:tc>
      </w:tr>
      <w:tr>
        <w:tc>
          <w:tcPr>
            <w:tcW w:type="dxa" w:w="4320"/>
          </w:tcPr>
          <w:p>
            <w:r/>
            <w:r>
              <w:rPr>
                <w:sz w:val="20"/>
              </w:rPr>
              <w:t>Wall-clock training time</w:t>
            </w:r>
          </w:p>
        </w:tc>
        <w:tc>
          <w:tcPr>
            <w:tcW w:type="dxa" w:w="4320"/>
          </w:tcPr>
          <w:p>
            <w:r/>
            <w:r>
              <w:rPr>
                <w:sz w:val="20"/>
              </w:rPr>
              <w:t>18.6 min</w:t>
            </w:r>
          </w:p>
        </w:tc>
      </w:tr>
    </w:tbl>
    <w:p>
      <w:pPr>
        <w:pStyle w:val="Heading2"/>
      </w:pPr>
      <w:r>
        <w:t>5.7 Comparison to Reference</w:t>
      </w:r>
    </w:p>
    <w:p>
      <w:r>
        <w:rPr>
          <w:sz w:val="22"/>
        </w:rPr>
        <w:t>Our Run 3 result is within 0.0022 of the original DIN paper's reported AUC on the same Alimama dataset, suggesting our implementation is faithful and our preprocessing introduces no major regression.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Source</w:t>
            </w:r>
          </w:p>
        </w:tc>
        <w:tc>
          <w:tcPr>
            <w:tcW w:type="dxa" w:w="4320"/>
          </w:tcPr>
          <w:p>
            <w:r/>
            <w:r>
              <w:rPr>
                <w:b/>
                <w:sz w:val="20"/>
              </w:rPr>
              <w:t>Test AUC</w:t>
            </w:r>
          </w:p>
        </w:tc>
      </w:tr>
      <w:tr>
        <w:tc>
          <w:tcPr>
            <w:tcW w:type="dxa" w:w="4320"/>
          </w:tcPr>
          <w:p>
            <w:r/>
            <w:r>
              <w:rPr>
                <w:sz w:val="20"/>
              </w:rPr>
              <w:t>DIN (Zhou et al., KDD 2018), Alimama dataset</w:t>
            </w:r>
          </w:p>
        </w:tc>
        <w:tc>
          <w:tcPr>
            <w:tcW w:type="dxa" w:w="4320"/>
          </w:tcPr>
          <w:p>
            <w:r/>
            <w:r>
              <w:rPr>
                <w:sz w:val="20"/>
              </w:rPr>
              <w:t>0.6262</w:t>
            </w:r>
          </w:p>
        </w:tc>
      </w:tr>
      <w:tr>
        <w:tc>
          <w:tcPr>
            <w:tcW w:type="dxa" w:w="4320"/>
          </w:tcPr>
          <w:p>
            <w:r/>
            <w:r>
              <w:rPr>
                <w:sz w:val="20"/>
              </w:rPr>
              <w:t>Our DIN (Run 3, Version A)</w:t>
            </w:r>
          </w:p>
        </w:tc>
        <w:tc>
          <w:tcPr>
            <w:tcW w:type="dxa" w:w="4320"/>
          </w:tcPr>
          <w:p>
            <w:r/>
            <w:r>
              <w:rPr>
                <w:sz w:val="20"/>
              </w:rPr>
              <w:t>0.6240</w:t>
            </w:r>
          </w:p>
        </w:tc>
      </w:tr>
      <w:tr>
        <w:tc>
          <w:tcPr>
            <w:tcW w:type="dxa" w:w="4320"/>
          </w:tcPr>
          <w:p>
            <w:r/>
            <w:r>
              <w:rPr>
                <w:sz w:val="20"/>
              </w:rPr>
              <w:t>Difference</w:t>
            </w:r>
          </w:p>
        </w:tc>
        <w:tc>
          <w:tcPr>
            <w:tcW w:type="dxa" w:w="4320"/>
          </w:tcPr>
          <w:p>
            <w:r/>
            <w:r>
              <w:rPr>
                <w:sz w:val="20"/>
              </w:rPr>
              <w:t>-0.0022</w:t>
            </w:r>
          </w:p>
        </w:tc>
      </w:tr>
    </w:tbl>
    <w:p>
      <w:pPr>
        <w:pStyle w:val="Heading2"/>
      </w:pPr>
      <w:r>
        <w:t>5.8 Methodological Implications</w:t>
      </w:r>
    </w:p>
    <w:p>
      <w:r>
        <w:rPr>
          <w:sz w:val="22"/>
        </w:rPr>
        <w:t>The leakage discovered in Run 1-2 is not a bug in the dataset construction but rather a model-architecture-dependent vulnerability. CTR aggregates remain useful, well-defined features for tree-based and linear baselines: in fact, for those models they are among the most predictive features available. We therefore retain user_ctr, ad_ctr, cate_ctr, and user_cate_ctr in the feature sets used by Logistic Regression, LightGBM, and Wide &amp; Deep, and apply the same exclusion to DIN and DeepFM, which both rely on high-cardinality embedding tables.</w:t>
      </w:r>
    </w:p>
    <w:p>
      <w:r>
        <w:rPr>
          <w:sz w:val="22"/>
        </w:rPr>
        <w:t>This finding generalizes a well-known principle in the CTR literature: any feature constructed by aggregating the target variable over an entity must be evaluated for leakage in the context of the model that consumes it. Tree models and linear models are robust by virtue of their structural inability to memorize per-entity patterns. Deep models with high-capacity embeddings require either feature exclusion (our approach), leave-one-out aggregation (computationally expensive), or strong embedding regularization (less reliable in our experiments).</w:t>
      </w:r>
    </w:p>
    <w:p>
      <w:r>
        <w:rPr>
          <w:sz w:val="22"/>
        </w:rPr>
        <w:t>We document this as part of our experimental design rather than hide it behind the final result, because the asymmetric feature treatment across models is itself an experimental decision that affects the validity of model comparisons reported in subsequent sections.</w:t>
      </w:r>
    </w:p>
    <w:p>
      <w:pPr>
        <w:pStyle w:val="Heading1"/>
      </w:pPr>
      <w:r>
        <w:t>6. DeepFM Training</w:t>
      </w:r>
    </w:p>
    <w:p>
      <w:r>
        <w:rPr>
          <w:sz w:val="22"/>
        </w:rPr>
        <w:t>DeepFM [Guo et al., 2017] combines a Factorization Machine for explicit second-order feature interactions with a deep neural network for higher-order interactions. Compared to DIN, DeepFM does not consume the user behavior sequence -- user interest is captured solely through static features. The contrast between DIN and DeepFM directly quantifies the contribution of attention-based sequence modeling on this dataset.</w:t>
      </w:r>
    </w:p>
    <w:p>
      <w:pPr>
        <w:pStyle w:val="Heading2"/>
      </w:pPr>
      <w:r>
        <w:t>6.1 Configuration</w:t>
      </w:r>
    </w:p>
    <w:p>
      <w:r>
        <w:rPr>
          <w:sz w:val="22"/>
        </w:rPr>
        <w:t>DeepFM shares the static feature set, embedding dimension, and training protocol with DIN's Run 3. The CTR aggregates (user_ctr, ad_ctr, cate_ctr, user_cate_ctr) are excluded for the same leakage reason discussed in section 5.4: DeepFM also relies on high-cardinality embedding tables (user, adgroup_id, etc.) and is therefore vulnerable to the same per-entity memorization shortcut.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Component</w:t>
            </w:r>
          </w:p>
        </w:tc>
        <w:tc>
          <w:tcPr>
            <w:tcW w:type="dxa" w:w="4320"/>
          </w:tcPr>
          <w:p>
            <w:r/>
            <w:r>
              <w:rPr>
                <w:b/>
                <w:sz w:val="20"/>
              </w:rPr>
              <w:t>Value</w:t>
            </w:r>
          </w:p>
        </w:tc>
      </w:tr>
      <w:tr>
        <w:tc>
          <w:tcPr>
            <w:tcW w:type="dxa" w:w="4320"/>
          </w:tcPr>
          <w:p>
            <w:r/>
            <w:r>
              <w:rPr>
                <w:sz w:val="20"/>
              </w:rPr>
              <w:t>Embedding dim</w:t>
            </w:r>
          </w:p>
        </w:tc>
        <w:tc>
          <w:tcPr>
            <w:tcW w:type="dxa" w:w="4320"/>
          </w:tcPr>
          <w:p>
            <w:r/>
            <w:r>
              <w:rPr>
                <w:sz w:val="20"/>
              </w:rPr>
              <w:t>16</w:t>
            </w:r>
          </w:p>
        </w:tc>
      </w:tr>
      <w:tr>
        <w:tc>
          <w:tcPr>
            <w:tcW w:type="dxa" w:w="4320"/>
          </w:tcPr>
          <w:p>
            <w:r/>
            <w:r>
              <w:rPr>
                <w:sz w:val="20"/>
              </w:rPr>
              <w:t>DNN hidden units</w:t>
            </w:r>
          </w:p>
        </w:tc>
        <w:tc>
          <w:tcPr>
            <w:tcW w:type="dxa" w:w="4320"/>
          </w:tcPr>
          <w:p>
            <w:r/>
            <w:r>
              <w:rPr>
                <w:sz w:val="20"/>
              </w:rPr>
              <w:t>(256, 128)</w:t>
            </w:r>
          </w:p>
        </w:tc>
      </w:tr>
      <w:tr>
        <w:tc>
          <w:tcPr>
            <w:tcW w:type="dxa" w:w="4320"/>
          </w:tcPr>
          <w:p>
            <w:r/>
            <w:r>
              <w:rPr>
                <w:sz w:val="20"/>
              </w:rPr>
              <w:t>DNN dropout</w:t>
            </w:r>
          </w:p>
        </w:tc>
        <w:tc>
          <w:tcPr>
            <w:tcW w:type="dxa" w:w="4320"/>
          </w:tcPr>
          <w:p>
            <w:r/>
            <w:r>
              <w:rPr>
                <w:sz w:val="20"/>
              </w:rPr>
              <w:t>0.5</w:t>
            </w:r>
          </w:p>
        </w:tc>
      </w:tr>
      <w:tr>
        <w:tc>
          <w:tcPr>
            <w:tcW w:type="dxa" w:w="4320"/>
          </w:tcPr>
          <w:p>
            <w:r/>
            <w:r>
              <w:rPr>
                <w:sz w:val="20"/>
              </w:rPr>
              <w:t>Sparse features</w:t>
            </w:r>
          </w:p>
        </w:tc>
        <w:tc>
          <w:tcPr>
            <w:tcW w:type="dxa" w:w="4320"/>
          </w:tcPr>
          <w:p>
            <w:r/>
            <w:r>
              <w:rPr>
                <w:sz w:val="20"/>
              </w:rPr>
              <w:t>17 (same as DIN)</w:t>
            </w:r>
          </w:p>
        </w:tc>
      </w:tr>
      <w:tr>
        <w:tc>
          <w:tcPr>
            <w:tcW w:type="dxa" w:w="4320"/>
          </w:tcPr>
          <w:p>
            <w:r/>
            <w:r>
              <w:rPr>
                <w:sz w:val="20"/>
              </w:rPr>
              <w:t>Dense features</w:t>
            </w:r>
          </w:p>
        </w:tc>
        <w:tc>
          <w:tcPr>
            <w:tcW w:type="dxa" w:w="4320"/>
          </w:tcPr>
          <w:p>
            <w:r/>
            <w:r>
              <w:rPr>
                <w:sz w:val="20"/>
              </w:rPr>
              <w:t>11 (same as DIN; CTR aggregates excluded)</w:t>
            </w:r>
          </w:p>
        </w:tc>
      </w:tr>
      <w:tr>
        <w:tc>
          <w:tcPr>
            <w:tcW w:type="dxa" w:w="4320"/>
          </w:tcPr>
          <w:p>
            <w:r/>
            <w:r>
              <w:rPr>
                <w:sz w:val="20"/>
              </w:rPr>
              <w:t>Sequence input</w:t>
            </w:r>
          </w:p>
        </w:tc>
        <w:tc>
          <w:tcPr>
            <w:tcW w:type="dxa" w:w="4320"/>
          </w:tcPr>
          <w:p>
            <w:r/>
            <w:r>
              <w:rPr>
                <w:sz w:val="20"/>
              </w:rPr>
              <w:t>None (DeepFM is a static-feature model)</w:t>
            </w:r>
          </w:p>
        </w:tc>
      </w:tr>
      <w:tr>
        <w:tc>
          <w:tcPr>
            <w:tcW w:type="dxa" w:w="4320"/>
          </w:tcPr>
          <w:p>
            <w:r/>
            <w:r>
              <w:rPr>
                <w:sz w:val="20"/>
              </w:rPr>
              <w:t>Optimizer</w:t>
            </w:r>
          </w:p>
        </w:tc>
        <w:tc>
          <w:tcPr>
            <w:tcW w:type="dxa" w:w="4320"/>
          </w:tcPr>
          <w:p>
            <w:r/>
            <w:r>
              <w:rPr>
                <w:sz w:val="20"/>
              </w:rPr>
              <w:t>Adam, lr = 1e-3</w:t>
            </w:r>
          </w:p>
        </w:tc>
      </w:tr>
      <w:tr>
        <w:tc>
          <w:tcPr>
            <w:tcW w:type="dxa" w:w="4320"/>
          </w:tcPr>
          <w:p>
            <w:r/>
            <w:r>
              <w:rPr>
                <w:sz w:val="20"/>
              </w:rPr>
              <w:t>Batch size</w:t>
            </w:r>
          </w:p>
        </w:tc>
        <w:tc>
          <w:tcPr>
            <w:tcW w:type="dxa" w:w="4320"/>
          </w:tcPr>
          <w:p>
            <w:r/>
            <w:r>
              <w:rPr>
                <w:sz w:val="20"/>
              </w:rPr>
              <w:t>4096</w:t>
            </w:r>
          </w:p>
        </w:tc>
      </w:tr>
      <w:tr>
        <w:tc>
          <w:tcPr>
            <w:tcW w:type="dxa" w:w="4320"/>
          </w:tcPr>
          <w:p>
            <w:r/>
            <w:r>
              <w:rPr>
                <w:sz w:val="20"/>
              </w:rPr>
              <w:t>Max epochs / Early stopping</w:t>
            </w:r>
          </w:p>
        </w:tc>
        <w:tc>
          <w:tcPr>
            <w:tcW w:type="dxa" w:w="4320"/>
          </w:tcPr>
          <w:p>
            <w:r/>
            <w:r>
              <w:rPr>
                <w:sz w:val="20"/>
              </w:rPr>
              <w:t>10 / patience = 2 on val_auc</w:t>
            </w:r>
          </w:p>
        </w:tc>
      </w:tr>
    </w:tbl>
    <w:p>
      <w:pPr>
        <w:pStyle w:val="Heading2"/>
      </w:pPr>
      <w:r>
        <w:t>6.2 Results</w:t>
      </w:r>
    </w:p>
    <w:p>
      <w:r>
        <w:rPr>
          <w:sz w:val="22"/>
        </w:rPr>
        <w:t>Trainable parameters: 45,575,385. The slightly higher count compared to DIN reflects DeepFM's three parallel branches (linear + FM + DNN) versus DIN's attention-augmented single deep tower; the embedding tables are identical in size in both cases.</w:t>
      </w:r>
    </w:p>
    <w:p>
      <w:r>
        <w:rPr>
          <w:sz w:val="22"/>
        </w:rPr>
        <w:t>Training trajectory: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Epoch</w:t>
            </w:r>
          </w:p>
        </w:tc>
        <w:tc>
          <w:tcPr>
            <w:tcW w:type="dxa" w:w="1728"/>
          </w:tcPr>
          <w:p>
            <w:r/>
            <w:r>
              <w:rPr>
                <w:b/>
                <w:sz w:val="20"/>
              </w:rPr>
              <w:t>Train AUC</w:t>
            </w:r>
          </w:p>
        </w:tc>
        <w:tc>
          <w:tcPr>
            <w:tcW w:type="dxa" w:w="1728"/>
          </w:tcPr>
          <w:p>
            <w:r/>
            <w:r>
              <w:rPr>
                <w:b/>
                <w:sz w:val="20"/>
              </w:rPr>
              <w:t>Val AUC</w:t>
            </w:r>
          </w:p>
        </w:tc>
        <w:tc>
          <w:tcPr>
            <w:tcW w:type="dxa" w:w="1728"/>
          </w:tcPr>
          <w:p>
            <w:r/>
            <w:r>
              <w:rPr>
                <w:b/>
                <w:sz w:val="20"/>
              </w:rPr>
              <w:t>Train BCE</w:t>
            </w:r>
          </w:p>
        </w:tc>
        <w:tc>
          <w:tcPr>
            <w:tcW w:type="dxa" w:w="1728"/>
          </w:tcPr>
          <w:p>
            <w:r/>
            <w:r>
              <w:rPr>
                <w:b/>
                <w:sz w:val="20"/>
              </w:rPr>
              <w:t>Val BCE</w:t>
            </w:r>
          </w:p>
        </w:tc>
      </w:tr>
      <w:tr>
        <w:tc>
          <w:tcPr>
            <w:tcW w:type="dxa" w:w="1728"/>
          </w:tcPr>
          <w:p>
            <w:r/>
            <w:r>
              <w:rPr>
                <w:sz w:val="20"/>
              </w:rPr>
              <w:t>1</w:t>
            </w:r>
          </w:p>
        </w:tc>
        <w:tc>
          <w:tcPr>
            <w:tcW w:type="dxa" w:w="1728"/>
          </w:tcPr>
          <w:p>
            <w:r/>
            <w:r>
              <w:rPr>
                <w:sz w:val="20"/>
              </w:rPr>
              <w:t>0.6112</w:t>
            </w:r>
          </w:p>
        </w:tc>
        <w:tc>
          <w:tcPr>
            <w:tcW w:type="dxa" w:w="1728"/>
          </w:tcPr>
          <w:p>
            <w:r/>
            <w:r>
              <w:rPr>
                <w:sz w:val="20"/>
              </w:rPr>
              <w:t>0.6285</w:t>
            </w:r>
          </w:p>
        </w:tc>
        <w:tc>
          <w:tcPr>
            <w:tcW w:type="dxa" w:w="1728"/>
          </w:tcPr>
          <w:p>
            <w:r/>
            <w:r>
              <w:rPr>
                <w:sz w:val="20"/>
              </w:rPr>
              <w:t>0.2094</w:t>
            </w:r>
          </w:p>
        </w:tc>
        <w:tc>
          <w:tcPr>
            <w:tcW w:type="dxa" w:w="1728"/>
          </w:tcPr>
          <w:p>
            <w:r/>
            <w:r>
              <w:rPr>
                <w:sz w:val="20"/>
              </w:rPr>
              <w:t>0.1951</w:t>
            </w:r>
          </w:p>
        </w:tc>
      </w:tr>
      <w:tr>
        <w:tc>
          <w:tcPr>
            <w:tcW w:type="dxa" w:w="1728"/>
          </w:tcPr>
          <w:p>
            <w:r/>
            <w:r>
              <w:rPr>
                <w:sz w:val="20"/>
              </w:rPr>
              <w:t>2</w:t>
            </w:r>
          </w:p>
        </w:tc>
        <w:tc>
          <w:tcPr>
            <w:tcW w:type="dxa" w:w="1728"/>
          </w:tcPr>
          <w:p>
            <w:r/>
            <w:r>
              <w:rPr>
                <w:sz w:val="20"/>
              </w:rPr>
              <w:t>0.7492</w:t>
            </w:r>
          </w:p>
        </w:tc>
        <w:tc>
          <w:tcPr>
            <w:tcW w:type="dxa" w:w="1728"/>
          </w:tcPr>
          <w:p>
            <w:r/>
            <w:r>
              <w:rPr>
                <w:sz w:val="20"/>
              </w:rPr>
              <w:t>0.5902</w:t>
            </w:r>
          </w:p>
        </w:tc>
        <w:tc>
          <w:tcPr>
            <w:tcW w:type="dxa" w:w="1728"/>
          </w:tcPr>
          <w:p>
            <w:r/>
            <w:r>
              <w:rPr>
                <w:sz w:val="20"/>
              </w:rPr>
              <w:t>0.1880</w:t>
            </w:r>
          </w:p>
        </w:tc>
        <w:tc>
          <w:tcPr>
            <w:tcW w:type="dxa" w:w="1728"/>
          </w:tcPr>
          <w:p>
            <w:r/>
            <w:r>
              <w:rPr>
                <w:sz w:val="20"/>
              </w:rPr>
              <w:t>0.2159</w:t>
            </w:r>
          </w:p>
        </w:tc>
      </w:tr>
      <w:tr>
        <w:tc>
          <w:tcPr>
            <w:tcW w:type="dxa" w:w="1728"/>
          </w:tcPr>
          <w:p>
            <w:r/>
            <w:r>
              <w:rPr>
                <w:sz w:val="20"/>
              </w:rPr>
              <w:t>3</w:t>
            </w:r>
          </w:p>
        </w:tc>
        <w:tc>
          <w:tcPr>
            <w:tcW w:type="dxa" w:w="1728"/>
          </w:tcPr>
          <w:p>
            <w:r/>
            <w:r>
              <w:rPr>
                <w:sz w:val="20"/>
              </w:rPr>
              <w:t>0.8151</w:t>
            </w:r>
          </w:p>
        </w:tc>
        <w:tc>
          <w:tcPr>
            <w:tcW w:type="dxa" w:w="1728"/>
          </w:tcPr>
          <w:p>
            <w:r/>
            <w:r>
              <w:rPr>
                <w:sz w:val="20"/>
              </w:rPr>
              <w:t>0.6088</w:t>
            </w:r>
          </w:p>
        </w:tc>
        <w:tc>
          <w:tcPr>
            <w:tcW w:type="dxa" w:w="1728"/>
          </w:tcPr>
          <w:p>
            <w:r/>
            <w:r>
              <w:rPr>
                <w:sz w:val="20"/>
              </w:rPr>
              <w:t>0.1708</w:t>
            </w:r>
          </w:p>
        </w:tc>
        <w:tc>
          <w:tcPr>
            <w:tcW w:type="dxa" w:w="1728"/>
          </w:tcPr>
          <w:p>
            <w:r/>
            <w:r>
              <w:rPr>
                <w:sz w:val="20"/>
              </w:rPr>
              <w:t>0.2144</w:t>
            </w:r>
          </w:p>
        </w:tc>
      </w:tr>
    </w:tbl>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Metric</w:t>
            </w:r>
          </w:p>
        </w:tc>
        <w:tc>
          <w:tcPr>
            <w:tcW w:type="dxa" w:w="4320"/>
          </w:tcPr>
          <w:p>
            <w:r/>
            <w:r>
              <w:rPr>
                <w:b/>
                <w:sz w:val="20"/>
              </w:rPr>
              <w:t>Value</w:t>
            </w:r>
          </w:p>
        </w:tc>
      </w:tr>
      <w:tr>
        <w:tc>
          <w:tcPr>
            <w:tcW w:type="dxa" w:w="4320"/>
          </w:tcPr>
          <w:p>
            <w:r/>
            <w:r>
              <w:rPr>
                <w:sz w:val="20"/>
              </w:rPr>
              <w:t>Test AUC</w:t>
            </w:r>
          </w:p>
        </w:tc>
        <w:tc>
          <w:tcPr>
            <w:tcW w:type="dxa" w:w="4320"/>
          </w:tcPr>
          <w:p>
            <w:r/>
            <w:r>
              <w:rPr>
                <w:sz w:val="20"/>
              </w:rPr>
              <w:t>0.6211</w:t>
            </w:r>
          </w:p>
        </w:tc>
      </w:tr>
      <w:tr>
        <w:tc>
          <w:tcPr>
            <w:tcW w:type="dxa" w:w="4320"/>
          </w:tcPr>
          <w:p>
            <w:r/>
            <w:r>
              <w:rPr>
                <w:sz w:val="20"/>
              </w:rPr>
              <w:t>Test Logloss</w:t>
            </w:r>
          </w:p>
        </w:tc>
        <w:tc>
          <w:tcPr>
            <w:tcW w:type="dxa" w:w="4320"/>
          </w:tcPr>
          <w:p>
            <w:r/>
            <w:r>
              <w:rPr>
                <w:sz w:val="20"/>
              </w:rPr>
              <w:t>0.2014</w:t>
            </w:r>
          </w:p>
        </w:tc>
      </w:tr>
      <w:tr>
        <w:tc>
          <w:tcPr>
            <w:tcW w:type="dxa" w:w="4320"/>
          </w:tcPr>
          <w:p>
            <w:r/>
            <w:r>
              <w:rPr>
                <w:sz w:val="20"/>
              </w:rPr>
              <w:t>Wall-clock training time</w:t>
            </w:r>
          </w:p>
        </w:tc>
        <w:tc>
          <w:tcPr>
            <w:tcW w:type="dxa" w:w="4320"/>
          </w:tcPr>
          <w:p>
            <w:r/>
            <w:r>
              <w:rPr>
                <w:sz w:val="20"/>
              </w:rPr>
              <w:t>10.9 min</w:t>
            </w:r>
          </w:p>
        </w:tc>
      </w:tr>
      <w:tr>
        <w:tc>
          <w:tcPr>
            <w:tcW w:type="dxa" w:w="4320"/>
          </w:tcPr>
          <w:p>
            <w:r/>
            <w:r>
              <w:rPr>
                <w:sz w:val="20"/>
              </w:rPr>
              <w:t>Best epoch</w:t>
            </w:r>
          </w:p>
        </w:tc>
        <w:tc>
          <w:tcPr>
            <w:tcW w:type="dxa" w:w="4320"/>
          </w:tcPr>
          <w:p>
            <w:r/>
            <w:r>
              <w:rPr>
                <w:sz w:val="20"/>
              </w:rPr>
              <w:t>1</w:t>
            </w:r>
          </w:p>
        </w:tc>
      </w:tr>
    </w:tbl>
    <w:p>
      <w:r>
        <w:rPr>
          <w:sz w:val="22"/>
        </w:rPr>
        <w:t>DeepFM exhibits the same overfitting trajectory as DIN: best val AUC at epoch 1, divergence by epoch 2-3, early stopping at epoch 3. This consistency reinforces section 5.4's observation that the overfitting is not DIN-specific but a property of high-capacity embedding models on this 20M-row training set.</w:t>
      </w:r>
    </w:p>
    <w:p>
      <w:pPr>
        <w:pStyle w:val="Heading2"/>
      </w:pPr>
      <w:r>
        <w:t>6.3 Comparison: DIN vs DeepFM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Model</w:t>
            </w:r>
          </w:p>
        </w:tc>
        <w:tc>
          <w:tcPr>
            <w:tcW w:type="dxa" w:w="1728"/>
          </w:tcPr>
          <w:p>
            <w:r/>
            <w:r>
              <w:rPr>
                <w:b/>
                <w:sz w:val="20"/>
              </w:rPr>
              <w:t>Test AUC</w:t>
            </w:r>
          </w:p>
        </w:tc>
        <w:tc>
          <w:tcPr>
            <w:tcW w:type="dxa" w:w="1728"/>
          </w:tcPr>
          <w:p>
            <w:r/>
            <w:r>
              <w:rPr>
                <w:b/>
                <w:sz w:val="20"/>
              </w:rPr>
              <w:t>Test Logloss</w:t>
            </w:r>
          </w:p>
        </w:tc>
        <w:tc>
          <w:tcPr>
            <w:tcW w:type="dxa" w:w="1728"/>
          </w:tcPr>
          <w:p>
            <w:r/>
            <w:r>
              <w:rPr>
                <w:b/>
                <w:sz w:val="20"/>
              </w:rPr>
              <w:t>Train Time</w:t>
            </w:r>
          </w:p>
        </w:tc>
        <w:tc>
          <w:tcPr>
            <w:tcW w:type="dxa" w:w="1728"/>
          </w:tcPr>
          <w:p>
            <w:r/>
            <w:r>
              <w:rPr>
                <w:b/>
                <w:sz w:val="20"/>
              </w:rPr>
              <w:t>Parameters</w:t>
            </w:r>
          </w:p>
        </w:tc>
      </w:tr>
      <w:tr>
        <w:tc>
          <w:tcPr>
            <w:tcW w:type="dxa" w:w="1728"/>
          </w:tcPr>
          <w:p>
            <w:r/>
            <w:r>
              <w:rPr>
                <w:sz w:val="20"/>
              </w:rPr>
              <w:t>DeepFM</w:t>
            </w:r>
          </w:p>
        </w:tc>
        <w:tc>
          <w:tcPr>
            <w:tcW w:type="dxa" w:w="1728"/>
          </w:tcPr>
          <w:p>
            <w:r/>
            <w:r>
              <w:rPr>
                <w:sz w:val="20"/>
              </w:rPr>
              <w:t>0.6211</w:t>
            </w:r>
          </w:p>
        </w:tc>
        <w:tc>
          <w:tcPr>
            <w:tcW w:type="dxa" w:w="1728"/>
          </w:tcPr>
          <w:p>
            <w:r/>
            <w:r>
              <w:rPr>
                <w:sz w:val="20"/>
              </w:rPr>
              <w:t>0.2014</w:t>
            </w:r>
          </w:p>
        </w:tc>
        <w:tc>
          <w:tcPr>
            <w:tcW w:type="dxa" w:w="1728"/>
          </w:tcPr>
          <w:p>
            <w:r/>
            <w:r>
              <w:rPr>
                <w:sz w:val="20"/>
              </w:rPr>
              <w:t>10.9 min</w:t>
            </w:r>
          </w:p>
        </w:tc>
        <w:tc>
          <w:tcPr>
            <w:tcW w:type="dxa" w:w="1728"/>
          </w:tcPr>
          <w:p>
            <w:r/>
            <w:r>
              <w:rPr>
                <w:sz w:val="20"/>
              </w:rPr>
              <w:t>45.6M</w:t>
            </w:r>
          </w:p>
        </w:tc>
      </w:tr>
      <w:tr>
        <w:tc>
          <w:tcPr>
            <w:tcW w:type="dxa" w:w="1728"/>
          </w:tcPr>
          <w:p>
            <w:r/>
            <w:r>
              <w:rPr>
                <w:sz w:val="20"/>
              </w:rPr>
              <w:t>DIN (Run 3)</w:t>
            </w:r>
          </w:p>
        </w:tc>
        <w:tc>
          <w:tcPr>
            <w:tcW w:type="dxa" w:w="1728"/>
          </w:tcPr>
          <w:p>
            <w:r/>
            <w:r>
              <w:rPr>
                <w:sz w:val="20"/>
              </w:rPr>
              <w:t>0.6240</w:t>
            </w:r>
          </w:p>
        </w:tc>
        <w:tc>
          <w:tcPr>
            <w:tcW w:type="dxa" w:w="1728"/>
          </w:tcPr>
          <w:p>
            <w:r/>
            <w:r>
              <w:rPr>
                <w:sz w:val="20"/>
              </w:rPr>
              <w:t>0.1956</w:t>
            </w:r>
          </w:p>
        </w:tc>
        <w:tc>
          <w:tcPr>
            <w:tcW w:type="dxa" w:w="1728"/>
          </w:tcPr>
          <w:p>
            <w:r/>
            <w:r>
              <w:rPr>
                <w:sz w:val="20"/>
              </w:rPr>
              <w:t>18.6 min</w:t>
            </w:r>
          </w:p>
        </w:tc>
        <w:tc>
          <w:tcPr>
            <w:tcW w:type="dxa" w:w="1728"/>
          </w:tcPr>
          <w:p>
            <w:r/>
            <w:r>
              <w:rPr>
                <w:sz w:val="20"/>
              </w:rPr>
              <w:t>42.9M</w:t>
            </w:r>
          </w:p>
        </w:tc>
      </w:tr>
      <w:tr>
        <w:tc>
          <w:tcPr>
            <w:tcW w:type="dxa" w:w="1728"/>
          </w:tcPr>
          <w:p>
            <w:r/>
            <w:r>
              <w:rPr>
                <w:sz w:val="20"/>
              </w:rPr>
              <w:t>Difference (DIN - DeepFM)</w:t>
            </w:r>
          </w:p>
        </w:tc>
        <w:tc>
          <w:tcPr>
            <w:tcW w:type="dxa" w:w="1728"/>
          </w:tcPr>
          <w:p>
            <w:r/>
            <w:r>
              <w:rPr>
                <w:sz w:val="20"/>
              </w:rPr>
              <w:t>+0.0029</w:t>
            </w:r>
          </w:p>
        </w:tc>
        <w:tc>
          <w:tcPr>
            <w:tcW w:type="dxa" w:w="1728"/>
          </w:tcPr>
          <w:p>
            <w:r/>
            <w:r>
              <w:rPr>
                <w:sz w:val="20"/>
              </w:rPr>
              <w:t>-0.0058</w:t>
            </w:r>
          </w:p>
        </w:tc>
        <w:tc>
          <w:tcPr>
            <w:tcW w:type="dxa" w:w="1728"/>
          </w:tcPr>
          <w:p>
            <w:r/>
            <w:r>
              <w:rPr>
                <w:sz w:val="20"/>
              </w:rPr>
              <w:t>+7.7 min</w:t>
            </w:r>
          </w:p>
        </w:tc>
        <w:tc>
          <w:tcPr>
            <w:tcW w:type="dxa" w:w="1728"/>
          </w:tcPr>
          <w:p>
            <w:r/>
            <w:r>
              <w:rPr>
                <w:sz w:val="20"/>
              </w:rPr>
              <w:t>-2.7M</w:t>
            </w:r>
          </w:p>
        </w:tc>
      </w:tr>
    </w:tbl>
    <w:p>
      <w:r>
        <w:rPr>
          <w:sz w:val="22"/>
        </w:rPr>
        <w:t>DIN outperforms DeepFM by 0.0029 AUC. While modest in absolute terms, this gap is consistent with the original DIN paper's reported improvement over DeepFM and PNN baselines on the same dataset (typically 0.003-0.005 AUC). Because both models share the static feature set, embedding dimension, optimizer, and training protocol, the gap is attributable solely to DIN's attention-based pooling over the user behavior sequence -- the only architectural difference between them.</w:t>
      </w:r>
    </w:p>
    <w:p>
      <w:r>
        <w:rPr>
          <w:sz w:val="22"/>
        </w:rPr>
        <w:t>The 70% increase in training time for DIN reflects the cost of computing per-impression attention over the 50-element behavior sequence. In production deployments, this is a meaningful latency-vs-AUC trade-off. For this academic comparison, both are well within practical training budgets.</w:t>
      </w:r>
    </w:p>
    <w:p>
      <w:pPr>
        <w:pStyle w:val="Heading2"/>
      </w:pPr>
      <w:r>
        <w:t>6.4 Discussion</w:t>
      </w:r>
    </w:p>
    <w:p>
      <w:r>
        <w:rPr>
          <w:sz w:val="22"/>
        </w:rPr>
        <w:t>The DIN-vs-DeepFM comparison isolates the contribution of attention over user behavior sequences. The +0.0029 AUC improvement, on a baseline of 0.6211, corresponds to a relative improvement of ~0.5%. While small, this is the kind of gain that motivates production teams to invest in sequence-modeling infrastructure -- compounded over millions of impressions, even tenths of a percent translate to meaningful click revenue.</w:t>
      </w:r>
    </w:p>
    <w:p>
      <w:r>
        <w:rPr>
          <w:sz w:val="22"/>
        </w:rPr>
        <w:t>Two limitations of this comparison should be noted. First, both models suffer the same epoch-1 overfitting; longer training does not help. A more sophisticated regularization regime (e.g., BatchNorm, mixup, embedding noise) might let DIN realize a larger fraction of its theoretical capacity advantage. Second, our 50-element sequence length was not tuned -- the DIN paper experiments with K up to 100, and longer sequences may further widen the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