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Data Preprocessing</w:t>
      </w:r>
    </w:p>
    <w:p>
      <w:r>
        <w:rPr>
          <w:sz w:val="22"/>
        </w:rPr>
        <w:t>The following pipeline transforms the raw Alimama display advertising dataset into a model-ready format suitable for both classical and deep CTR models. All design decisions are documented along with the rationale; key statistics are reported to support reproducibility.</w:t>
      </w:r>
    </w:p>
    <w:p>
      <w:pPr>
        <w:pStyle w:val="Heading2"/>
      </w:pPr>
      <w:r>
        <w:t>4.1 Dataset Overview</w:t>
      </w:r>
    </w:p>
    <w:p>
      <w:r>
        <w:rPr>
          <w:sz w:val="22"/>
        </w:rPr>
        <w:t>We use the Alimama public CTR dataset, which contains user-level interactions with display ads on the Taobao platform over an 8-day window (2017-05-05 to 2017-05-13, UTC). The dataset is provided as four CSV tables: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Table</w:t>
            </w:r>
          </w:p>
        </w:tc>
        <w:tc>
          <w:tcPr>
            <w:tcW w:type="dxa" w:w="2880"/>
          </w:tcPr>
          <w:p>
            <w:r/>
            <w:r>
              <w:rPr>
                <w:b/>
                <w:sz w:val="20"/>
              </w:rPr>
              <w:t>Rows</w:t>
            </w:r>
          </w:p>
        </w:tc>
        <w:tc>
          <w:tcPr>
            <w:tcW w:type="dxa" w:w="2880"/>
          </w:tcPr>
          <w:p>
            <w:r/>
            <w:r>
              <w:rPr>
                <w:b/>
                <w:sz w:val="20"/>
              </w:rPr>
              <w:t>Description</w:t>
            </w:r>
          </w:p>
        </w:tc>
      </w:tr>
      <w:tr>
        <w:tc>
          <w:tcPr>
            <w:tcW w:type="dxa" w:w="2880"/>
          </w:tcPr>
          <w:p>
            <w:r/>
            <w:r>
              <w:rPr>
                <w:sz w:val="20"/>
              </w:rPr>
              <w:t>raw_sample</w:t>
            </w:r>
          </w:p>
        </w:tc>
        <w:tc>
          <w:tcPr>
            <w:tcW w:type="dxa" w:w="2880"/>
          </w:tcPr>
          <w:p>
            <w:r/>
            <w:r>
              <w:rPr>
                <w:sz w:val="20"/>
              </w:rPr>
              <w:t>26,557,961</w:t>
            </w:r>
          </w:p>
        </w:tc>
        <w:tc>
          <w:tcPr>
            <w:tcW w:type="dxa" w:w="2880"/>
          </w:tcPr>
          <w:p>
            <w:r/>
            <w:r>
              <w:rPr>
                <w:sz w:val="20"/>
              </w:rPr>
              <w:t>Ad impression events with click labels</w:t>
            </w:r>
          </w:p>
        </w:tc>
      </w:tr>
      <w:tr>
        <w:tc>
          <w:tcPr>
            <w:tcW w:type="dxa" w:w="2880"/>
          </w:tcPr>
          <w:p>
            <w:r/>
            <w:r>
              <w:rPr>
                <w:sz w:val="20"/>
              </w:rPr>
              <w:t>ad_feature</w:t>
            </w:r>
          </w:p>
        </w:tc>
        <w:tc>
          <w:tcPr>
            <w:tcW w:type="dxa" w:w="2880"/>
          </w:tcPr>
          <w:p>
            <w:r/>
            <w:r>
              <w:rPr>
                <w:sz w:val="20"/>
              </w:rPr>
              <w:t>846,811</w:t>
            </w:r>
          </w:p>
        </w:tc>
        <w:tc>
          <w:tcPr>
            <w:tcW w:type="dxa" w:w="2880"/>
          </w:tcPr>
          <w:p>
            <w:r/>
            <w:r>
              <w:rPr>
                <w:sz w:val="20"/>
              </w:rPr>
              <w:t>Ad metadata (category, campaign, customer, brand, price)</w:t>
            </w:r>
          </w:p>
        </w:tc>
      </w:tr>
      <w:tr>
        <w:tc>
          <w:tcPr>
            <w:tcW w:type="dxa" w:w="2880"/>
          </w:tcPr>
          <w:p>
            <w:r/>
            <w:r>
              <w:rPr>
                <w:sz w:val="20"/>
              </w:rPr>
              <w:t>user_profile</w:t>
            </w:r>
          </w:p>
        </w:tc>
        <w:tc>
          <w:tcPr>
            <w:tcW w:type="dxa" w:w="2880"/>
          </w:tcPr>
          <w:p>
            <w:r/>
            <w:r>
              <w:rPr>
                <w:sz w:val="20"/>
              </w:rPr>
              <w:t>1,061,768</w:t>
            </w:r>
          </w:p>
        </w:tc>
        <w:tc>
          <w:tcPr>
            <w:tcW w:type="dxa" w:w="2880"/>
          </w:tcPr>
          <w:p>
            <w:r/>
            <w:r>
              <w:rPr>
                <w:sz w:val="20"/>
              </w:rPr>
              <w:t>User demographic features</w:t>
            </w:r>
          </w:p>
        </w:tc>
      </w:tr>
      <w:tr>
        <w:tc>
          <w:tcPr>
            <w:tcW w:type="dxa" w:w="2880"/>
          </w:tcPr>
          <w:p>
            <w:r/>
            <w:r>
              <w:rPr>
                <w:sz w:val="20"/>
              </w:rPr>
              <w:t>behavior_log</w:t>
            </w:r>
          </w:p>
        </w:tc>
        <w:tc>
          <w:tcPr>
            <w:tcW w:type="dxa" w:w="2880"/>
          </w:tcPr>
          <w:p>
            <w:r/>
            <w:r>
              <w:rPr>
                <w:sz w:val="20"/>
              </w:rPr>
              <w:t>723,268,134</w:t>
            </w:r>
          </w:p>
        </w:tc>
        <w:tc>
          <w:tcPr>
            <w:tcW w:type="dxa" w:w="2880"/>
          </w:tcPr>
          <w:p>
            <w:r/>
            <w:r>
              <w:rPr>
                <w:sz w:val="20"/>
              </w:rPr>
              <w:t>User behavioral logs over an extended history window</w:t>
            </w:r>
          </w:p>
        </w:tc>
      </w:tr>
    </w:tbl>
    <w:p>
      <w:r>
        <w:rPr>
          <w:sz w:val="22"/>
        </w:rPr>
        <w:t>For storage efficiency, all tables were converted from CSV to Apache Parquet with Snappy compression, reducing total disk footprint by approximately 70% and enabling lazy I/O for behavior_log.</w:t>
      </w:r>
    </w:p>
    <w:p>
      <w:pPr>
        <w:pStyle w:val="Heading2"/>
      </w:pPr>
      <w:r>
        <w:t>4.2 Schema Standardization</w:t>
      </w:r>
    </w:p>
    <w:p>
      <w:r>
        <w:rPr>
          <w:sz w:val="22"/>
        </w:rPr>
        <w:t>Three issues were identified through schema inspection:</w:t>
      </w:r>
    </w:p>
    <w:p>
      <w:pPr>
        <w:pStyle w:val="ListBullet"/>
      </w:pPr>
      <w:r>
        <w:rPr>
          <w:sz w:val="22"/>
        </w:rPr>
        <w:t>Redundant column: raw_sample.nonclk is the strict complement of clk (nonclk + clk = 1) and was dropped.</w:t>
      </w:r>
    </w:p>
    <w:p>
      <w:pPr>
        <w:pStyle w:val="ListBullet"/>
      </w:pPr>
      <w:r>
        <w:rPr>
          <w:sz w:val="22"/>
        </w:rPr>
        <w:t>Trailing whitespace: user_profile contained a column literally named 'new_user_class_level ' with a trailing space. All column names were stripped of whitespace to prevent silent KeyErrors.</w:t>
      </w:r>
    </w:p>
    <w:p>
      <w:pPr>
        <w:pStyle w:val="ListBullet"/>
      </w:pPr>
      <w:r>
        <w:rPr>
          <w:sz w:val="22"/>
        </w:rPr>
        <w:t>Inconsistent join keys: user_profile.userid was renamed to user to align with raw_sample.user and behavior_log.user, simplifying subsequent joins.</w:t>
      </w:r>
    </w:p>
    <w:p>
      <w:pPr>
        <w:pStyle w:val="Heading2"/>
      </w:pPr>
      <w:r>
        <w:t>4.3 Outlier Detection and Handling</w:t>
      </w:r>
    </w:p>
    <w:p>
      <w:pPr>
        <w:pStyle w:val="Heading3"/>
      </w:pPr>
      <w:r>
        <w:t>4.3.1 Price Anomalies in ad_feature</w:t>
      </w:r>
    </w:p>
    <w:p>
      <w:r>
        <w:rPr>
          <w:sz w:val="22"/>
        </w:rPr>
        <w:t>The price column exhibited extreme right-skewness (mean = 1,838.87, median = 139.0, max = 99,999,999), suggesting placeholder values rather than legitimate prices. To distinguish placeholders from genuinely high-priced items, we examined the distribution of price &gt; 51,000 (the 99.9th percentile):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Price Range (RMB)</w:t>
            </w:r>
          </w:p>
        </w:tc>
        <w:tc>
          <w:tcPr>
            <w:tcW w:type="dxa" w:w="4320"/>
          </w:tcPr>
          <w:p>
            <w:r/>
            <w:r>
              <w:rPr>
                <w:b/>
                <w:sz w:val="20"/>
              </w:rPr>
              <w:t>Count</w:t>
            </w:r>
          </w:p>
        </w:tc>
      </w:tr>
      <w:tr>
        <w:tc>
          <w:tcPr>
            <w:tcW w:type="dxa" w:w="4320"/>
          </w:tcPr>
          <w:p>
            <w:r/>
            <w:r>
              <w:rPr>
                <w:sz w:val="20"/>
              </w:rPr>
              <w:t>50K - 100K</w:t>
            </w:r>
          </w:p>
        </w:tc>
        <w:tc>
          <w:tcPr>
            <w:tcW w:type="dxa" w:w="4320"/>
          </w:tcPr>
          <w:p>
            <w:r/>
            <w:r>
              <w:rPr>
                <w:sz w:val="20"/>
              </w:rPr>
              <w:t>525</w:t>
            </w:r>
          </w:p>
        </w:tc>
      </w:tr>
      <w:tr>
        <w:tc>
          <w:tcPr>
            <w:tcW w:type="dxa" w:w="4320"/>
          </w:tcPr>
          <w:p>
            <w:r/>
            <w:r>
              <w:rPr>
                <w:sz w:val="20"/>
              </w:rPr>
              <w:t>100K - 500K</w:t>
            </w:r>
          </w:p>
        </w:tc>
        <w:tc>
          <w:tcPr>
            <w:tcW w:type="dxa" w:w="4320"/>
          </w:tcPr>
          <w:p>
            <w:r/>
            <w:r>
              <w:rPr>
                <w:sz w:val="20"/>
              </w:rPr>
              <w:t>244</w:t>
            </w:r>
          </w:p>
        </w:tc>
      </w:tr>
      <w:tr>
        <w:tc>
          <w:tcPr>
            <w:tcW w:type="dxa" w:w="4320"/>
          </w:tcPr>
          <w:p>
            <w:r/>
            <w:r>
              <w:rPr>
                <w:sz w:val="20"/>
              </w:rPr>
              <w:t>500K - 1M</w:t>
            </w:r>
          </w:p>
        </w:tc>
        <w:tc>
          <w:tcPr>
            <w:tcW w:type="dxa" w:w="4320"/>
          </w:tcPr>
          <w:p>
            <w:r/>
            <w:r>
              <w:rPr>
                <w:sz w:val="20"/>
              </w:rPr>
              <w:t>44</w:t>
            </w:r>
          </w:p>
        </w:tc>
      </w:tr>
      <w:tr>
        <w:tc>
          <w:tcPr>
            <w:tcW w:type="dxa" w:w="4320"/>
          </w:tcPr>
          <w:p>
            <w:r/>
            <w:r>
              <w:rPr>
                <w:sz w:val="20"/>
              </w:rPr>
              <w:t>1M - 5M</w:t>
            </w:r>
          </w:p>
        </w:tc>
        <w:tc>
          <w:tcPr>
            <w:tcW w:type="dxa" w:w="4320"/>
          </w:tcPr>
          <w:p>
            <w:r/>
            <w:r>
              <w:rPr>
                <w:sz w:val="20"/>
              </w:rPr>
              <w:t>25</w:t>
            </w:r>
          </w:p>
        </w:tc>
      </w:tr>
      <w:tr>
        <w:tc>
          <w:tcPr>
            <w:tcW w:type="dxa" w:w="4320"/>
          </w:tcPr>
          <w:p>
            <w:r/>
            <w:r>
              <w:rPr>
                <w:sz w:val="20"/>
              </w:rPr>
              <w:t>5M - 10M</w:t>
            </w:r>
          </w:p>
        </w:tc>
        <w:tc>
          <w:tcPr>
            <w:tcW w:type="dxa" w:w="4320"/>
          </w:tcPr>
          <w:p>
            <w:r/>
            <w:r>
              <w:rPr>
                <w:sz w:val="20"/>
              </w:rPr>
              <w:t>4</w:t>
            </w:r>
          </w:p>
        </w:tc>
      </w:tr>
      <w:tr>
        <w:tc>
          <w:tcPr>
            <w:tcW w:type="dxa" w:w="4320"/>
          </w:tcPr>
          <w:p>
            <w:r/>
            <w:r>
              <w:rPr>
                <w:sz w:val="20"/>
              </w:rPr>
              <w:t>10M - 50M</w:t>
            </w:r>
          </w:p>
        </w:tc>
        <w:tc>
          <w:tcPr>
            <w:tcW w:type="dxa" w:w="4320"/>
          </w:tcPr>
          <w:p>
            <w:r/>
            <w:r>
              <w:rPr>
                <w:sz w:val="20"/>
              </w:rPr>
              <w:t>2</w:t>
            </w:r>
          </w:p>
        </w:tc>
      </w:tr>
      <w:tr>
        <w:tc>
          <w:tcPr>
            <w:tcW w:type="dxa" w:w="4320"/>
          </w:tcPr>
          <w:p>
            <w:r/>
            <w:r>
              <w:rPr>
                <w:sz w:val="20"/>
              </w:rPr>
              <w:t>50M - 100M (non-monotonic increase)</w:t>
            </w:r>
          </w:p>
        </w:tc>
        <w:tc>
          <w:tcPr>
            <w:tcW w:type="dxa" w:w="4320"/>
          </w:tcPr>
          <w:p>
            <w:r/>
            <w:r>
              <w:rPr>
                <w:sz w:val="20"/>
              </w:rPr>
              <w:t>9</w:t>
            </w:r>
          </w:p>
        </w:tc>
      </w:tr>
    </w:tbl>
    <w:p>
      <w:r>
        <w:rPr>
          <w:sz w:val="22"/>
        </w:rPr>
        <w:t>The non-monotonic count increase in the 50M-100M range -- combined with manual inspection revealing repeated values of exactly 99,999,999.0 -- confirmed the presence of placeholder values. We adopted a domain-informed cutoff of 500,000 RMB, removing 81 ads (0.010% of ad_feature). The corresponding 1,093 impressions in raw_sample (0.004%) were also removed to maintain referential integrity.</w:t>
      </w:r>
    </w:p>
    <w:p>
      <w:pPr>
        <w:pStyle w:val="Heading3"/>
      </w:pPr>
      <w:r>
        <w:t>4.3.2 Timestamp Filtering in behavior_log</w:t>
      </w:r>
    </w:p>
    <w:p>
      <w:r>
        <w:rPr>
          <w:sz w:val="22"/>
        </w:rPr>
        <w:t>Initial inspection revealed corrupted timestamps spanning 1969 to 2036, far outside the dataset's nominal coverage. Monthly aggregation revealed that 99.998% of rows fell within April-May 2017:</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Month</w:t>
            </w:r>
          </w:p>
        </w:tc>
        <w:tc>
          <w:tcPr>
            <w:tcW w:type="dxa" w:w="4320"/>
          </w:tcPr>
          <w:p>
            <w:r/>
            <w:r>
              <w:rPr>
                <w:b/>
                <w:sz w:val="20"/>
              </w:rPr>
              <w:t>Row Count</w:t>
            </w:r>
          </w:p>
        </w:tc>
      </w:tr>
      <w:tr>
        <w:tc>
          <w:tcPr>
            <w:tcW w:type="dxa" w:w="4320"/>
          </w:tcPr>
          <w:p>
            <w:r/>
            <w:r>
              <w:rPr>
                <w:sz w:val="20"/>
              </w:rPr>
              <w:t>2017-04</w:t>
            </w:r>
          </w:p>
        </w:tc>
        <w:tc>
          <w:tcPr>
            <w:tcW w:type="dxa" w:w="4320"/>
          </w:tcPr>
          <w:p>
            <w:r/>
            <w:r>
              <w:rPr>
                <w:sz w:val="20"/>
              </w:rPr>
              <w:t>272,987,489</w:t>
            </w:r>
          </w:p>
        </w:tc>
      </w:tr>
      <w:tr>
        <w:tc>
          <w:tcPr>
            <w:tcW w:type="dxa" w:w="4320"/>
          </w:tcPr>
          <w:p>
            <w:r/>
            <w:r>
              <w:rPr>
                <w:sz w:val="20"/>
              </w:rPr>
              <w:t>2017-05</w:t>
            </w:r>
          </w:p>
        </w:tc>
        <w:tc>
          <w:tcPr>
            <w:tcW w:type="dxa" w:w="4320"/>
          </w:tcPr>
          <w:p>
            <w:r/>
            <w:r>
              <w:rPr>
                <w:sz w:val="20"/>
              </w:rPr>
              <w:t>450,240,786</w:t>
            </w:r>
          </w:p>
        </w:tc>
      </w:tr>
      <w:tr>
        <w:tc>
          <w:tcPr>
            <w:tcW w:type="dxa" w:w="4320"/>
          </w:tcPr>
          <w:p>
            <w:r/>
            <w:r>
              <w:rPr>
                <w:sz w:val="20"/>
              </w:rPr>
              <w:t>All other 127 months (combined)</w:t>
            </w:r>
          </w:p>
        </w:tc>
        <w:tc>
          <w:tcPr>
            <w:tcW w:type="dxa" w:w="4320"/>
          </w:tcPr>
          <w:p>
            <w:r/>
            <w:r>
              <w:rPr>
                <w:sz w:val="20"/>
              </w:rPr>
              <w:t>~17,000</w:t>
            </w:r>
          </w:p>
        </w:tc>
      </w:tr>
    </w:tbl>
    <w:p>
      <w:r>
        <w:rPr>
          <w:sz w:val="22"/>
        </w:rPr>
        <w:t>The orders-of-magnitude gap between legitimate data and noise made the cutoff unambiguous. We retained rows with timestamps in [2017-04-01 00:00:00 UTC, raw_sample.time_stamp.max()], where the upper bound -- UTC 2017-05-13 11:59:46, the latest impression -- eliminates any post-impression behaviors that could induce future leakage.</w:t>
      </w:r>
    </w:p>
    <w:p>
      <w:pPr>
        <w:pStyle w:val="Heading2"/>
      </w:pPr>
      <w:r>
        <w:t>4.4 Missing Value Treatment</w:t>
      </w:r>
    </w:p>
    <w:p>
      <w:r>
        <w:rPr>
          <w:sz w:val="22"/>
        </w:rPr>
        <w:t>Three columns contained substantial missingness: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Column</w:t>
            </w:r>
          </w:p>
        </w:tc>
        <w:tc>
          <w:tcPr>
            <w:tcW w:type="dxa" w:w="2880"/>
          </w:tcPr>
          <w:p>
            <w:r/>
            <w:r>
              <w:rPr>
                <w:b/>
                <w:sz w:val="20"/>
              </w:rPr>
              <w:t>Missing %</w:t>
            </w:r>
          </w:p>
        </w:tc>
        <w:tc>
          <w:tcPr>
            <w:tcW w:type="dxa" w:w="2880"/>
          </w:tcPr>
          <w:p>
            <w:r/>
            <w:r>
              <w:rPr>
                <w:b/>
                <w:sz w:val="20"/>
              </w:rPr>
              <w:t>Treatment</w:t>
            </w:r>
          </w:p>
        </w:tc>
      </w:tr>
      <w:tr>
        <w:tc>
          <w:tcPr>
            <w:tcW w:type="dxa" w:w="2880"/>
          </w:tcPr>
          <w:p>
            <w:r/>
            <w:r>
              <w:rPr>
                <w:sz w:val="20"/>
              </w:rPr>
              <w:t>ad_feature.brand</w:t>
            </w:r>
          </w:p>
        </w:tc>
        <w:tc>
          <w:tcPr>
            <w:tcW w:type="dxa" w:w="2880"/>
          </w:tcPr>
          <w:p>
            <w:r/>
            <w:r>
              <w:rPr>
                <w:sz w:val="20"/>
              </w:rPr>
              <w:t>29.1%</w:t>
            </w:r>
          </w:p>
        </w:tc>
        <w:tc>
          <w:tcPr>
            <w:tcW w:type="dxa" w:w="2880"/>
          </w:tcPr>
          <w:p>
            <w:r/>
            <w:r>
              <w:rPr>
                <w:sz w:val="20"/>
              </w:rPr>
              <w:t>Dropped (see 4.4.1)</w:t>
            </w:r>
          </w:p>
        </w:tc>
      </w:tr>
      <w:tr>
        <w:tc>
          <w:tcPr>
            <w:tcW w:type="dxa" w:w="2880"/>
          </w:tcPr>
          <w:p>
            <w:r/>
            <w:r>
              <w:rPr>
                <w:sz w:val="20"/>
              </w:rPr>
              <w:t>user_profile.pvalue_level (consumption tier)</w:t>
            </w:r>
          </w:p>
        </w:tc>
        <w:tc>
          <w:tcPr>
            <w:tcW w:type="dxa" w:w="2880"/>
          </w:tcPr>
          <w:p>
            <w:r/>
            <w:r>
              <w:rPr>
                <w:sz w:val="20"/>
              </w:rPr>
              <w:t>54.2%</w:t>
            </w:r>
          </w:p>
        </w:tc>
        <w:tc>
          <w:tcPr>
            <w:tcW w:type="dxa" w:w="2880"/>
          </w:tcPr>
          <w:p>
            <w:r/>
            <w:r>
              <w:rPr>
                <w:sz w:val="20"/>
              </w:rPr>
              <w:t>Filled with 0 (sentinel)</w:t>
            </w:r>
          </w:p>
        </w:tc>
      </w:tr>
      <w:tr>
        <w:tc>
          <w:tcPr>
            <w:tcW w:type="dxa" w:w="2880"/>
          </w:tcPr>
          <w:p>
            <w:r/>
            <w:r>
              <w:rPr>
                <w:sz w:val="20"/>
              </w:rPr>
              <w:t>user_profile.new_user_class_level (city tier)</w:t>
            </w:r>
          </w:p>
        </w:tc>
        <w:tc>
          <w:tcPr>
            <w:tcW w:type="dxa" w:w="2880"/>
          </w:tcPr>
          <w:p>
            <w:r/>
            <w:r>
              <w:rPr>
                <w:sz w:val="20"/>
              </w:rPr>
              <w:t>32.5%</w:t>
            </w:r>
          </w:p>
        </w:tc>
        <w:tc>
          <w:tcPr>
            <w:tcW w:type="dxa" w:w="2880"/>
          </w:tcPr>
          <w:p>
            <w:r/>
            <w:r>
              <w:rPr>
                <w:sz w:val="20"/>
              </w:rPr>
              <w:t>Filled with 0 (sentinel)</w:t>
            </w:r>
          </w:p>
        </w:tc>
      </w:tr>
    </w:tbl>
    <w:p>
      <w:pPr>
        <w:pStyle w:val="Heading3"/>
      </w:pPr>
      <w:r>
        <w:t>4.4.1 Brand Removal</w:t>
      </w:r>
    </w:p>
    <w:p>
      <w:r>
        <w:rPr>
          <w:sz w:val="22"/>
        </w:rPr>
        <w:t>Inspection of brand distribution revealed extreme long-tail behavior: among 99,811 unique brands, 58% had &lt;=2 associated ads, and 80% had &lt;=5 ads. Only 0.5% of brands had &gt;100 ads. For embedding-based models, such sparse representations cannot be reliably learned. We therefore dropped brand entirely, relying on cate_id (functional category) for product-type signal -- cate_id captures the 'what kind of product' semantic at a sufficient granularity (6,769 categories vs. 99,811 brands).</w:t>
      </w:r>
    </w:p>
    <w:p>
      <w:pPr>
        <w:pStyle w:val="Heading3"/>
      </w:pPr>
      <w:r>
        <w:t>4.4.2 Sentinel Filling</w:t>
      </w:r>
    </w:p>
    <w:p>
      <w:r>
        <w:rPr>
          <w:sz w:val="22"/>
        </w:rPr>
        <w:t>For pvalue_level (values 1-3) and new_user_class_level (values 1-4), we filled missing values with 0. The choice of sentinel is principled:</w:t>
      </w:r>
    </w:p>
    <w:p>
      <w:pPr>
        <w:pStyle w:val="ListBullet"/>
      </w:pPr>
      <w:r>
        <w:rPr>
          <w:sz w:val="22"/>
        </w:rPr>
        <w:t>0 lies outside the valid value range, eliminating ambiguity with real categories.</w:t>
      </w:r>
    </w:p>
    <w:p>
      <w:pPr>
        <w:pStyle w:val="ListBullet"/>
      </w:pPr>
      <w:r>
        <w:rPr>
          <w:sz w:val="22"/>
        </w:rPr>
        <w:t>The high missing rate (54% / 32%) provides ample training signal for the embedding of 'unknown' as a distinct semantic state.</w:t>
      </w:r>
    </w:p>
    <w:p>
      <w:pPr>
        <w:pStyle w:val="ListBullet"/>
      </w:pPr>
      <w:r>
        <w:rPr>
          <w:sz w:val="22"/>
        </w:rPr>
        <w:t>For embedding-based deep models (DIN, DeepFM), null values are not natively supported; sentinel filling is operationally necessary.</w:t>
      </w:r>
    </w:p>
    <w:p>
      <w:r>
        <w:rPr>
          <w:sz w:val="22"/>
        </w:rPr>
        <w:t>We interpret missing pvalue_level as a cold-start signal: Alibaba's CMS infers consumption tier from purchase history, so missingness correlates with low-activity users.</w:t>
      </w:r>
    </w:p>
    <w:p>
      <w:pPr>
        <w:pStyle w:val="Heading2"/>
      </w:pPr>
      <w:r>
        <w:t>4.5 Table Joining</w:t>
      </w:r>
    </w:p>
    <w:p>
      <w:r>
        <w:rPr>
          <w:sz w:val="22"/>
        </w:rPr>
        <w:t>The three small tables were merged into a unified wide table via left joins, with raw_sample as the fact table:</w:t>
      </w:r>
    </w:p>
    <w:p>
      <w:r>
        <w:rPr>
          <w:rFonts w:ascii="Courier New" w:hAnsi="Courier New"/>
          <w:sz w:val="20"/>
        </w:rPr>
        <w:t>trainData = raw_sample</w:t>
        <w:br/>
        <w:t xml:space="preserve">            JOIN ad_feature   (on adgroup_id, left)</w:t>
        <w:br/>
        <w:t xml:space="preserve">            JOIN user_profile (on user, left)</w:t>
      </w:r>
    </w:p>
    <w:p>
      <w:r>
        <w:rPr>
          <w:sz w:val="22"/>
        </w:rPr>
        <w:t>Post-join statistics:</w:t>
      </w:r>
    </w:p>
    <w:p>
      <w:pPr>
        <w:pStyle w:val="ListBullet"/>
      </w:pPr>
      <w:r>
        <w:rPr>
          <w:sz w:val="22"/>
        </w:rPr>
        <w:t>Final shape: 26,556,868 x 17 (no row inflation, confirming many-to-one joins)</w:t>
      </w:r>
    </w:p>
    <w:p>
      <w:pPr>
        <w:pStyle w:val="ListBullet"/>
      </w:pPr>
      <w:r>
        <w:rPr>
          <w:sz w:val="22"/>
        </w:rPr>
        <w:t>ad_feature columns: 0 null entries (synchronized in 4.3.1)</w:t>
      </w:r>
    </w:p>
    <w:p>
      <w:pPr>
        <w:pStyle w:val="ListBullet"/>
      </w:pPr>
      <w:r>
        <w:rPr>
          <w:sz w:val="22"/>
        </w:rPr>
        <w:t>user_profile columns: 1,528,492 null entries per column (5.8%) corresponding to 79,961 unique 'orphan' users present in raw_sample but absent from user_profile</w:t>
      </w:r>
    </w:p>
    <w:p>
      <w:r>
        <w:rPr>
          <w:sz w:val="22"/>
        </w:rPr>
        <w:t>The orphan users are most likely an artifact of the dataset's sampling procedure (separate sampling of profile records vs. impression records) rather than genuine cold-start users.</w:t>
      </w:r>
    </w:p>
    <w:p>
      <w:pPr>
        <w:pStyle w:val="Heading2"/>
      </w:pPr>
      <w:r>
        <w:t>4.6 Ablation Design: Versions A and B</w:t>
      </w:r>
    </w:p>
    <w:p>
      <w:r>
        <w:rPr>
          <w:sz w:val="22"/>
        </w:rPr>
        <w:t>To rigorously evaluate the cost of orphan-user retention, we constructed two parallel versions of the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r>
          </w:p>
        </w:tc>
        <w:tc>
          <w:tcPr>
            <w:tcW w:type="dxa" w:w="2880"/>
          </w:tcPr>
          <w:p>
            <w:r/>
            <w:r>
              <w:rPr>
                <w:b/>
                <w:sz w:val="20"/>
              </w:rPr>
              <w:t>Version A (Retention)</w:t>
            </w:r>
          </w:p>
        </w:tc>
        <w:tc>
          <w:tcPr>
            <w:tcW w:type="dxa" w:w="2880"/>
          </w:tcPr>
          <w:p>
            <w:r/>
            <w:r>
              <w:rPr>
                <w:b/>
                <w:sz w:val="20"/>
              </w:rPr>
              <w:t>Version B (Removal)</w:t>
            </w:r>
          </w:p>
        </w:tc>
      </w:tr>
      <w:tr>
        <w:tc>
          <w:tcPr>
            <w:tcW w:type="dxa" w:w="2880"/>
          </w:tcPr>
          <w:p>
            <w:r/>
            <w:r>
              <w:rPr>
                <w:sz w:val="20"/>
              </w:rPr>
              <w:t>Orphan users</w:t>
            </w:r>
          </w:p>
        </w:tc>
        <w:tc>
          <w:tcPr>
            <w:tcW w:type="dxa" w:w="2880"/>
          </w:tcPr>
          <w:p>
            <w:r/>
            <w:r>
              <w:rPr>
                <w:sz w:val="20"/>
              </w:rPr>
              <w:t>Retained</w:t>
            </w:r>
          </w:p>
        </w:tc>
        <w:tc>
          <w:tcPr>
            <w:tcW w:type="dxa" w:w="2880"/>
          </w:tcPr>
          <w:p>
            <w:r/>
            <w:r>
              <w:rPr>
                <w:sz w:val="20"/>
              </w:rPr>
              <w:t>Filtered out</w:t>
            </w:r>
          </w:p>
        </w:tc>
      </w:tr>
      <w:tr>
        <w:tc>
          <w:tcPr>
            <w:tcW w:type="dxa" w:w="2880"/>
          </w:tcPr>
          <w:p>
            <w:r/>
            <w:r>
              <w:rPr>
                <w:sz w:val="20"/>
              </w:rPr>
              <w:t>Profile null filling</w:t>
            </w:r>
          </w:p>
        </w:tc>
        <w:tc>
          <w:tcPr>
            <w:tcW w:type="dxa" w:w="2880"/>
          </w:tcPr>
          <w:p>
            <w:r/>
            <w:r>
              <w:rPr>
                <w:sz w:val="20"/>
              </w:rPr>
              <w:t>Filled with 0</w:t>
            </w:r>
          </w:p>
        </w:tc>
        <w:tc>
          <w:tcPr>
            <w:tcW w:type="dxa" w:w="2880"/>
          </w:tcPr>
          <w:p>
            <w:r/>
            <w:r>
              <w:rPr>
                <w:sz w:val="20"/>
              </w:rPr>
              <w:t>N/A</w:t>
            </w:r>
          </w:p>
        </w:tc>
      </w:tr>
      <w:tr>
        <w:tc>
          <w:tcPr>
            <w:tcW w:type="dxa" w:w="2880"/>
          </w:tcPr>
          <w:p>
            <w:r/>
            <w:r>
              <w:rPr>
                <w:sz w:val="20"/>
              </w:rPr>
              <w:t>has_profile flag</w:t>
            </w:r>
          </w:p>
        </w:tc>
        <w:tc>
          <w:tcPr>
            <w:tcW w:type="dxa" w:w="2880"/>
          </w:tcPr>
          <w:p>
            <w:r/>
            <w:r>
              <w:rPr>
                <w:sz w:val="20"/>
              </w:rPr>
              <w:t>Added (0/1)</w:t>
            </w:r>
          </w:p>
        </w:tc>
        <w:tc>
          <w:tcPr>
            <w:tcW w:type="dxa" w:w="2880"/>
          </w:tcPr>
          <w:p>
            <w:r/>
            <w:r>
              <w:rPr>
                <w:sz w:val="20"/>
              </w:rPr>
              <w:t>Not present</w:t>
            </w:r>
          </w:p>
        </w:tc>
      </w:tr>
      <w:tr>
        <w:tc>
          <w:tcPr>
            <w:tcW w:type="dxa" w:w="2880"/>
          </w:tcPr>
          <w:p>
            <w:r/>
            <w:r>
              <w:rPr>
                <w:sz w:val="20"/>
              </w:rPr>
              <w:t>Final rows</w:t>
            </w:r>
          </w:p>
        </w:tc>
        <w:tc>
          <w:tcPr>
            <w:tcW w:type="dxa" w:w="2880"/>
          </w:tcPr>
          <w:p>
            <w:r/>
            <w:r>
              <w:rPr>
                <w:sz w:val="20"/>
              </w:rPr>
              <w:t>26,556,868</w:t>
            </w:r>
          </w:p>
        </w:tc>
        <w:tc>
          <w:tcPr>
            <w:tcW w:type="dxa" w:w="2880"/>
          </w:tcPr>
          <w:p>
            <w:r/>
            <w:r>
              <w:rPr>
                <w:sz w:val="20"/>
              </w:rPr>
              <w:t>25,028,376</w:t>
            </w:r>
          </w:p>
        </w:tc>
      </w:tr>
    </w:tbl>
    <w:p>
      <w:r>
        <w:rPr>
          <w:sz w:val="22"/>
        </w:rPr>
        <w:t>Empirical observation: train CTR for Version A is 0.0519 vs. 0.0518 for Version B -- a difference of 0.01 percentage points. This near-equivalence suggests orphan users do not exhibit anomalous click behavior, weakening the case that they constitute a distinct subpopulation. The two versions provide a controlled experimental contrast on whether fill-and-flag or removal yields better downstream model performance.</w:t>
      </w:r>
    </w:p>
    <w:p>
      <w:pPr>
        <w:pStyle w:val="Heading2"/>
      </w:pPr>
      <w:r>
        <w:t>4.7 Feature Engineering</w:t>
      </w:r>
    </w:p>
    <w:p>
      <w:pPr>
        <w:pStyle w:val="Heading3"/>
      </w:pPr>
      <w:r>
        <w:t>4.7.1 Temporal Features</w:t>
      </w:r>
    </w:p>
    <w:p>
      <w:r>
        <w:rPr>
          <w:sz w:val="22"/>
        </w:rPr>
        <w:t>Raw Unix timestamps are not interpretable to ML models. We extracted two derived features after converting timestamps from UTC to Beijing time (UTC+8) to align with user-facing behavior patterns:</w:t>
      </w:r>
    </w:p>
    <w:p>
      <w:pPr>
        <w:pStyle w:val="ListBullet"/>
      </w:pPr>
      <w:r>
        <w:rPr>
          <w:sz w:val="22"/>
        </w:rPr>
        <w:t>hour in [0, 23]: hour of day (Beijing time)</w:t>
      </w:r>
    </w:p>
    <w:p>
      <w:pPr>
        <w:pStyle w:val="ListBullet"/>
      </w:pPr>
      <w:r>
        <w:rPr>
          <w:sz w:val="22"/>
        </w:rPr>
        <w:t>day_of_week in [1, 7]: ISO 8601 weekday (Mon=1, Sun=7)</w:t>
      </w:r>
    </w:p>
    <w:p>
      <w:r>
        <w:rPr>
          <w:sz w:val="22"/>
        </w:rPr>
        <w:t>Inspection of the resulting hour distribution confirmed plausible click patterns -- peaks at 19:00-22:00 (evening shopping) and troughs at 03:00-05:00 (overnight) -- validating the timezone correction.</w:t>
      </w:r>
    </w:p>
    <w:p>
      <w:pPr>
        <w:pStyle w:val="Heading3"/>
      </w:pPr>
      <w:r>
        <w:t>4.7.2 Numerical Transformation</w:t>
      </w:r>
    </w:p>
    <w:p>
      <w:r>
        <w:rPr>
          <w:sz w:val="22"/>
        </w:rPr>
        <w:t>price exhibited extreme right-skewness even after outlier removal. We applied a log transform log_price = log(price + 1), which normalizes the distribution into an approximately Gaussian shape (range approx [0, 13]), improving training stability for linear and deep models that are sensitive to feature scale. The original price was retained alongside log_price to allow the model to leverage either representation.</w:t>
      </w:r>
    </w:p>
    <w:p>
      <w:pPr>
        <w:pStyle w:val="Heading3"/>
      </w:pPr>
      <w:r>
        <w:t>4.7.3 Categorical Encoding</w:t>
      </w:r>
    </w:p>
    <w:p>
      <w:r>
        <w:rPr>
          <w:sz w:val="22"/>
        </w:rPr>
        <w:t>Six high-cardinality columns underwent dense-rank label encoding to map original IDs to contiguous integers in [0, N-1], where N is the number of unique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Column</w:t>
            </w:r>
          </w:p>
        </w:tc>
        <w:tc>
          <w:tcPr>
            <w:tcW w:type="dxa" w:w="2160"/>
          </w:tcPr>
          <w:p>
            <w:r/>
            <w:r>
              <w:rPr>
                <w:b/>
                <w:sz w:val="20"/>
              </w:rPr>
              <w:t>Original Range</w:t>
            </w:r>
          </w:p>
        </w:tc>
        <w:tc>
          <w:tcPr>
            <w:tcW w:type="dxa" w:w="2160"/>
          </w:tcPr>
          <w:p>
            <w:r/>
            <w:r>
              <w:rPr>
                <w:b/>
                <w:sz w:val="20"/>
              </w:rPr>
              <w:t>n_unique</w:t>
            </w:r>
          </w:p>
        </w:tc>
        <w:tc>
          <w:tcPr>
            <w:tcW w:type="dxa" w:w="2160"/>
          </w:tcPr>
          <w:p>
            <w:r/>
            <w:r>
              <w:rPr>
                <w:b/>
                <w:sz w:val="20"/>
              </w:rPr>
              <w:t>Encoded Range</w:t>
            </w:r>
          </w:p>
        </w:tc>
      </w:tr>
      <w:tr>
        <w:tc>
          <w:tcPr>
            <w:tcW w:type="dxa" w:w="2160"/>
          </w:tcPr>
          <w:p>
            <w:r/>
            <w:r>
              <w:rPr>
                <w:sz w:val="20"/>
              </w:rPr>
              <w:t>pid</w:t>
            </w:r>
          </w:p>
        </w:tc>
        <w:tc>
          <w:tcPr>
            <w:tcW w:type="dxa" w:w="2160"/>
          </w:tcPr>
          <w:p>
            <w:r/>
            <w:r>
              <w:rPr>
                <w:sz w:val="20"/>
              </w:rPr>
              <w:t>string</w:t>
            </w:r>
          </w:p>
        </w:tc>
        <w:tc>
          <w:tcPr>
            <w:tcW w:type="dxa" w:w="2160"/>
          </w:tcPr>
          <w:p>
            <w:r/>
            <w:r>
              <w:rPr>
                <w:sz w:val="20"/>
              </w:rPr>
              <w:t>2</w:t>
            </w:r>
          </w:p>
        </w:tc>
        <w:tc>
          <w:tcPr>
            <w:tcW w:type="dxa" w:w="2160"/>
          </w:tcPr>
          <w:p>
            <w:r/>
            <w:r>
              <w:rPr>
                <w:sz w:val="20"/>
              </w:rPr>
              <w:t>[0, 1]</w:t>
            </w:r>
          </w:p>
        </w:tc>
      </w:tr>
      <w:tr>
        <w:tc>
          <w:tcPr>
            <w:tcW w:type="dxa" w:w="2160"/>
          </w:tcPr>
          <w:p>
            <w:r/>
            <w:r>
              <w:rPr>
                <w:sz w:val="20"/>
              </w:rPr>
              <w:t>cate_id</w:t>
            </w:r>
          </w:p>
        </w:tc>
        <w:tc>
          <w:tcPr>
            <w:tcW w:type="dxa" w:w="2160"/>
          </w:tcPr>
          <w:p>
            <w:r/>
            <w:r>
              <w:rPr>
                <w:sz w:val="20"/>
              </w:rPr>
              <w:t>[1, 12,960]</w:t>
            </w:r>
          </w:p>
        </w:tc>
        <w:tc>
          <w:tcPr>
            <w:tcW w:type="dxa" w:w="2160"/>
          </w:tcPr>
          <w:p>
            <w:r/>
            <w:r>
              <w:rPr>
                <w:sz w:val="20"/>
              </w:rPr>
              <w:t>6,769</w:t>
            </w:r>
          </w:p>
        </w:tc>
        <w:tc>
          <w:tcPr>
            <w:tcW w:type="dxa" w:w="2160"/>
          </w:tcPr>
          <w:p>
            <w:r/>
            <w:r>
              <w:rPr>
                <w:sz w:val="20"/>
              </w:rPr>
              <w:t>[0, 6,768]</w:t>
            </w:r>
          </w:p>
        </w:tc>
      </w:tr>
      <w:tr>
        <w:tc>
          <w:tcPr>
            <w:tcW w:type="dxa" w:w="2160"/>
          </w:tcPr>
          <w:p>
            <w:r/>
            <w:r>
              <w:rPr>
                <w:sz w:val="20"/>
              </w:rPr>
              <w:t>user</w:t>
            </w:r>
          </w:p>
        </w:tc>
        <w:tc>
          <w:tcPr>
            <w:tcW w:type="dxa" w:w="2160"/>
          </w:tcPr>
          <w:p>
            <w:r/>
            <w:r>
              <w:rPr>
                <w:sz w:val="20"/>
              </w:rPr>
              <w:t>[1, 1,141,729]</w:t>
            </w:r>
          </w:p>
        </w:tc>
        <w:tc>
          <w:tcPr>
            <w:tcW w:type="dxa" w:w="2160"/>
          </w:tcPr>
          <w:p>
            <w:r/>
            <w:r>
              <w:rPr>
                <w:sz w:val="20"/>
              </w:rPr>
              <w:t>1,141,726</w:t>
            </w:r>
          </w:p>
        </w:tc>
        <w:tc>
          <w:tcPr>
            <w:tcW w:type="dxa" w:w="2160"/>
          </w:tcPr>
          <w:p>
            <w:r/>
            <w:r>
              <w:rPr>
                <w:sz w:val="20"/>
              </w:rPr>
              <w:t>[0, 1,141,725]</w:t>
            </w:r>
          </w:p>
        </w:tc>
      </w:tr>
      <w:tr>
        <w:tc>
          <w:tcPr>
            <w:tcW w:type="dxa" w:w="2160"/>
          </w:tcPr>
          <w:p>
            <w:r/>
            <w:r>
              <w:rPr>
                <w:sz w:val="20"/>
              </w:rPr>
              <w:t>adgroup_id</w:t>
            </w:r>
          </w:p>
        </w:tc>
        <w:tc>
          <w:tcPr>
            <w:tcW w:type="dxa" w:w="2160"/>
          </w:tcPr>
          <w:p>
            <w:r/>
            <w:r>
              <w:rPr>
                <w:sz w:val="20"/>
              </w:rPr>
              <w:t>[1, 846,811]</w:t>
            </w:r>
          </w:p>
        </w:tc>
        <w:tc>
          <w:tcPr>
            <w:tcW w:type="dxa" w:w="2160"/>
          </w:tcPr>
          <w:p>
            <w:r/>
            <w:r>
              <w:rPr>
                <w:sz w:val="20"/>
              </w:rPr>
              <w:t>846,730</w:t>
            </w:r>
          </w:p>
        </w:tc>
        <w:tc>
          <w:tcPr>
            <w:tcW w:type="dxa" w:w="2160"/>
          </w:tcPr>
          <w:p>
            <w:r/>
            <w:r>
              <w:rPr>
                <w:sz w:val="20"/>
              </w:rPr>
              <w:t>[0, 846,729]</w:t>
            </w:r>
          </w:p>
        </w:tc>
      </w:tr>
      <w:tr>
        <w:tc>
          <w:tcPr>
            <w:tcW w:type="dxa" w:w="2160"/>
          </w:tcPr>
          <w:p>
            <w:r/>
            <w:r>
              <w:rPr>
                <w:sz w:val="20"/>
              </w:rPr>
              <w:t>campaign_id</w:t>
            </w:r>
          </w:p>
        </w:tc>
        <w:tc>
          <w:tcPr>
            <w:tcW w:type="dxa" w:w="2160"/>
          </w:tcPr>
          <w:p>
            <w:r/>
            <w:r>
              <w:rPr>
                <w:sz w:val="20"/>
              </w:rPr>
              <w:t>[1, 423,436]</w:t>
            </w:r>
          </w:p>
        </w:tc>
        <w:tc>
          <w:tcPr>
            <w:tcW w:type="dxa" w:w="2160"/>
          </w:tcPr>
          <w:p>
            <w:r/>
            <w:r>
              <w:rPr>
                <w:sz w:val="20"/>
              </w:rPr>
              <w:t>423,420</w:t>
            </w:r>
          </w:p>
        </w:tc>
        <w:tc>
          <w:tcPr>
            <w:tcW w:type="dxa" w:w="2160"/>
          </w:tcPr>
          <w:p>
            <w:r/>
            <w:r>
              <w:rPr>
                <w:sz w:val="20"/>
              </w:rPr>
              <w:t>[0, 423,419]</w:t>
            </w:r>
          </w:p>
        </w:tc>
      </w:tr>
      <w:tr>
        <w:tc>
          <w:tcPr>
            <w:tcW w:type="dxa" w:w="2160"/>
          </w:tcPr>
          <w:p>
            <w:r/>
            <w:r>
              <w:rPr>
                <w:sz w:val="20"/>
              </w:rPr>
              <w:t>customer</w:t>
            </w:r>
          </w:p>
        </w:tc>
        <w:tc>
          <w:tcPr>
            <w:tcW w:type="dxa" w:w="2160"/>
          </w:tcPr>
          <w:p>
            <w:r/>
            <w:r>
              <w:rPr>
                <w:sz w:val="20"/>
              </w:rPr>
              <w:t>[1, 255,875]</w:t>
            </w:r>
          </w:p>
        </w:tc>
        <w:tc>
          <w:tcPr>
            <w:tcW w:type="dxa" w:w="2160"/>
          </w:tcPr>
          <w:p>
            <w:r/>
            <w:r>
              <w:rPr>
                <w:sz w:val="20"/>
              </w:rPr>
              <w:t>255,869</w:t>
            </w:r>
          </w:p>
        </w:tc>
        <w:tc>
          <w:tcPr>
            <w:tcW w:type="dxa" w:w="2160"/>
          </w:tcPr>
          <w:p>
            <w:r/>
            <w:r>
              <w:rPr>
                <w:sz w:val="20"/>
              </w:rPr>
              <w:t>[0, 255,868]</w:t>
            </w:r>
          </w:p>
        </w:tc>
      </w:tr>
    </w:tbl>
    <w:p>
      <w:r>
        <w:rPr>
          <w:sz w:val="22"/>
        </w:rPr>
        <w:t>The most significant gain occurred for cate_id, where the original ID space contained 47.8% unused slots; encoding compressed the embedding table accordingly. The contiguous, 0-indexed format aligns with PyTorch's nn.Embedding API conventions. Lower-cardinality categorical columns (e.g., final_gender_code, age_level, cms_segid) were left unmodified, as they already lay in compact integer ranges with no significant gaps.</w:t>
      </w:r>
    </w:p>
    <w:p>
      <w:pPr>
        <w:pStyle w:val="Heading2"/>
      </w:pPr>
      <w:r>
        <w:t>4.8 Train/Validation/Test Split</w:t>
      </w:r>
    </w:p>
    <w:p>
      <w:r>
        <w:rPr>
          <w:sz w:val="22"/>
        </w:rPr>
        <w:t>To simulate production deployment, we adopted a strictly time-based three-way split. Random splitting was deliberately avoided to prevent training-time leakage of future information. All split boundaries are defined at UTC midnight, equivalent to 08:00 Beijing 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Split</w:t>
            </w:r>
          </w:p>
        </w:tc>
        <w:tc>
          <w:tcPr>
            <w:tcW w:type="dxa" w:w="2160"/>
          </w:tcPr>
          <w:p>
            <w:r/>
            <w:r>
              <w:rPr>
                <w:b/>
                <w:sz w:val="20"/>
              </w:rPr>
              <w:t>Time Range (UTC)</w:t>
            </w:r>
          </w:p>
        </w:tc>
        <w:tc>
          <w:tcPr>
            <w:tcW w:type="dxa" w:w="2160"/>
          </w:tcPr>
          <w:p>
            <w:r/>
            <w:r>
              <w:rPr>
                <w:b/>
                <w:sz w:val="20"/>
              </w:rPr>
              <w:t>Rows</w:t>
            </w:r>
          </w:p>
        </w:tc>
        <w:tc>
          <w:tcPr>
            <w:tcW w:type="dxa" w:w="2160"/>
          </w:tcPr>
          <w:p>
            <w:r/>
            <w:r>
              <w:rPr>
                <w:b/>
                <w:sz w:val="20"/>
              </w:rPr>
              <w:t>Proportion</w:t>
            </w:r>
          </w:p>
        </w:tc>
      </w:tr>
      <w:tr>
        <w:tc>
          <w:tcPr>
            <w:tcW w:type="dxa" w:w="2160"/>
          </w:tcPr>
          <w:p>
            <w:r/>
            <w:r>
              <w:rPr>
                <w:sz w:val="20"/>
              </w:rPr>
              <w:t>Train</w:t>
            </w:r>
          </w:p>
        </w:tc>
        <w:tc>
          <w:tcPr>
            <w:tcW w:type="dxa" w:w="2160"/>
          </w:tcPr>
          <w:p>
            <w:r/>
            <w:r>
              <w:rPr>
                <w:sz w:val="20"/>
              </w:rPr>
              <w:t>2017-05-05 12:00 - 2017-05-12 00:00</w:t>
            </w:r>
          </w:p>
        </w:tc>
        <w:tc>
          <w:tcPr>
            <w:tcW w:type="dxa" w:w="2160"/>
          </w:tcPr>
          <w:p>
            <w:r/>
            <w:r>
              <w:rPr>
                <w:sz w:val="20"/>
              </w:rPr>
              <w:t>20,437,223</w:t>
            </w:r>
          </w:p>
        </w:tc>
        <w:tc>
          <w:tcPr>
            <w:tcW w:type="dxa" w:w="2160"/>
          </w:tcPr>
          <w:p>
            <w:r/>
            <w:r>
              <w:rPr>
                <w:sz w:val="20"/>
              </w:rPr>
              <w:t>77.0%</w:t>
            </w:r>
          </w:p>
        </w:tc>
      </w:tr>
      <w:tr>
        <w:tc>
          <w:tcPr>
            <w:tcW w:type="dxa" w:w="2160"/>
          </w:tcPr>
          <w:p>
            <w:r/>
            <w:r>
              <w:rPr>
                <w:sz w:val="20"/>
              </w:rPr>
              <w:t>Validation</w:t>
            </w:r>
          </w:p>
        </w:tc>
        <w:tc>
          <w:tcPr>
            <w:tcW w:type="dxa" w:w="2160"/>
          </w:tcPr>
          <w:p>
            <w:r/>
            <w:r>
              <w:rPr>
                <w:sz w:val="20"/>
              </w:rPr>
              <w:t>2017-05-12 00:00 - 2017-05-13 00:00</w:t>
            </w:r>
          </w:p>
        </w:tc>
        <w:tc>
          <w:tcPr>
            <w:tcW w:type="dxa" w:w="2160"/>
          </w:tcPr>
          <w:p>
            <w:r/>
            <w:r>
              <w:rPr>
                <w:sz w:val="20"/>
              </w:rPr>
              <w:t>3,271,268</w:t>
            </w:r>
          </w:p>
        </w:tc>
        <w:tc>
          <w:tcPr>
            <w:tcW w:type="dxa" w:w="2160"/>
          </w:tcPr>
          <w:p>
            <w:r/>
            <w:r>
              <w:rPr>
                <w:sz w:val="20"/>
              </w:rPr>
              <w:t>12.3%</w:t>
            </w:r>
          </w:p>
        </w:tc>
      </w:tr>
      <w:tr>
        <w:tc>
          <w:tcPr>
            <w:tcW w:type="dxa" w:w="2160"/>
          </w:tcPr>
          <w:p>
            <w:r/>
            <w:r>
              <w:rPr>
                <w:sz w:val="20"/>
              </w:rPr>
              <w:t>Test</w:t>
            </w:r>
          </w:p>
        </w:tc>
        <w:tc>
          <w:tcPr>
            <w:tcW w:type="dxa" w:w="2160"/>
          </w:tcPr>
          <w:p>
            <w:r/>
            <w:r>
              <w:rPr>
                <w:sz w:val="20"/>
              </w:rPr>
              <w:t>2017-05-13 00:00 - 2017-05-13 11:59</w:t>
            </w:r>
          </w:p>
        </w:tc>
        <w:tc>
          <w:tcPr>
            <w:tcW w:type="dxa" w:w="2160"/>
          </w:tcPr>
          <w:p>
            <w:r/>
            <w:r>
              <w:rPr>
                <w:sz w:val="20"/>
              </w:rPr>
              <w:t>2,848,377</w:t>
            </w:r>
          </w:p>
        </w:tc>
        <w:tc>
          <w:tcPr>
            <w:tcW w:type="dxa" w:w="2160"/>
          </w:tcPr>
          <w:p>
            <w:r/>
            <w:r>
              <w:rPr>
                <w:sz w:val="20"/>
              </w:rPr>
              <w:t>10.7%</w:t>
            </w:r>
          </w:p>
        </w:tc>
      </w:tr>
    </w:tbl>
    <w:p>
      <w:r>
        <w:rPr>
          <w:sz w:val="22"/>
        </w:rPr>
        <w:t>The CTR distributions across splits -- 0.0519 / 0.0493 / 0.0504 -- exhibit minimal drift, indicating that temporal stationarity holds across the 8-day window and supporting the validity of train-time statistics for downstream feature engineering.</w:t>
      </w:r>
    </w:p>
    <w:p>
      <w:pPr>
        <w:pStyle w:val="Heading2"/>
      </w:pPr>
      <w:r>
        <w:t>4.9 Impression-Level Aggregate Features (Leakage-Safe)</w:t>
      </w:r>
    </w:p>
    <w:p>
      <w:r>
        <w:rPr>
          <w:sz w:val="22"/>
        </w:rPr>
        <w:t>To strengthen baseline models (LR, LightGBM) that cannot natively learn ID-based interactions, we augmented the feature set with six aggregate statistics derived strictly from the training partition of raw_sample: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Feature</w:t>
            </w:r>
          </w:p>
        </w:tc>
        <w:tc>
          <w:tcPr>
            <w:tcW w:type="dxa" w:w="4320"/>
          </w:tcPr>
          <w:p>
            <w:r/>
            <w:r>
              <w:rPr>
                <w:b/>
                <w:sz w:val="20"/>
              </w:rPr>
              <w:t>Definition</w:t>
            </w:r>
          </w:p>
        </w:tc>
      </w:tr>
      <w:tr>
        <w:tc>
          <w:tcPr>
            <w:tcW w:type="dxa" w:w="4320"/>
          </w:tcPr>
          <w:p>
            <w:r/>
            <w:r>
              <w:rPr>
                <w:sz w:val="20"/>
              </w:rPr>
              <w:t>user_imp_count</w:t>
            </w:r>
          </w:p>
        </w:tc>
        <w:tc>
          <w:tcPr>
            <w:tcW w:type="dxa" w:w="4320"/>
          </w:tcPr>
          <w:p>
            <w:r/>
            <w:r>
              <w:rPr>
                <w:sz w:val="20"/>
              </w:rPr>
              <w:t>Number of impressions per user (in train)</w:t>
            </w:r>
          </w:p>
        </w:tc>
      </w:tr>
      <w:tr>
        <w:tc>
          <w:tcPr>
            <w:tcW w:type="dxa" w:w="4320"/>
          </w:tcPr>
          <w:p>
            <w:r/>
            <w:r>
              <w:rPr>
                <w:sz w:val="20"/>
              </w:rPr>
              <w:t>user_ctr</w:t>
            </w:r>
          </w:p>
        </w:tc>
        <w:tc>
          <w:tcPr>
            <w:tcW w:type="dxa" w:w="4320"/>
          </w:tcPr>
          <w:p>
            <w:r/>
            <w:r>
              <w:rPr>
                <w:sz w:val="20"/>
              </w:rPr>
              <w:t>Empirical click rate per user (in train)</w:t>
            </w:r>
          </w:p>
        </w:tc>
      </w:tr>
      <w:tr>
        <w:tc>
          <w:tcPr>
            <w:tcW w:type="dxa" w:w="4320"/>
          </w:tcPr>
          <w:p>
            <w:r/>
            <w:r>
              <w:rPr>
                <w:sz w:val="20"/>
              </w:rPr>
              <w:t>ad_imp_count</w:t>
            </w:r>
          </w:p>
        </w:tc>
        <w:tc>
          <w:tcPr>
            <w:tcW w:type="dxa" w:w="4320"/>
          </w:tcPr>
          <w:p>
            <w:r/>
            <w:r>
              <w:rPr>
                <w:sz w:val="20"/>
              </w:rPr>
              <w:t>Number of impressions per ad (in train)</w:t>
            </w:r>
          </w:p>
        </w:tc>
      </w:tr>
      <w:tr>
        <w:tc>
          <w:tcPr>
            <w:tcW w:type="dxa" w:w="4320"/>
          </w:tcPr>
          <w:p>
            <w:r/>
            <w:r>
              <w:rPr>
                <w:sz w:val="20"/>
              </w:rPr>
              <w:t>ad_ctr</w:t>
            </w:r>
          </w:p>
        </w:tc>
        <w:tc>
          <w:tcPr>
            <w:tcW w:type="dxa" w:w="4320"/>
          </w:tcPr>
          <w:p>
            <w:r/>
            <w:r>
              <w:rPr>
                <w:sz w:val="20"/>
              </w:rPr>
              <w:t>Empirical click rate per ad (in train)</w:t>
            </w:r>
          </w:p>
        </w:tc>
      </w:tr>
      <w:tr>
        <w:tc>
          <w:tcPr>
            <w:tcW w:type="dxa" w:w="4320"/>
          </w:tcPr>
          <w:p>
            <w:r/>
            <w:r>
              <w:rPr>
                <w:sz w:val="20"/>
              </w:rPr>
              <w:t>cate_ctr</w:t>
            </w:r>
          </w:p>
        </w:tc>
        <w:tc>
          <w:tcPr>
            <w:tcW w:type="dxa" w:w="4320"/>
          </w:tcPr>
          <w:p>
            <w:r/>
            <w:r>
              <w:rPr>
                <w:sz w:val="20"/>
              </w:rPr>
              <w:t>Empirical click rate per category (in train)</w:t>
            </w:r>
          </w:p>
        </w:tc>
      </w:tr>
      <w:tr>
        <w:tc>
          <w:tcPr>
            <w:tcW w:type="dxa" w:w="4320"/>
          </w:tcPr>
          <w:p>
            <w:r/>
            <w:r>
              <w:rPr>
                <w:sz w:val="20"/>
              </w:rPr>
              <w:t>user_cate_ctr</w:t>
            </w:r>
          </w:p>
        </w:tc>
        <w:tc>
          <w:tcPr>
            <w:tcW w:type="dxa" w:w="4320"/>
          </w:tcPr>
          <w:p>
            <w:r/>
            <w:r>
              <w:rPr>
                <w:sz w:val="20"/>
              </w:rPr>
              <w:t>User-by-category empirical click rate (in train), Bayesian-smoothed</w:t>
            </w:r>
          </w:p>
        </w:tc>
      </w:tr>
    </w:tbl>
    <w:p>
      <w:r>
        <w:rPr>
          <w:sz w:val="22"/>
        </w:rPr>
        <w:t>These statistics were computed on train only and joined to all three splits (train, val, test). Lookups for IDs unseen in train were filled with the global training CTR (5.19% for Version A, 5.18% for Version B). Statistics were computed independently for Versions A and B to preserve experimental isolation. This procedure guarantees no test-set or validation-set labels enter the feature computation pipeline.</w:t>
      </w:r>
    </w:p>
    <w:p>
      <w:r>
        <w:rPr>
          <w:sz w:val="22"/>
        </w:rPr>
        <w:t>user_cate_ctr is a statistical cross-aggregate -- a per-user, per-category click rate -- computed at sparse (user, category) pairs that actually appear in train (5,487,344 pairs in Version A; 5,169,445 in Version B), avoiding a Cartesian explosion. This feature provides baseline models with a strong, ad-relevant interest signal that they cannot otherwise easily learn from raw IDs.</w:t>
      </w:r>
    </w:p>
    <w:p>
      <w:r>
        <w:rPr>
          <w:sz w:val="22"/>
        </w:rPr>
        <w:t>Because (user, category) pairs often have few impressions, the empirical rate is high-variance. We apply Bayesian smoothing identical in form to the buy-rate smoothing in section 4.10:</w:t>
      </w:r>
    </w:p>
    <w:p>
      <w:r>
        <w:rPr>
          <w:rFonts w:ascii="Courier New" w:hAnsi="Courier New"/>
          <w:sz w:val="20"/>
        </w:rPr>
        <w:t>user_cate_ctr = (n_clk + alpha * global_ctr) / (n_imp + alpha)</w:t>
      </w:r>
    </w:p>
    <w:p>
      <w:r>
        <w:rPr>
          <w:sz w:val="22"/>
        </w:rPr>
        <w:t>with alpha = 10. This pulls high-variance pairs (e.g., 1 impression and 1 click) toward the global rate while preserving accurate estimates for high-volume pairs.</w:t>
      </w:r>
    </w:p>
    <w:p>
      <w:pPr>
        <w:pStyle w:val="Heading2"/>
      </w:pPr>
      <w:r>
        <w:t>4.10 Behavior-Log Aggregate Features (with Bayesian Smoothing)</w:t>
      </w:r>
    </w:p>
    <w:p>
      <w:r>
        <w:rPr>
          <w:sz w:val="22"/>
        </w:rPr>
        <w:t>To provide all baseline models with summary signals of user activity patterns -- and to ensure a fair comparison with DIN, which consumes the full behavior sequence -- we extracted seven user-level features from the behavior_log table.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Feature</w:t>
            </w:r>
          </w:p>
        </w:tc>
        <w:tc>
          <w:tcPr>
            <w:tcW w:type="dxa" w:w="4320"/>
          </w:tcPr>
          <w:p>
            <w:r/>
            <w:r>
              <w:rPr>
                <w:b/>
                <w:sz w:val="20"/>
              </w:rPr>
              <w:t>Definition</w:t>
            </w:r>
          </w:p>
        </w:tc>
      </w:tr>
      <w:tr>
        <w:tc>
          <w:tcPr>
            <w:tcW w:type="dxa" w:w="4320"/>
          </w:tcPr>
          <w:p>
            <w:r/>
            <w:r>
              <w:rPr>
                <w:sz w:val="20"/>
              </w:rPr>
              <w:t>user_total_events</w:t>
            </w:r>
          </w:p>
        </w:tc>
        <w:tc>
          <w:tcPr>
            <w:tcW w:type="dxa" w:w="4320"/>
          </w:tcPr>
          <w:p>
            <w:r/>
            <w:r>
              <w:rPr>
                <w:sz w:val="20"/>
              </w:rPr>
              <w:t>Total number of behavior events per user</w:t>
            </w:r>
          </w:p>
        </w:tc>
      </w:tr>
      <w:tr>
        <w:tc>
          <w:tcPr>
            <w:tcW w:type="dxa" w:w="4320"/>
          </w:tcPr>
          <w:p>
            <w:r/>
            <w:r>
              <w:rPr>
                <w:sz w:val="20"/>
              </w:rPr>
              <w:t>user_total_pv</w:t>
            </w:r>
          </w:p>
        </w:tc>
        <w:tc>
          <w:tcPr>
            <w:tcW w:type="dxa" w:w="4320"/>
          </w:tcPr>
          <w:p>
            <w:r/>
            <w:r>
              <w:rPr>
                <w:sz w:val="20"/>
              </w:rPr>
              <w:t>Page-view (browse) events per user</w:t>
            </w:r>
          </w:p>
        </w:tc>
      </w:tr>
      <w:tr>
        <w:tc>
          <w:tcPr>
            <w:tcW w:type="dxa" w:w="4320"/>
          </w:tcPr>
          <w:p>
            <w:r/>
            <w:r>
              <w:rPr>
                <w:sz w:val="20"/>
              </w:rPr>
              <w:t>user_total_buy</w:t>
            </w:r>
          </w:p>
        </w:tc>
        <w:tc>
          <w:tcPr>
            <w:tcW w:type="dxa" w:w="4320"/>
          </w:tcPr>
          <w:p>
            <w:r/>
            <w:r>
              <w:rPr>
                <w:sz w:val="20"/>
              </w:rPr>
              <w:t>Purchase events per user</w:t>
            </w:r>
          </w:p>
        </w:tc>
      </w:tr>
      <w:tr>
        <w:tc>
          <w:tcPr>
            <w:tcW w:type="dxa" w:w="4320"/>
          </w:tcPr>
          <w:p>
            <w:r/>
            <w:r>
              <w:rPr>
                <w:sz w:val="20"/>
              </w:rPr>
              <w:t>user_total_cart</w:t>
            </w:r>
          </w:p>
        </w:tc>
        <w:tc>
          <w:tcPr>
            <w:tcW w:type="dxa" w:w="4320"/>
          </w:tcPr>
          <w:p>
            <w:r/>
            <w:r>
              <w:rPr>
                <w:sz w:val="20"/>
              </w:rPr>
              <w:t>Add-to-cart events per user</w:t>
            </w:r>
          </w:p>
        </w:tc>
      </w:tr>
      <w:tr>
        <w:tc>
          <w:tcPr>
            <w:tcW w:type="dxa" w:w="4320"/>
          </w:tcPr>
          <w:p>
            <w:r/>
            <w:r>
              <w:rPr>
                <w:sz w:val="20"/>
              </w:rPr>
              <w:t>user_total_fav</w:t>
            </w:r>
          </w:p>
        </w:tc>
        <w:tc>
          <w:tcPr>
            <w:tcW w:type="dxa" w:w="4320"/>
          </w:tcPr>
          <w:p>
            <w:r/>
            <w:r>
              <w:rPr>
                <w:sz w:val="20"/>
              </w:rPr>
              <w:t>Favorite/wishlist events per user</w:t>
            </w:r>
          </w:p>
        </w:tc>
      </w:tr>
      <w:tr>
        <w:tc>
          <w:tcPr>
            <w:tcW w:type="dxa" w:w="4320"/>
          </w:tcPr>
          <w:p>
            <w:r/>
            <w:r>
              <w:rPr>
                <w:sz w:val="20"/>
              </w:rPr>
              <w:t>user_n_unique_cates</w:t>
            </w:r>
          </w:p>
        </w:tc>
        <w:tc>
          <w:tcPr>
            <w:tcW w:type="dxa" w:w="4320"/>
          </w:tcPr>
          <w:p>
            <w:r/>
            <w:r>
              <w:rPr>
                <w:sz w:val="20"/>
              </w:rPr>
              <w:t>Number of distinct categories the user interacted with</w:t>
            </w:r>
          </w:p>
        </w:tc>
      </w:tr>
      <w:tr>
        <w:tc>
          <w:tcPr>
            <w:tcW w:type="dxa" w:w="4320"/>
          </w:tcPr>
          <w:p>
            <w:r/>
            <w:r>
              <w:rPr>
                <w:sz w:val="20"/>
              </w:rPr>
              <w:t>user_buy_rate</w:t>
            </w:r>
          </w:p>
        </w:tc>
        <w:tc>
          <w:tcPr>
            <w:tcW w:type="dxa" w:w="4320"/>
          </w:tcPr>
          <w:p>
            <w:r/>
            <w:r>
              <w:rPr>
                <w:sz w:val="20"/>
              </w:rPr>
              <w:t>Smoothed purchase rate (see equation below)</w:t>
            </w:r>
          </w:p>
        </w:tc>
      </w:tr>
    </w:tbl>
    <w:p>
      <w:r>
        <w:rPr>
          <w:sz w:val="22"/>
        </w:rPr>
        <w:t>All statistics were computed on behavior_log filtered to t &lt; UTC 2017-05-12 00:00 -- the same cutoff used to define the boundary between train and validation in section 4.8. This temporal alignment guarantees that user features at any val or test impression reflect only behaviors that occurred during the training period, eliminating any future-information leakage. Coverage was 1,132,067 out of 1,141,729 unique users (99.2%); cold-start users absent from behavior_log received zero counts and the global prior for the rate feature.</w:t>
      </w:r>
    </w:p>
    <w:p>
      <w:r>
        <w:rPr>
          <w:sz w:val="22"/>
        </w:rPr>
        <w:t>For user_buy_rate, we applied Bayesian smoothing to stabilize estimates for low-activity users:</w:t>
      </w:r>
    </w:p>
    <w:p>
      <w:r>
        <w:rPr>
          <w:rFonts w:ascii="Courier New" w:hAnsi="Courier New"/>
          <w:sz w:val="20"/>
        </w:rPr>
        <w:t>user_buy_rate = (n_buy + alpha * global_buy_rate) / (n_events + alpha)</w:t>
      </w:r>
    </w:p>
    <w:p>
      <w:r>
        <w:rPr>
          <w:sz w:val="22"/>
        </w:rPr>
        <w:t>with alpha = 10 (a standard choice in CTR modeling) and global_buy_rate = 0.0127, the train-period overall ratio of buy events to total events. This formulation can be interpreted as adding alpha synthetic events with the global rate as a prior. Users with sparse history are pulled toward the global mean, eliminating spurious extreme values; users with dense history retain their empirical rate. For example, a user with 1 buy in 1 event yields a smoothed rate of 0.103 (rather than 1.0), while a user with 50 buys in 1,000 events retains an estimate of 0.0496.</w:t>
      </w:r>
    </w:p>
    <w:p>
      <w:pPr>
        <w:pStyle w:val="Heading2"/>
      </w:pPr>
      <w:r>
        <w:t>4.11 Behavior Sequence Construction (Deferred)</w:t>
      </w:r>
    </w:p>
    <w:p>
      <w:r>
        <w:rPr>
          <w:sz w:val="22"/>
        </w:rPr>
        <w:t>The behavior_log table is reserved for sequence construction in support of attention-based models such as DIN. For each impression event, the user's most recent K behavior events strictly preceding the impression timestamp will be extracted and appended as a sequence-typed column. This step is performed separately from the static feature pipeline due to its scale (approx 723M source rows) and its specificity to sequence-aware architectures. Static-feature baselines (LR, LightGBM, Wide &amp; Deep, DeepFM) do not require this step but benefit from the user-level behavior aggregates introduced in section 4.10.</w:t>
      </w:r>
    </w:p>
    <w:p>
      <w:pPr>
        <w:pStyle w:val="Heading2"/>
      </w:pPr>
      <w:r>
        <w:t>4.12 Final Dataset Statistics</w:t>
      </w:r>
    </w:p>
    <w:p>
      <w:r>
        <w:rPr>
          <w:sz w:val="22"/>
        </w:rPr>
        <w:t>The completed preprocessing pipeline produces six Parquet 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File</w:t>
            </w:r>
          </w:p>
        </w:tc>
        <w:tc>
          <w:tcPr>
            <w:tcW w:type="dxa" w:w="2160"/>
          </w:tcPr>
          <w:p>
            <w:r/>
            <w:r>
              <w:rPr>
                <w:b/>
                <w:sz w:val="20"/>
              </w:rPr>
              <w:t>Rows</w:t>
            </w:r>
          </w:p>
        </w:tc>
        <w:tc>
          <w:tcPr>
            <w:tcW w:type="dxa" w:w="2160"/>
          </w:tcPr>
          <w:p>
            <w:r/>
            <w:r>
              <w:rPr>
                <w:b/>
                <w:sz w:val="20"/>
              </w:rPr>
              <w:t>Columns</w:t>
            </w:r>
          </w:p>
        </w:tc>
        <w:tc>
          <w:tcPr>
            <w:tcW w:type="dxa" w:w="2160"/>
          </w:tcPr>
          <w:p>
            <w:r/>
            <w:r>
              <w:rPr>
                <w:b/>
                <w:sz w:val="20"/>
              </w:rPr>
              <w:t>Size</w:t>
            </w:r>
          </w:p>
        </w:tc>
      </w:tr>
      <w:tr>
        <w:tc>
          <w:tcPr>
            <w:tcW w:type="dxa" w:w="2160"/>
          </w:tcPr>
          <w:p>
            <w:r/>
            <w:r>
              <w:rPr>
                <w:sz w:val="20"/>
              </w:rPr>
              <w:t>trainA.parquet</w:t>
            </w:r>
          </w:p>
        </w:tc>
        <w:tc>
          <w:tcPr>
            <w:tcW w:type="dxa" w:w="2160"/>
          </w:tcPr>
          <w:p>
            <w:r/>
            <w:r>
              <w:rPr>
                <w:sz w:val="20"/>
              </w:rPr>
              <w:t>20,437,223</w:t>
            </w:r>
          </w:p>
        </w:tc>
        <w:tc>
          <w:tcPr>
            <w:tcW w:type="dxa" w:w="2160"/>
          </w:tcPr>
          <w:p>
            <w:r/>
            <w:r>
              <w:rPr>
                <w:sz w:val="20"/>
              </w:rPr>
              <w:t>34</w:t>
            </w:r>
          </w:p>
        </w:tc>
        <w:tc>
          <w:tcPr>
            <w:tcW w:type="dxa" w:w="2160"/>
          </w:tcPr>
          <w:p>
            <w:r/>
            <w:r>
              <w:rPr>
                <w:sz w:val="20"/>
              </w:rPr>
              <w:t>788.8 MB</w:t>
            </w:r>
          </w:p>
        </w:tc>
      </w:tr>
      <w:tr>
        <w:tc>
          <w:tcPr>
            <w:tcW w:type="dxa" w:w="2160"/>
          </w:tcPr>
          <w:p>
            <w:r/>
            <w:r>
              <w:rPr>
                <w:sz w:val="20"/>
              </w:rPr>
              <w:t>valA.parquet</w:t>
            </w:r>
          </w:p>
        </w:tc>
        <w:tc>
          <w:tcPr>
            <w:tcW w:type="dxa" w:w="2160"/>
          </w:tcPr>
          <w:p>
            <w:r/>
            <w:r>
              <w:rPr>
                <w:sz w:val="20"/>
              </w:rPr>
              <w:t>3,271,268</w:t>
            </w:r>
          </w:p>
        </w:tc>
        <w:tc>
          <w:tcPr>
            <w:tcW w:type="dxa" w:w="2160"/>
          </w:tcPr>
          <w:p>
            <w:r/>
            <w:r>
              <w:rPr>
                <w:sz w:val="20"/>
              </w:rPr>
              <w:t>34</w:t>
            </w:r>
          </w:p>
        </w:tc>
        <w:tc>
          <w:tcPr>
            <w:tcW w:type="dxa" w:w="2160"/>
          </w:tcPr>
          <w:p>
            <w:r/>
            <w:r>
              <w:rPr>
                <w:sz w:val="20"/>
              </w:rPr>
              <w:t>134.5 MB</w:t>
            </w:r>
          </w:p>
        </w:tc>
      </w:tr>
      <w:tr>
        <w:tc>
          <w:tcPr>
            <w:tcW w:type="dxa" w:w="2160"/>
          </w:tcPr>
          <w:p>
            <w:r/>
            <w:r>
              <w:rPr>
                <w:sz w:val="20"/>
              </w:rPr>
              <w:t>testA.parquet</w:t>
            </w:r>
          </w:p>
        </w:tc>
        <w:tc>
          <w:tcPr>
            <w:tcW w:type="dxa" w:w="2160"/>
          </w:tcPr>
          <w:p>
            <w:r/>
            <w:r>
              <w:rPr>
                <w:sz w:val="20"/>
              </w:rPr>
              <w:t>2,848,377</w:t>
            </w:r>
          </w:p>
        </w:tc>
        <w:tc>
          <w:tcPr>
            <w:tcW w:type="dxa" w:w="2160"/>
          </w:tcPr>
          <w:p>
            <w:r/>
            <w:r>
              <w:rPr>
                <w:sz w:val="20"/>
              </w:rPr>
              <w:t>34</w:t>
            </w:r>
          </w:p>
        </w:tc>
        <w:tc>
          <w:tcPr>
            <w:tcW w:type="dxa" w:w="2160"/>
          </w:tcPr>
          <w:p>
            <w:r/>
            <w:r>
              <w:rPr>
                <w:sz w:val="20"/>
              </w:rPr>
              <w:t>114.8 MB</w:t>
            </w:r>
          </w:p>
        </w:tc>
      </w:tr>
      <w:tr>
        <w:tc>
          <w:tcPr>
            <w:tcW w:type="dxa" w:w="2160"/>
          </w:tcPr>
          <w:p>
            <w:r/>
            <w:r>
              <w:rPr>
                <w:sz w:val="20"/>
              </w:rPr>
              <w:t>trainB.parquet</w:t>
            </w:r>
          </w:p>
        </w:tc>
        <w:tc>
          <w:tcPr>
            <w:tcW w:type="dxa" w:w="2160"/>
          </w:tcPr>
          <w:p>
            <w:r/>
            <w:r>
              <w:rPr>
                <w:sz w:val="20"/>
              </w:rPr>
              <w:t>19,281,955</w:t>
            </w:r>
          </w:p>
        </w:tc>
        <w:tc>
          <w:tcPr>
            <w:tcW w:type="dxa" w:w="2160"/>
          </w:tcPr>
          <w:p>
            <w:r/>
            <w:r>
              <w:rPr>
                <w:sz w:val="20"/>
              </w:rPr>
              <w:t>33</w:t>
            </w:r>
          </w:p>
        </w:tc>
        <w:tc>
          <w:tcPr>
            <w:tcW w:type="dxa" w:w="2160"/>
          </w:tcPr>
          <w:p>
            <w:r/>
            <w:r>
              <w:rPr>
                <w:sz w:val="20"/>
              </w:rPr>
              <w:t>742.2 MB</w:t>
            </w:r>
          </w:p>
        </w:tc>
      </w:tr>
      <w:tr>
        <w:tc>
          <w:tcPr>
            <w:tcW w:type="dxa" w:w="2160"/>
          </w:tcPr>
          <w:p>
            <w:r/>
            <w:r>
              <w:rPr>
                <w:sz w:val="20"/>
              </w:rPr>
              <w:t>valB.parquet</w:t>
            </w:r>
          </w:p>
        </w:tc>
        <w:tc>
          <w:tcPr>
            <w:tcW w:type="dxa" w:w="2160"/>
          </w:tcPr>
          <w:p>
            <w:r/>
            <w:r>
              <w:rPr>
                <w:sz w:val="20"/>
              </w:rPr>
              <w:t>3,078,536</w:t>
            </w:r>
          </w:p>
        </w:tc>
        <w:tc>
          <w:tcPr>
            <w:tcW w:type="dxa" w:w="2160"/>
          </w:tcPr>
          <w:p>
            <w:r/>
            <w:r>
              <w:rPr>
                <w:sz w:val="20"/>
              </w:rPr>
              <w:t>33</w:t>
            </w:r>
          </w:p>
        </w:tc>
        <w:tc>
          <w:tcPr>
            <w:tcW w:type="dxa" w:w="2160"/>
          </w:tcPr>
          <w:p>
            <w:r/>
            <w:r>
              <w:rPr>
                <w:sz w:val="20"/>
              </w:rPr>
              <w:t>126.4 MB</w:t>
            </w:r>
          </w:p>
        </w:tc>
      </w:tr>
      <w:tr>
        <w:tc>
          <w:tcPr>
            <w:tcW w:type="dxa" w:w="2160"/>
          </w:tcPr>
          <w:p>
            <w:r/>
            <w:r>
              <w:rPr>
                <w:sz w:val="20"/>
              </w:rPr>
              <w:t>testB.parquet</w:t>
            </w:r>
          </w:p>
        </w:tc>
        <w:tc>
          <w:tcPr>
            <w:tcW w:type="dxa" w:w="2160"/>
          </w:tcPr>
          <w:p>
            <w:r/>
            <w:r>
              <w:rPr>
                <w:sz w:val="20"/>
              </w:rPr>
              <w:t>2,667,885</w:t>
            </w:r>
          </w:p>
        </w:tc>
        <w:tc>
          <w:tcPr>
            <w:tcW w:type="dxa" w:w="2160"/>
          </w:tcPr>
          <w:p>
            <w:r/>
            <w:r>
              <w:rPr>
                <w:sz w:val="20"/>
              </w:rPr>
              <w:t>33</w:t>
            </w:r>
          </w:p>
        </w:tc>
        <w:tc>
          <w:tcPr>
            <w:tcW w:type="dxa" w:w="2160"/>
          </w:tcPr>
          <w:p>
            <w:r/>
            <w:r>
              <w:rPr>
                <w:sz w:val="20"/>
              </w:rPr>
              <w:t>107.5 MB</w:t>
            </w:r>
          </w:p>
        </w:tc>
      </w:tr>
      <w:tr>
        <w:tc>
          <w:tcPr>
            <w:tcW w:type="dxa" w:w="2160"/>
          </w:tcPr>
          <w:p>
            <w:r/>
            <w:r>
              <w:rPr>
                <w:sz w:val="20"/>
              </w:rPr>
              <w:t>Total</w:t>
            </w:r>
          </w:p>
        </w:tc>
        <w:tc>
          <w:tcPr>
            <w:tcW w:type="dxa" w:w="2160"/>
          </w:tcPr>
          <w:p>
            <w:r/>
            <w:r>
              <w:rPr>
                <w:sz w:val="20"/>
              </w:rPr>
              <w:t>-</w:t>
            </w:r>
          </w:p>
        </w:tc>
        <w:tc>
          <w:tcPr>
            <w:tcW w:type="dxa" w:w="2160"/>
          </w:tcPr>
          <w:p>
            <w:r/>
            <w:r>
              <w:rPr>
                <w:sz w:val="20"/>
              </w:rPr>
              <w:t>-</w:t>
            </w:r>
          </w:p>
        </w:tc>
        <w:tc>
          <w:tcPr>
            <w:tcW w:type="dxa" w:w="2160"/>
          </w:tcPr>
          <w:p>
            <w:r/>
            <w:r>
              <w:rPr>
                <w:sz w:val="20"/>
              </w:rPr>
              <w:t>2.02 GB</w:t>
            </w:r>
          </w:p>
        </w:tc>
      </w:tr>
    </w:tbl>
    <w:p>
      <w:r>
        <w:rPr>
          <w:sz w:val="22"/>
        </w:rPr>
        <w:t>Each row constitutes a self-contained training example: a click label clk in {0, 1} accompanied by 33 (Version B) or 34 (Version A) feature columns spanning user demographics, ad metadata, temporal context, impression-level aggregates, behavior-log aggregates, and a user-by-category cross-aggregate.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