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8E90" w14:textId="77777777" w:rsidR="00400848" w:rsidRPr="00400848" w:rsidRDefault="00400848" w:rsidP="00400848">
      <w:pPr>
        <w:rPr>
          <w:b/>
          <w:bCs/>
          <w:sz w:val="36"/>
          <w:szCs w:val="36"/>
        </w:rPr>
      </w:pPr>
      <w:r w:rsidRPr="00400848">
        <w:rPr>
          <w:b/>
          <w:bCs/>
          <w:sz w:val="36"/>
          <w:szCs w:val="36"/>
        </w:rPr>
        <w:t>Mortgage lending process</w:t>
      </w:r>
    </w:p>
    <w:p w14:paraId="3FF86E96" w14:textId="77777777" w:rsidR="00400848" w:rsidRPr="00400848" w:rsidRDefault="00400848" w:rsidP="00400848">
      <w:pPr>
        <w:rPr>
          <w:rFonts w:ascii="Arial" w:hAnsi="Arial" w:cs="Arial"/>
          <w:sz w:val="28"/>
          <w:szCs w:val="28"/>
        </w:rPr>
      </w:pPr>
      <w:r w:rsidRPr="00400848">
        <w:rPr>
          <w:rFonts w:ascii="Arial" w:hAnsi="Arial" w:cs="Arial"/>
          <w:sz w:val="28"/>
          <w:szCs w:val="28"/>
        </w:rPr>
        <w:t>The mortgage lending process in the United States typically involves the following key steps:</w:t>
      </w:r>
    </w:p>
    <w:p w14:paraId="38B752B9" w14:textId="77777777" w:rsidR="00400848" w:rsidRPr="00400848" w:rsidRDefault="00400848" w:rsidP="00400848">
      <w:pPr>
        <w:rPr>
          <w:rFonts w:ascii="Arial" w:hAnsi="Arial" w:cs="Arial"/>
          <w:sz w:val="28"/>
          <w:szCs w:val="28"/>
        </w:rPr>
      </w:pPr>
      <w:r w:rsidRPr="00400848">
        <w:rPr>
          <w:rFonts w:ascii="Arial" w:hAnsi="Arial" w:cs="Arial"/>
          <w:sz w:val="28"/>
          <w:szCs w:val="28"/>
        </w:rPr>
        <w:t>1. Pre-Approval</w:t>
      </w:r>
    </w:p>
    <w:p w14:paraId="6BED6210" w14:textId="77777777" w:rsidR="00400848" w:rsidRPr="00400848" w:rsidRDefault="00400848" w:rsidP="00400848">
      <w:pPr>
        <w:numPr>
          <w:ilvl w:val="0"/>
          <w:numId w:val="14"/>
        </w:numPr>
        <w:rPr>
          <w:rFonts w:ascii="Arial" w:hAnsi="Arial" w:cs="Arial"/>
          <w:sz w:val="28"/>
          <w:szCs w:val="28"/>
        </w:rPr>
      </w:pPr>
      <w:r w:rsidRPr="00400848">
        <w:rPr>
          <w:rFonts w:ascii="Arial" w:hAnsi="Arial" w:cs="Arial"/>
          <w:sz w:val="28"/>
          <w:szCs w:val="28"/>
        </w:rPr>
        <w:t>The borrower applies for pre-approval with a lender, which involves an assessment of their credit history, income, assets, and debt-to-income ratio.</w:t>
      </w:r>
    </w:p>
    <w:p w14:paraId="0CD7FE5F" w14:textId="77777777" w:rsidR="00400848" w:rsidRPr="00400848" w:rsidRDefault="00400848" w:rsidP="00400848">
      <w:pPr>
        <w:numPr>
          <w:ilvl w:val="0"/>
          <w:numId w:val="14"/>
        </w:numPr>
        <w:rPr>
          <w:rFonts w:ascii="Arial" w:hAnsi="Arial" w:cs="Arial"/>
          <w:sz w:val="28"/>
          <w:szCs w:val="28"/>
        </w:rPr>
      </w:pPr>
      <w:r w:rsidRPr="00400848">
        <w:rPr>
          <w:rFonts w:ascii="Arial" w:hAnsi="Arial" w:cs="Arial"/>
          <w:sz w:val="28"/>
          <w:szCs w:val="28"/>
        </w:rPr>
        <w:t>The lender provides the borrower with a pre-approval letter, which outlines the loan amount, interest rate, and other key terms for which the borrower is qualified.</w:t>
      </w:r>
    </w:p>
    <w:p w14:paraId="55462E0B" w14:textId="77777777" w:rsidR="00400848" w:rsidRPr="00400848" w:rsidRDefault="00400848" w:rsidP="00400848">
      <w:pPr>
        <w:rPr>
          <w:rFonts w:ascii="Arial" w:hAnsi="Arial" w:cs="Arial"/>
          <w:sz w:val="28"/>
          <w:szCs w:val="28"/>
        </w:rPr>
      </w:pPr>
      <w:r w:rsidRPr="00400848">
        <w:rPr>
          <w:rFonts w:ascii="Arial" w:hAnsi="Arial" w:cs="Arial"/>
          <w:sz w:val="28"/>
          <w:szCs w:val="28"/>
        </w:rPr>
        <w:t>2. Loan Application</w:t>
      </w:r>
    </w:p>
    <w:p w14:paraId="00614A4B" w14:textId="77777777" w:rsidR="00400848" w:rsidRPr="00400848" w:rsidRDefault="00400848" w:rsidP="00400848">
      <w:pPr>
        <w:numPr>
          <w:ilvl w:val="0"/>
          <w:numId w:val="15"/>
        </w:numPr>
        <w:rPr>
          <w:rFonts w:ascii="Arial" w:hAnsi="Arial" w:cs="Arial"/>
          <w:sz w:val="28"/>
          <w:szCs w:val="28"/>
        </w:rPr>
      </w:pPr>
      <w:r w:rsidRPr="00400848">
        <w:rPr>
          <w:rFonts w:ascii="Arial" w:hAnsi="Arial" w:cs="Arial"/>
          <w:sz w:val="28"/>
          <w:szCs w:val="28"/>
        </w:rPr>
        <w:t>The borrower completes a formal loan application, providing detailed information about their finances, employment, the property they plan to purchase, and other relevant details.</w:t>
      </w:r>
    </w:p>
    <w:p w14:paraId="2F6BE11C" w14:textId="77777777" w:rsidR="00400848" w:rsidRPr="00400848" w:rsidRDefault="00400848" w:rsidP="00400848">
      <w:pPr>
        <w:numPr>
          <w:ilvl w:val="0"/>
          <w:numId w:val="15"/>
        </w:numPr>
        <w:rPr>
          <w:rFonts w:ascii="Arial" w:hAnsi="Arial" w:cs="Arial"/>
          <w:sz w:val="28"/>
          <w:szCs w:val="28"/>
        </w:rPr>
      </w:pPr>
      <w:r w:rsidRPr="00400848">
        <w:rPr>
          <w:rFonts w:ascii="Arial" w:hAnsi="Arial" w:cs="Arial"/>
          <w:sz w:val="28"/>
          <w:szCs w:val="28"/>
        </w:rPr>
        <w:t>The borrower also submits supporting documentation, such as pay stubs, tax returns, bank statements, and a copy of the purchase contract.</w:t>
      </w:r>
    </w:p>
    <w:p w14:paraId="58A7BC0C" w14:textId="77777777" w:rsidR="00400848" w:rsidRPr="00400848" w:rsidRDefault="00400848" w:rsidP="00400848">
      <w:pPr>
        <w:rPr>
          <w:rFonts w:ascii="Arial" w:hAnsi="Arial" w:cs="Arial"/>
          <w:sz w:val="28"/>
          <w:szCs w:val="28"/>
        </w:rPr>
      </w:pPr>
      <w:r w:rsidRPr="00400848">
        <w:rPr>
          <w:rFonts w:ascii="Arial" w:hAnsi="Arial" w:cs="Arial"/>
          <w:sz w:val="28"/>
          <w:szCs w:val="28"/>
        </w:rPr>
        <w:t>3. Loan Processing and Underwriting</w:t>
      </w:r>
    </w:p>
    <w:p w14:paraId="35E60E86" w14:textId="77777777" w:rsidR="00400848" w:rsidRPr="00400848" w:rsidRDefault="00400848" w:rsidP="00400848">
      <w:pPr>
        <w:numPr>
          <w:ilvl w:val="0"/>
          <w:numId w:val="16"/>
        </w:numPr>
        <w:rPr>
          <w:rFonts w:ascii="Arial" w:hAnsi="Arial" w:cs="Arial"/>
          <w:sz w:val="28"/>
          <w:szCs w:val="28"/>
        </w:rPr>
      </w:pPr>
      <w:r w:rsidRPr="00400848">
        <w:rPr>
          <w:rFonts w:ascii="Arial" w:hAnsi="Arial" w:cs="Arial"/>
          <w:sz w:val="28"/>
          <w:szCs w:val="28"/>
        </w:rPr>
        <w:t>The lender processes the loan application, verifies the information provided, and orders a property appraisal to assess the home's market value.</w:t>
      </w:r>
    </w:p>
    <w:p w14:paraId="55C7EF50" w14:textId="77777777" w:rsidR="00400848" w:rsidRPr="00400848" w:rsidRDefault="00400848" w:rsidP="00400848">
      <w:pPr>
        <w:numPr>
          <w:ilvl w:val="0"/>
          <w:numId w:val="16"/>
        </w:numPr>
        <w:rPr>
          <w:rFonts w:ascii="Arial" w:hAnsi="Arial" w:cs="Arial"/>
          <w:sz w:val="28"/>
          <w:szCs w:val="28"/>
        </w:rPr>
      </w:pPr>
      <w:r w:rsidRPr="00400848">
        <w:rPr>
          <w:rFonts w:ascii="Arial" w:hAnsi="Arial" w:cs="Arial"/>
          <w:sz w:val="28"/>
          <w:szCs w:val="28"/>
        </w:rPr>
        <w:t>An underwriter then evaluates the borrower's creditworthiness, the property's value, and the overall risk profile to determine whether to approve the loan.</w:t>
      </w:r>
    </w:p>
    <w:p w14:paraId="7234B896" w14:textId="77777777" w:rsidR="00400848" w:rsidRPr="00400848" w:rsidRDefault="00400848" w:rsidP="00400848">
      <w:pPr>
        <w:rPr>
          <w:rFonts w:ascii="Arial" w:hAnsi="Arial" w:cs="Arial"/>
          <w:sz w:val="28"/>
          <w:szCs w:val="28"/>
        </w:rPr>
      </w:pPr>
      <w:r w:rsidRPr="00400848">
        <w:rPr>
          <w:rFonts w:ascii="Arial" w:hAnsi="Arial" w:cs="Arial"/>
          <w:sz w:val="28"/>
          <w:szCs w:val="28"/>
        </w:rPr>
        <w:t>4. Closing</w:t>
      </w:r>
    </w:p>
    <w:p w14:paraId="6B9A3B3D" w14:textId="77777777" w:rsidR="00400848" w:rsidRPr="00400848" w:rsidRDefault="00400848" w:rsidP="00400848">
      <w:pPr>
        <w:numPr>
          <w:ilvl w:val="0"/>
          <w:numId w:val="17"/>
        </w:numPr>
        <w:rPr>
          <w:rFonts w:ascii="Arial" w:hAnsi="Arial" w:cs="Arial"/>
          <w:sz w:val="28"/>
          <w:szCs w:val="28"/>
        </w:rPr>
      </w:pPr>
      <w:r w:rsidRPr="00400848">
        <w:rPr>
          <w:rFonts w:ascii="Arial" w:hAnsi="Arial" w:cs="Arial"/>
          <w:sz w:val="28"/>
          <w:szCs w:val="28"/>
        </w:rPr>
        <w:t>If the loan is approved, the borrower attends a closing meeting where they sign the final paperwork, and the loan is funded.</w:t>
      </w:r>
    </w:p>
    <w:p w14:paraId="16DF90F8" w14:textId="77777777" w:rsidR="00400848" w:rsidRPr="00400848" w:rsidRDefault="00400848" w:rsidP="00400848">
      <w:pPr>
        <w:numPr>
          <w:ilvl w:val="0"/>
          <w:numId w:val="17"/>
        </w:numPr>
        <w:rPr>
          <w:rFonts w:ascii="Arial" w:hAnsi="Arial" w:cs="Arial"/>
          <w:sz w:val="28"/>
          <w:szCs w:val="28"/>
        </w:rPr>
      </w:pPr>
      <w:r w:rsidRPr="00400848">
        <w:rPr>
          <w:rFonts w:ascii="Arial" w:hAnsi="Arial" w:cs="Arial"/>
          <w:sz w:val="28"/>
          <w:szCs w:val="28"/>
        </w:rPr>
        <w:t>The entire mortgage lending process typically takes 30-60 days to complete.</w:t>
      </w:r>
    </w:p>
    <w:p w14:paraId="440EC601" w14:textId="77777777" w:rsidR="00400848" w:rsidRDefault="00400848" w:rsidP="00400848">
      <w:pPr>
        <w:rPr>
          <w:rFonts w:ascii="Arial" w:hAnsi="Arial" w:cs="Arial"/>
          <w:b/>
          <w:bCs/>
          <w:sz w:val="28"/>
          <w:szCs w:val="28"/>
        </w:rPr>
      </w:pPr>
    </w:p>
    <w:p w14:paraId="6F896791" w14:textId="77777777" w:rsidR="00400848" w:rsidRDefault="00400848" w:rsidP="00400848">
      <w:pPr>
        <w:rPr>
          <w:rFonts w:ascii="Arial" w:hAnsi="Arial" w:cs="Arial"/>
          <w:b/>
          <w:bCs/>
          <w:sz w:val="28"/>
          <w:szCs w:val="28"/>
        </w:rPr>
      </w:pPr>
    </w:p>
    <w:p w14:paraId="7A8323FF" w14:textId="77777777" w:rsidR="00400848" w:rsidRDefault="00400848" w:rsidP="00400848">
      <w:pPr>
        <w:rPr>
          <w:rFonts w:ascii="Arial" w:hAnsi="Arial" w:cs="Arial"/>
          <w:b/>
          <w:bCs/>
          <w:sz w:val="28"/>
          <w:szCs w:val="28"/>
        </w:rPr>
      </w:pPr>
    </w:p>
    <w:p w14:paraId="19C92CAC" w14:textId="0557206A" w:rsidR="00400848" w:rsidRPr="00400848" w:rsidRDefault="00400848" w:rsidP="00400848">
      <w:pPr>
        <w:rPr>
          <w:rFonts w:ascii="Arial" w:hAnsi="Arial" w:cs="Arial"/>
          <w:b/>
          <w:bCs/>
          <w:sz w:val="36"/>
          <w:szCs w:val="36"/>
        </w:rPr>
      </w:pPr>
      <w:r w:rsidRPr="00400848">
        <w:rPr>
          <w:rFonts w:ascii="Arial" w:hAnsi="Arial" w:cs="Arial"/>
          <w:b/>
          <w:bCs/>
          <w:sz w:val="36"/>
          <w:szCs w:val="36"/>
        </w:rPr>
        <w:lastRenderedPageBreak/>
        <w:t xml:space="preserve">Loan Underwriting Process </w:t>
      </w:r>
    </w:p>
    <w:p w14:paraId="55C38D43" w14:textId="77777777" w:rsidR="00400848" w:rsidRPr="00400848" w:rsidRDefault="00400848" w:rsidP="00400848">
      <w:pPr>
        <w:rPr>
          <w:rFonts w:ascii="Arial" w:hAnsi="Arial" w:cs="Arial"/>
          <w:sz w:val="28"/>
          <w:szCs w:val="28"/>
        </w:rPr>
      </w:pPr>
      <w:r w:rsidRPr="00400848">
        <w:rPr>
          <w:rFonts w:ascii="Arial" w:hAnsi="Arial" w:cs="Arial"/>
          <w:sz w:val="28"/>
          <w:szCs w:val="28"/>
        </w:rPr>
        <w:t>The loan underwriting process involves the lender's underwriter carefully evaluating the borrower's creditworthiness and the property's value to determine whether to approve the loan. The key steps in the underwriting process include:</w:t>
      </w:r>
    </w:p>
    <w:p w14:paraId="4A0F27D2" w14:textId="77777777" w:rsidR="00400848" w:rsidRPr="00400848" w:rsidRDefault="00400848" w:rsidP="00400848">
      <w:pPr>
        <w:rPr>
          <w:rFonts w:ascii="Arial" w:hAnsi="Arial" w:cs="Arial"/>
          <w:sz w:val="28"/>
          <w:szCs w:val="28"/>
        </w:rPr>
      </w:pPr>
      <w:r w:rsidRPr="00400848">
        <w:rPr>
          <w:rFonts w:ascii="Arial" w:hAnsi="Arial" w:cs="Arial"/>
          <w:sz w:val="28"/>
          <w:szCs w:val="28"/>
        </w:rPr>
        <w:t>Verifying Borrower Information</w:t>
      </w:r>
    </w:p>
    <w:p w14:paraId="42776D05" w14:textId="77777777" w:rsidR="00400848" w:rsidRPr="00400848" w:rsidRDefault="00400848" w:rsidP="00400848">
      <w:pPr>
        <w:numPr>
          <w:ilvl w:val="0"/>
          <w:numId w:val="18"/>
        </w:numPr>
        <w:rPr>
          <w:rFonts w:ascii="Arial" w:hAnsi="Arial" w:cs="Arial"/>
          <w:sz w:val="28"/>
          <w:szCs w:val="28"/>
        </w:rPr>
      </w:pPr>
      <w:r w:rsidRPr="00400848">
        <w:rPr>
          <w:rFonts w:ascii="Arial" w:hAnsi="Arial" w:cs="Arial"/>
          <w:sz w:val="28"/>
          <w:szCs w:val="28"/>
        </w:rPr>
        <w:t>The underwriter verifies the borrower's income, assets, employment, and credit history to assess their ability to repay the loan.</w:t>
      </w:r>
    </w:p>
    <w:p w14:paraId="7A9E2876" w14:textId="77777777" w:rsidR="00400848" w:rsidRPr="00400848" w:rsidRDefault="00400848" w:rsidP="00400848">
      <w:pPr>
        <w:numPr>
          <w:ilvl w:val="0"/>
          <w:numId w:val="18"/>
        </w:numPr>
        <w:rPr>
          <w:rFonts w:ascii="Arial" w:hAnsi="Arial" w:cs="Arial"/>
          <w:sz w:val="28"/>
          <w:szCs w:val="28"/>
        </w:rPr>
      </w:pPr>
      <w:r w:rsidRPr="00400848">
        <w:rPr>
          <w:rFonts w:ascii="Arial" w:hAnsi="Arial" w:cs="Arial"/>
          <w:sz w:val="28"/>
          <w:szCs w:val="28"/>
        </w:rPr>
        <w:t>This may involve requesting additional documentation, such as pay stubs, tax returns, and bank statements.</w:t>
      </w:r>
    </w:p>
    <w:p w14:paraId="20833A4B" w14:textId="77777777" w:rsidR="00400848" w:rsidRPr="00400848" w:rsidRDefault="00400848" w:rsidP="00400848">
      <w:pPr>
        <w:rPr>
          <w:rFonts w:ascii="Arial" w:hAnsi="Arial" w:cs="Arial"/>
          <w:sz w:val="28"/>
          <w:szCs w:val="28"/>
        </w:rPr>
      </w:pPr>
      <w:r w:rsidRPr="00400848">
        <w:rPr>
          <w:rFonts w:ascii="Arial" w:hAnsi="Arial" w:cs="Arial"/>
          <w:sz w:val="28"/>
          <w:szCs w:val="28"/>
        </w:rPr>
        <w:t>Ordering a Property Appraisal</w:t>
      </w:r>
    </w:p>
    <w:p w14:paraId="656019CC" w14:textId="77777777" w:rsidR="00400848" w:rsidRPr="00400848" w:rsidRDefault="00400848" w:rsidP="00400848">
      <w:pPr>
        <w:numPr>
          <w:ilvl w:val="0"/>
          <w:numId w:val="19"/>
        </w:numPr>
        <w:rPr>
          <w:rFonts w:ascii="Arial" w:hAnsi="Arial" w:cs="Arial"/>
          <w:sz w:val="28"/>
          <w:szCs w:val="28"/>
        </w:rPr>
      </w:pPr>
      <w:r w:rsidRPr="00400848">
        <w:rPr>
          <w:rFonts w:ascii="Arial" w:hAnsi="Arial" w:cs="Arial"/>
          <w:sz w:val="28"/>
          <w:szCs w:val="28"/>
        </w:rPr>
        <w:t>The lender orders a professional appraisal of the property to determine its fair market value.</w:t>
      </w:r>
    </w:p>
    <w:p w14:paraId="32CA9D0C" w14:textId="77777777" w:rsidR="00400848" w:rsidRPr="00400848" w:rsidRDefault="00400848" w:rsidP="00400848">
      <w:pPr>
        <w:numPr>
          <w:ilvl w:val="0"/>
          <w:numId w:val="19"/>
        </w:numPr>
        <w:rPr>
          <w:rFonts w:ascii="Arial" w:hAnsi="Arial" w:cs="Arial"/>
          <w:sz w:val="28"/>
          <w:szCs w:val="28"/>
        </w:rPr>
      </w:pPr>
      <w:r w:rsidRPr="00400848">
        <w:rPr>
          <w:rFonts w:ascii="Arial" w:hAnsi="Arial" w:cs="Arial"/>
          <w:sz w:val="28"/>
          <w:szCs w:val="28"/>
        </w:rPr>
        <w:t>The appraised value is used to ensure the loan amount does not exceed the property's worth.</w:t>
      </w:r>
    </w:p>
    <w:p w14:paraId="21F7AB74" w14:textId="77777777" w:rsidR="00400848" w:rsidRPr="00400848" w:rsidRDefault="00400848" w:rsidP="00400848">
      <w:pPr>
        <w:rPr>
          <w:rFonts w:ascii="Arial" w:hAnsi="Arial" w:cs="Arial"/>
          <w:sz w:val="28"/>
          <w:szCs w:val="28"/>
        </w:rPr>
      </w:pPr>
      <w:r w:rsidRPr="00400848">
        <w:rPr>
          <w:rFonts w:ascii="Arial" w:hAnsi="Arial" w:cs="Arial"/>
          <w:sz w:val="28"/>
          <w:szCs w:val="28"/>
        </w:rPr>
        <w:t>Assessing Debt-to-Income Ratio</w:t>
      </w:r>
    </w:p>
    <w:p w14:paraId="35794FAB" w14:textId="77777777" w:rsidR="00400848" w:rsidRPr="00400848" w:rsidRDefault="00400848" w:rsidP="00400848">
      <w:pPr>
        <w:numPr>
          <w:ilvl w:val="0"/>
          <w:numId w:val="20"/>
        </w:numPr>
        <w:rPr>
          <w:rFonts w:ascii="Arial" w:hAnsi="Arial" w:cs="Arial"/>
          <w:sz w:val="28"/>
          <w:szCs w:val="28"/>
        </w:rPr>
      </w:pPr>
      <w:r w:rsidRPr="00400848">
        <w:rPr>
          <w:rFonts w:ascii="Arial" w:hAnsi="Arial" w:cs="Arial"/>
          <w:sz w:val="28"/>
          <w:szCs w:val="28"/>
        </w:rPr>
        <w:t>The underwriter calculates the borrower's debt-to-income ratio, which compares their monthly debt payments to their monthly income.</w:t>
      </w:r>
    </w:p>
    <w:p w14:paraId="09F21463" w14:textId="77777777" w:rsidR="00400848" w:rsidRPr="00400848" w:rsidRDefault="00400848" w:rsidP="00400848">
      <w:pPr>
        <w:numPr>
          <w:ilvl w:val="0"/>
          <w:numId w:val="20"/>
        </w:numPr>
        <w:rPr>
          <w:rFonts w:ascii="Arial" w:hAnsi="Arial" w:cs="Arial"/>
          <w:sz w:val="28"/>
          <w:szCs w:val="28"/>
        </w:rPr>
      </w:pPr>
      <w:r w:rsidRPr="00400848">
        <w:rPr>
          <w:rFonts w:ascii="Arial" w:hAnsi="Arial" w:cs="Arial"/>
          <w:sz w:val="28"/>
          <w:szCs w:val="28"/>
        </w:rPr>
        <w:t>This ratio is used to determine the borrower's ability to make the monthly mortgage payments.</w:t>
      </w:r>
    </w:p>
    <w:p w14:paraId="2704D576" w14:textId="77777777" w:rsidR="00400848" w:rsidRPr="00400848" w:rsidRDefault="00400848" w:rsidP="00400848">
      <w:pPr>
        <w:rPr>
          <w:rFonts w:ascii="Arial" w:hAnsi="Arial" w:cs="Arial"/>
          <w:sz w:val="28"/>
          <w:szCs w:val="28"/>
        </w:rPr>
      </w:pPr>
      <w:r w:rsidRPr="00400848">
        <w:rPr>
          <w:rFonts w:ascii="Arial" w:hAnsi="Arial" w:cs="Arial"/>
          <w:sz w:val="28"/>
          <w:szCs w:val="28"/>
        </w:rPr>
        <w:t>Ensuring Regulatory Compliance</w:t>
      </w:r>
    </w:p>
    <w:p w14:paraId="7F7DCBE2" w14:textId="77777777" w:rsidR="00400848" w:rsidRPr="00400848" w:rsidRDefault="00400848" w:rsidP="00400848">
      <w:pPr>
        <w:numPr>
          <w:ilvl w:val="0"/>
          <w:numId w:val="21"/>
        </w:numPr>
        <w:rPr>
          <w:rFonts w:ascii="Arial" w:hAnsi="Arial" w:cs="Arial"/>
          <w:sz w:val="28"/>
          <w:szCs w:val="28"/>
        </w:rPr>
      </w:pPr>
      <w:r w:rsidRPr="00400848">
        <w:rPr>
          <w:rFonts w:ascii="Arial" w:hAnsi="Arial" w:cs="Arial"/>
          <w:sz w:val="28"/>
          <w:szCs w:val="28"/>
        </w:rPr>
        <w:t>The underwriter ensures the loan meets all applicable regulatory requirements and the lender's internal guidelines.</w:t>
      </w:r>
    </w:p>
    <w:p w14:paraId="180389E6" w14:textId="77777777" w:rsidR="00400848" w:rsidRPr="00400848" w:rsidRDefault="00400848" w:rsidP="00400848">
      <w:pPr>
        <w:rPr>
          <w:rFonts w:ascii="Arial" w:hAnsi="Arial" w:cs="Arial"/>
          <w:sz w:val="28"/>
          <w:szCs w:val="28"/>
        </w:rPr>
      </w:pPr>
      <w:r w:rsidRPr="00400848">
        <w:rPr>
          <w:rFonts w:ascii="Arial" w:hAnsi="Arial" w:cs="Arial"/>
          <w:sz w:val="28"/>
          <w:szCs w:val="28"/>
        </w:rPr>
        <w:t>Issuing a Conditional Commitment</w:t>
      </w:r>
    </w:p>
    <w:p w14:paraId="5ACE0C80" w14:textId="77777777" w:rsidR="00400848" w:rsidRPr="00400848" w:rsidRDefault="00400848" w:rsidP="00400848">
      <w:pPr>
        <w:numPr>
          <w:ilvl w:val="0"/>
          <w:numId w:val="22"/>
        </w:numPr>
        <w:rPr>
          <w:rFonts w:ascii="Arial" w:hAnsi="Arial" w:cs="Arial"/>
          <w:sz w:val="28"/>
          <w:szCs w:val="28"/>
        </w:rPr>
      </w:pPr>
      <w:r w:rsidRPr="00400848">
        <w:rPr>
          <w:rFonts w:ascii="Arial" w:hAnsi="Arial" w:cs="Arial"/>
          <w:sz w:val="28"/>
          <w:szCs w:val="28"/>
        </w:rPr>
        <w:t>If the loan is approved, the underwriter issues a conditional commitment, subject to the borrower providing any final documentation.</w:t>
      </w:r>
    </w:p>
    <w:p w14:paraId="2DC28370" w14:textId="77777777" w:rsidR="00400848" w:rsidRPr="00400848" w:rsidRDefault="00400848" w:rsidP="00400848">
      <w:pPr>
        <w:rPr>
          <w:rFonts w:ascii="Arial" w:hAnsi="Arial" w:cs="Arial"/>
          <w:sz w:val="28"/>
          <w:szCs w:val="28"/>
        </w:rPr>
      </w:pPr>
      <w:r w:rsidRPr="00400848">
        <w:rPr>
          <w:rFonts w:ascii="Arial" w:hAnsi="Arial" w:cs="Arial"/>
          <w:sz w:val="28"/>
          <w:szCs w:val="28"/>
        </w:rPr>
        <w:t>The underwriting process typically takes 2-3 weeks to complete.</w:t>
      </w:r>
    </w:p>
    <w:p w14:paraId="7418B899" w14:textId="77777777" w:rsidR="00400848" w:rsidRDefault="00400848" w:rsidP="00400848">
      <w:pPr>
        <w:rPr>
          <w:rFonts w:ascii="Arial" w:hAnsi="Arial" w:cs="Arial"/>
          <w:b/>
          <w:bCs/>
          <w:sz w:val="28"/>
          <w:szCs w:val="28"/>
        </w:rPr>
      </w:pPr>
    </w:p>
    <w:p w14:paraId="787BE63C" w14:textId="77777777" w:rsidR="00400848" w:rsidRDefault="00400848" w:rsidP="00400848">
      <w:pPr>
        <w:rPr>
          <w:rFonts w:ascii="Arial" w:hAnsi="Arial" w:cs="Arial"/>
          <w:b/>
          <w:bCs/>
          <w:sz w:val="28"/>
          <w:szCs w:val="28"/>
        </w:rPr>
      </w:pPr>
    </w:p>
    <w:p w14:paraId="1A39199C" w14:textId="736EB0A7" w:rsidR="00400848" w:rsidRPr="00400848" w:rsidRDefault="00400848" w:rsidP="00400848">
      <w:pPr>
        <w:rPr>
          <w:rFonts w:ascii="Arial" w:hAnsi="Arial" w:cs="Arial"/>
          <w:b/>
          <w:bCs/>
          <w:sz w:val="36"/>
          <w:szCs w:val="36"/>
        </w:rPr>
      </w:pPr>
      <w:r w:rsidRPr="00400848">
        <w:rPr>
          <w:rFonts w:ascii="Arial" w:hAnsi="Arial" w:cs="Arial"/>
          <w:b/>
          <w:bCs/>
          <w:sz w:val="36"/>
          <w:szCs w:val="36"/>
        </w:rPr>
        <w:lastRenderedPageBreak/>
        <w:t xml:space="preserve">Debt Collection Practices </w:t>
      </w:r>
    </w:p>
    <w:p w14:paraId="1B9838CF" w14:textId="77777777" w:rsidR="00400848" w:rsidRPr="00400848" w:rsidRDefault="00400848" w:rsidP="00400848">
      <w:pPr>
        <w:rPr>
          <w:rFonts w:ascii="Arial" w:hAnsi="Arial" w:cs="Arial"/>
          <w:sz w:val="28"/>
          <w:szCs w:val="28"/>
        </w:rPr>
      </w:pPr>
      <w:r w:rsidRPr="00400848">
        <w:rPr>
          <w:rFonts w:ascii="Arial" w:hAnsi="Arial" w:cs="Arial"/>
          <w:sz w:val="28"/>
          <w:szCs w:val="28"/>
        </w:rPr>
        <w:t>The main laws governing debt collection practices in the USA are the Fair Debt Collection Practices Act (FDCPA) and the Fair Credit Reporting Act (FCRA). These laws establish guidelines and restrictions for how debt collectors can interact with consumers, including:</w:t>
      </w:r>
    </w:p>
    <w:p w14:paraId="39C82D73" w14:textId="77777777" w:rsidR="00400848" w:rsidRPr="00400848" w:rsidRDefault="00400848" w:rsidP="00400848">
      <w:pPr>
        <w:rPr>
          <w:rFonts w:ascii="Arial" w:hAnsi="Arial" w:cs="Arial"/>
          <w:sz w:val="28"/>
          <w:szCs w:val="28"/>
        </w:rPr>
      </w:pPr>
      <w:r w:rsidRPr="00400848">
        <w:rPr>
          <w:rFonts w:ascii="Arial" w:hAnsi="Arial" w:cs="Arial"/>
          <w:sz w:val="28"/>
          <w:szCs w:val="28"/>
        </w:rPr>
        <w:t>Contacting Consumers</w:t>
      </w:r>
    </w:p>
    <w:p w14:paraId="4F845CDC" w14:textId="77777777" w:rsidR="00400848" w:rsidRPr="00400848" w:rsidRDefault="00400848" w:rsidP="00400848">
      <w:pPr>
        <w:numPr>
          <w:ilvl w:val="0"/>
          <w:numId w:val="23"/>
        </w:numPr>
        <w:rPr>
          <w:rFonts w:ascii="Arial" w:hAnsi="Arial" w:cs="Arial"/>
          <w:sz w:val="28"/>
          <w:szCs w:val="28"/>
        </w:rPr>
      </w:pPr>
      <w:r w:rsidRPr="00400848">
        <w:rPr>
          <w:rFonts w:ascii="Arial" w:hAnsi="Arial" w:cs="Arial"/>
          <w:sz w:val="28"/>
          <w:szCs w:val="28"/>
        </w:rPr>
        <w:t>Debt collectors are prohibited from contacting consumers at inconvenient times or places, such as before 8am or after 9pm.</w:t>
      </w:r>
    </w:p>
    <w:p w14:paraId="23EB33B9" w14:textId="77777777" w:rsidR="00400848" w:rsidRPr="00400848" w:rsidRDefault="00400848" w:rsidP="00400848">
      <w:pPr>
        <w:numPr>
          <w:ilvl w:val="0"/>
          <w:numId w:val="23"/>
        </w:numPr>
        <w:rPr>
          <w:rFonts w:ascii="Arial" w:hAnsi="Arial" w:cs="Arial"/>
          <w:sz w:val="28"/>
          <w:szCs w:val="28"/>
        </w:rPr>
      </w:pPr>
      <w:r w:rsidRPr="00400848">
        <w:rPr>
          <w:rFonts w:ascii="Arial" w:hAnsi="Arial" w:cs="Arial"/>
          <w:sz w:val="28"/>
          <w:szCs w:val="28"/>
        </w:rPr>
        <w:t>Collectors cannot contact consumers at work if the collector knows the employer prohibits such contacts.</w:t>
      </w:r>
    </w:p>
    <w:p w14:paraId="112C04D8" w14:textId="77777777" w:rsidR="00400848" w:rsidRPr="00400848" w:rsidRDefault="00400848" w:rsidP="00400848">
      <w:pPr>
        <w:rPr>
          <w:rFonts w:ascii="Arial" w:hAnsi="Arial" w:cs="Arial"/>
          <w:sz w:val="28"/>
          <w:szCs w:val="28"/>
        </w:rPr>
      </w:pPr>
      <w:r w:rsidRPr="00400848">
        <w:rPr>
          <w:rFonts w:ascii="Arial" w:hAnsi="Arial" w:cs="Arial"/>
          <w:sz w:val="28"/>
          <w:szCs w:val="28"/>
        </w:rPr>
        <w:t>Harassment and Abuse</w:t>
      </w:r>
    </w:p>
    <w:p w14:paraId="60C294A1" w14:textId="77777777" w:rsidR="00400848" w:rsidRPr="00400848" w:rsidRDefault="00400848" w:rsidP="00400848">
      <w:pPr>
        <w:numPr>
          <w:ilvl w:val="0"/>
          <w:numId w:val="24"/>
        </w:numPr>
        <w:rPr>
          <w:rFonts w:ascii="Arial" w:hAnsi="Arial" w:cs="Arial"/>
          <w:sz w:val="28"/>
          <w:szCs w:val="28"/>
        </w:rPr>
      </w:pPr>
      <w:r w:rsidRPr="00400848">
        <w:rPr>
          <w:rFonts w:ascii="Arial" w:hAnsi="Arial" w:cs="Arial"/>
          <w:sz w:val="28"/>
          <w:szCs w:val="28"/>
        </w:rPr>
        <w:t>Debt collectors are prohibited from using obscene, profane, or abusive language when communicating with consumers.</w:t>
      </w:r>
    </w:p>
    <w:p w14:paraId="23CCCD3D" w14:textId="77777777" w:rsidR="00400848" w:rsidRPr="00400848" w:rsidRDefault="00400848" w:rsidP="00400848">
      <w:pPr>
        <w:numPr>
          <w:ilvl w:val="0"/>
          <w:numId w:val="24"/>
        </w:numPr>
        <w:rPr>
          <w:rFonts w:ascii="Arial" w:hAnsi="Arial" w:cs="Arial"/>
          <w:sz w:val="28"/>
          <w:szCs w:val="28"/>
        </w:rPr>
      </w:pPr>
      <w:r w:rsidRPr="00400848">
        <w:rPr>
          <w:rFonts w:ascii="Arial" w:hAnsi="Arial" w:cs="Arial"/>
          <w:sz w:val="28"/>
          <w:szCs w:val="28"/>
        </w:rPr>
        <w:t>They cannot threaten consumers with violence or other criminal acts.</w:t>
      </w:r>
    </w:p>
    <w:p w14:paraId="02EA7475" w14:textId="77777777" w:rsidR="00400848" w:rsidRPr="00400848" w:rsidRDefault="00400848" w:rsidP="00400848">
      <w:pPr>
        <w:rPr>
          <w:rFonts w:ascii="Arial" w:hAnsi="Arial" w:cs="Arial"/>
          <w:sz w:val="28"/>
          <w:szCs w:val="28"/>
        </w:rPr>
      </w:pPr>
      <w:r w:rsidRPr="00400848">
        <w:rPr>
          <w:rFonts w:ascii="Arial" w:hAnsi="Arial" w:cs="Arial"/>
          <w:sz w:val="28"/>
          <w:szCs w:val="28"/>
        </w:rPr>
        <w:t>False or Misleading Statements</w:t>
      </w:r>
    </w:p>
    <w:p w14:paraId="77825111" w14:textId="77777777" w:rsidR="00400848" w:rsidRPr="00400848" w:rsidRDefault="00400848" w:rsidP="00400848">
      <w:pPr>
        <w:numPr>
          <w:ilvl w:val="0"/>
          <w:numId w:val="25"/>
        </w:numPr>
        <w:rPr>
          <w:rFonts w:ascii="Arial" w:hAnsi="Arial" w:cs="Arial"/>
          <w:sz w:val="28"/>
          <w:szCs w:val="28"/>
        </w:rPr>
      </w:pPr>
      <w:r w:rsidRPr="00400848">
        <w:rPr>
          <w:rFonts w:ascii="Arial" w:hAnsi="Arial" w:cs="Arial"/>
          <w:sz w:val="28"/>
          <w:szCs w:val="28"/>
        </w:rPr>
        <w:t>Collectors cannot falsely represent the amount of the debt or the legal status of the debt.</w:t>
      </w:r>
    </w:p>
    <w:p w14:paraId="5D6CEB98" w14:textId="77777777" w:rsidR="00400848" w:rsidRPr="00400848" w:rsidRDefault="00400848" w:rsidP="00400848">
      <w:pPr>
        <w:numPr>
          <w:ilvl w:val="0"/>
          <w:numId w:val="25"/>
        </w:numPr>
        <w:rPr>
          <w:rFonts w:ascii="Arial" w:hAnsi="Arial" w:cs="Arial"/>
          <w:sz w:val="28"/>
          <w:szCs w:val="28"/>
        </w:rPr>
      </w:pPr>
      <w:r w:rsidRPr="00400848">
        <w:rPr>
          <w:rFonts w:ascii="Arial" w:hAnsi="Arial" w:cs="Arial"/>
          <w:sz w:val="28"/>
          <w:szCs w:val="28"/>
        </w:rPr>
        <w:t>They cannot falsely claim to be attorneys or government representatives.</w:t>
      </w:r>
    </w:p>
    <w:p w14:paraId="3696FEB6" w14:textId="77777777" w:rsidR="00400848" w:rsidRPr="00400848" w:rsidRDefault="00400848" w:rsidP="00400848">
      <w:pPr>
        <w:rPr>
          <w:rFonts w:ascii="Arial" w:hAnsi="Arial" w:cs="Arial"/>
          <w:sz w:val="28"/>
          <w:szCs w:val="28"/>
        </w:rPr>
      </w:pPr>
      <w:r w:rsidRPr="00400848">
        <w:rPr>
          <w:rFonts w:ascii="Arial" w:hAnsi="Arial" w:cs="Arial"/>
          <w:sz w:val="28"/>
          <w:szCs w:val="28"/>
        </w:rPr>
        <w:t>Unfair Practices</w:t>
      </w:r>
    </w:p>
    <w:p w14:paraId="59B65373" w14:textId="77777777" w:rsidR="00400848" w:rsidRPr="00400848" w:rsidRDefault="00400848" w:rsidP="00400848">
      <w:pPr>
        <w:numPr>
          <w:ilvl w:val="0"/>
          <w:numId w:val="26"/>
        </w:numPr>
        <w:rPr>
          <w:rFonts w:ascii="Arial" w:hAnsi="Arial" w:cs="Arial"/>
          <w:sz w:val="28"/>
          <w:szCs w:val="28"/>
        </w:rPr>
      </w:pPr>
      <w:r w:rsidRPr="00400848">
        <w:rPr>
          <w:rFonts w:ascii="Arial" w:hAnsi="Arial" w:cs="Arial"/>
          <w:sz w:val="28"/>
          <w:szCs w:val="28"/>
        </w:rPr>
        <w:t>Debt collectors cannot deposit a post-dated check prematurely.</w:t>
      </w:r>
    </w:p>
    <w:p w14:paraId="42AC399F" w14:textId="77777777" w:rsidR="00400848" w:rsidRPr="00400848" w:rsidRDefault="00400848" w:rsidP="00400848">
      <w:pPr>
        <w:numPr>
          <w:ilvl w:val="0"/>
          <w:numId w:val="26"/>
        </w:numPr>
        <w:rPr>
          <w:rFonts w:ascii="Arial" w:hAnsi="Arial" w:cs="Arial"/>
          <w:sz w:val="28"/>
          <w:szCs w:val="28"/>
        </w:rPr>
      </w:pPr>
      <w:r w:rsidRPr="00400848">
        <w:rPr>
          <w:rFonts w:ascii="Arial" w:hAnsi="Arial" w:cs="Arial"/>
          <w:sz w:val="28"/>
          <w:szCs w:val="28"/>
        </w:rPr>
        <w:t>They cannot collect any amount greater than the debt, including interest and fees, unless such additional amounts are authorized by the original contract or permitted by law.</w:t>
      </w:r>
    </w:p>
    <w:p w14:paraId="6B0FAFA4" w14:textId="77777777" w:rsidR="00561F04" w:rsidRDefault="00561F04"/>
    <w:sectPr w:rsidR="0056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4AD"/>
    <w:multiLevelType w:val="multilevel"/>
    <w:tmpl w:val="229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11F3"/>
    <w:multiLevelType w:val="multilevel"/>
    <w:tmpl w:val="772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A6E16"/>
    <w:multiLevelType w:val="multilevel"/>
    <w:tmpl w:val="2C6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0619A"/>
    <w:multiLevelType w:val="multilevel"/>
    <w:tmpl w:val="28E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81FB5"/>
    <w:multiLevelType w:val="multilevel"/>
    <w:tmpl w:val="1EA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C43DD"/>
    <w:multiLevelType w:val="multilevel"/>
    <w:tmpl w:val="8DF4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95EFE"/>
    <w:multiLevelType w:val="multilevel"/>
    <w:tmpl w:val="1EE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97F"/>
    <w:multiLevelType w:val="multilevel"/>
    <w:tmpl w:val="E34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00EDB"/>
    <w:multiLevelType w:val="multilevel"/>
    <w:tmpl w:val="431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75B10"/>
    <w:multiLevelType w:val="multilevel"/>
    <w:tmpl w:val="A0A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2651F"/>
    <w:multiLevelType w:val="multilevel"/>
    <w:tmpl w:val="5C2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777A4"/>
    <w:multiLevelType w:val="multilevel"/>
    <w:tmpl w:val="3A1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B3BC1"/>
    <w:multiLevelType w:val="multilevel"/>
    <w:tmpl w:val="176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E32F82"/>
    <w:multiLevelType w:val="multilevel"/>
    <w:tmpl w:val="BB9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7270F"/>
    <w:multiLevelType w:val="multilevel"/>
    <w:tmpl w:val="2B0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740A1"/>
    <w:multiLevelType w:val="multilevel"/>
    <w:tmpl w:val="3CB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FE6D3C"/>
    <w:multiLevelType w:val="multilevel"/>
    <w:tmpl w:val="F0C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D1B45"/>
    <w:multiLevelType w:val="multilevel"/>
    <w:tmpl w:val="B0A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46BA3"/>
    <w:multiLevelType w:val="multilevel"/>
    <w:tmpl w:val="4A3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80683"/>
    <w:multiLevelType w:val="multilevel"/>
    <w:tmpl w:val="114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9E2354"/>
    <w:multiLevelType w:val="multilevel"/>
    <w:tmpl w:val="2B7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7544D2"/>
    <w:multiLevelType w:val="multilevel"/>
    <w:tmpl w:val="EAB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290680"/>
    <w:multiLevelType w:val="multilevel"/>
    <w:tmpl w:val="093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27F7D"/>
    <w:multiLevelType w:val="multilevel"/>
    <w:tmpl w:val="6FB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124ED7"/>
    <w:multiLevelType w:val="multilevel"/>
    <w:tmpl w:val="A3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C0C19"/>
    <w:multiLevelType w:val="multilevel"/>
    <w:tmpl w:val="B42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0836537">
    <w:abstractNumId w:val="11"/>
  </w:num>
  <w:num w:numId="2" w16cid:durableId="1538931103">
    <w:abstractNumId w:val="0"/>
  </w:num>
  <w:num w:numId="3" w16cid:durableId="791899726">
    <w:abstractNumId w:val="14"/>
  </w:num>
  <w:num w:numId="4" w16cid:durableId="2107656153">
    <w:abstractNumId w:val="1"/>
  </w:num>
  <w:num w:numId="5" w16cid:durableId="1648389608">
    <w:abstractNumId w:val="7"/>
  </w:num>
  <w:num w:numId="6" w16cid:durableId="1920358175">
    <w:abstractNumId w:val="9"/>
  </w:num>
  <w:num w:numId="7" w16cid:durableId="1789159993">
    <w:abstractNumId w:val="2"/>
  </w:num>
  <w:num w:numId="8" w16cid:durableId="1289094114">
    <w:abstractNumId w:val="21"/>
  </w:num>
  <w:num w:numId="9" w16cid:durableId="2006931327">
    <w:abstractNumId w:val="5"/>
  </w:num>
  <w:num w:numId="10" w16cid:durableId="1208446143">
    <w:abstractNumId w:val="23"/>
  </w:num>
  <w:num w:numId="11" w16cid:durableId="832337076">
    <w:abstractNumId w:val="6"/>
  </w:num>
  <w:num w:numId="12" w16cid:durableId="979191166">
    <w:abstractNumId w:val="20"/>
  </w:num>
  <w:num w:numId="13" w16cid:durableId="935089720">
    <w:abstractNumId w:val="13"/>
  </w:num>
  <w:num w:numId="14" w16cid:durableId="711156661">
    <w:abstractNumId w:val="8"/>
  </w:num>
  <w:num w:numId="15" w16cid:durableId="235408190">
    <w:abstractNumId w:val="17"/>
  </w:num>
  <w:num w:numId="16" w16cid:durableId="1131052255">
    <w:abstractNumId w:val="25"/>
  </w:num>
  <w:num w:numId="17" w16cid:durableId="1914047794">
    <w:abstractNumId w:val="15"/>
  </w:num>
  <w:num w:numId="18" w16cid:durableId="869489425">
    <w:abstractNumId w:val="24"/>
  </w:num>
  <w:num w:numId="19" w16cid:durableId="673457575">
    <w:abstractNumId w:val="18"/>
  </w:num>
  <w:num w:numId="20" w16cid:durableId="208567004">
    <w:abstractNumId w:val="12"/>
  </w:num>
  <w:num w:numId="21" w16cid:durableId="1323044951">
    <w:abstractNumId w:val="4"/>
  </w:num>
  <w:num w:numId="22" w16cid:durableId="1760518791">
    <w:abstractNumId w:val="3"/>
  </w:num>
  <w:num w:numId="23" w16cid:durableId="1103839541">
    <w:abstractNumId w:val="10"/>
  </w:num>
  <w:num w:numId="24" w16cid:durableId="191038736">
    <w:abstractNumId w:val="16"/>
  </w:num>
  <w:num w:numId="25" w16cid:durableId="844977086">
    <w:abstractNumId w:val="19"/>
  </w:num>
  <w:num w:numId="26" w16cid:durableId="13990101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48"/>
    <w:rsid w:val="00400848"/>
    <w:rsid w:val="00561F04"/>
    <w:rsid w:val="007E3B41"/>
    <w:rsid w:val="009B29C0"/>
    <w:rsid w:val="00EF2655"/>
    <w:rsid w:val="00F5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4D9D"/>
  <w15:chartTrackingRefBased/>
  <w15:docId w15:val="{6F0AA9EB-43C4-43EF-B768-F40F1AA0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848"/>
    <w:rPr>
      <w:rFonts w:eastAsiaTheme="majorEastAsia" w:cstheme="majorBidi"/>
      <w:color w:val="272727" w:themeColor="text1" w:themeTint="D8"/>
    </w:rPr>
  </w:style>
  <w:style w:type="paragraph" w:styleId="Title">
    <w:name w:val="Title"/>
    <w:basedOn w:val="Normal"/>
    <w:next w:val="Normal"/>
    <w:link w:val="TitleChar"/>
    <w:uiPriority w:val="10"/>
    <w:qFormat/>
    <w:rsid w:val="00400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848"/>
    <w:pPr>
      <w:spacing w:before="160"/>
      <w:jc w:val="center"/>
    </w:pPr>
    <w:rPr>
      <w:i/>
      <w:iCs/>
      <w:color w:val="404040" w:themeColor="text1" w:themeTint="BF"/>
    </w:rPr>
  </w:style>
  <w:style w:type="character" w:customStyle="1" w:styleId="QuoteChar">
    <w:name w:val="Quote Char"/>
    <w:basedOn w:val="DefaultParagraphFont"/>
    <w:link w:val="Quote"/>
    <w:uiPriority w:val="29"/>
    <w:rsid w:val="00400848"/>
    <w:rPr>
      <w:i/>
      <w:iCs/>
      <w:color w:val="404040" w:themeColor="text1" w:themeTint="BF"/>
    </w:rPr>
  </w:style>
  <w:style w:type="paragraph" w:styleId="ListParagraph">
    <w:name w:val="List Paragraph"/>
    <w:basedOn w:val="Normal"/>
    <w:uiPriority w:val="34"/>
    <w:qFormat/>
    <w:rsid w:val="00400848"/>
    <w:pPr>
      <w:ind w:left="720"/>
      <w:contextualSpacing/>
    </w:pPr>
  </w:style>
  <w:style w:type="character" w:styleId="IntenseEmphasis">
    <w:name w:val="Intense Emphasis"/>
    <w:basedOn w:val="DefaultParagraphFont"/>
    <w:uiPriority w:val="21"/>
    <w:qFormat/>
    <w:rsid w:val="00400848"/>
    <w:rPr>
      <w:i/>
      <w:iCs/>
      <w:color w:val="0F4761" w:themeColor="accent1" w:themeShade="BF"/>
    </w:rPr>
  </w:style>
  <w:style w:type="paragraph" w:styleId="IntenseQuote">
    <w:name w:val="Intense Quote"/>
    <w:basedOn w:val="Normal"/>
    <w:next w:val="Normal"/>
    <w:link w:val="IntenseQuoteChar"/>
    <w:uiPriority w:val="30"/>
    <w:qFormat/>
    <w:rsid w:val="00400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848"/>
    <w:rPr>
      <w:i/>
      <w:iCs/>
      <w:color w:val="0F4761" w:themeColor="accent1" w:themeShade="BF"/>
    </w:rPr>
  </w:style>
  <w:style w:type="character" w:styleId="IntenseReference">
    <w:name w:val="Intense Reference"/>
    <w:basedOn w:val="DefaultParagraphFont"/>
    <w:uiPriority w:val="32"/>
    <w:qFormat/>
    <w:rsid w:val="004008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4686">
      <w:bodyDiv w:val="1"/>
      <w:marLeft w:val="0"/>
      <w:marRight w:val="0"/>
      <w:marTop w:val="0"/>
      <w:marBottom w:val="0"/>
      <w:divBdr>
        <w:top w:val="none" w:sz="0" w:space="0" w:color="auto"/>
        <w:left w:val="none" w:sz="0" w:space="0" w:color="auto"/>
        <w:bottom w:val="none" w:sz="0" w:space="0" w:color="auto"/>
        <w:right w:val="none" w:sz="0" w:space="0" w:color="auto"/>
      </w:divBdr>
    </w:div>
    <w:div w:id="152141105">
      <w:bodyDiv w:val="1"/>
      <w:marLeft w:val="0"/>
      <w:marRight w:val="0"/>
      <w:marTop w:val="0"/>
      <w:marBottom w:val="0"/>
      <w:divBdr>
        <w:top w:val="none" w:sz="0" w:space="0" w:color="auto"/>
        <w:left w:val="none" w:sz="0" w:space="0" w:color="auto"/>
        <w:bottom w:val="none" w:sz="0" w:space="0" w:color="auto"/>
        <w:right w:val="none" w:sz="0" w:space="0" w:color="auto"/>
      </w:divBdr>
    </w:div>
    <w:div w:id="1055130452">
      <w:bodyDiv w:val="1"/>
      <w:marLeft w:val="0"/>
      <w:marRight w:val="0"/>
      <w:marTop w:val="0"/>
      <w:marBottom w:val="0"/>
      <w:divBdr>
        <w:top w:val="none" w:sz="0" w:space="0" w:color="auto"/>
        <w:left w:val="none" w:sz="0" w:space="0" w:color="auto"/>
        <w:bottom w:val="none" w:sz="0" w:space="0" w:color="auto"/>
        <w:right w:val="none" w:sz="0" w:space="0" w:color="auto"/>
      </w:divBdr>
    </w:div>
    <w:div w:id="19362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2024-07-10T12:39:00Z</dcterms:created>
  <dcterms:modified xsi:type="dcterms:W3CDTF">2024-07-10T12:39:00Z</dcterms:modified>
</cp:coreProperties>
</file>