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A6882" w14:textId="77777777" w:rsidR="00E7660C" w:rsidRPr="00E7660C" w:rsidRDefault="00E7660C" w:rsidP="00E7660C">
      <w:pPr>
        <w:rPr>
          <w:rFonts w:ascii="Arial" w:hAnsi="Arial" w:cs="Arial"/>
          <w:b/>
          <w:bCs/>
          <w:sz w:val="36"/>
          <w:szCs w:val="36"/>
        </w:rPr>
      </w:pPr>
      <w:r w:rsidRPr="00E7660C">
        <w:rPr>
          <w:rFonts w:ascii="Arial" w:hAnsi="Arial" w:cs="Arial"/>
          <w:b/>
          <w:bCs/>
          <w:sz w:val="36"/>
          <w:szCs w:val="36"/>
        </w:rPr>
        <w:t>Investment banking functions</w:t>
      </w:r>
    </w:p>
    <w:p w14:paraId="0D7F0677" w14:textId="6565B5FA" w:rsidR="00CF5E54" w:rsidRDefault="00CF5E54" w:rsidP="00E7660C">
      <w:pPr>
        <w:rPr>
          <w:rFonts w:ascii="Arial" w:hAnsi="Arial" w:cs="Arial"/>
          <w:sz w:val="28"/>
          <w:szCs w:val="28"/>
        </w:rPr>
      </w:pPr>
      <w:r w:rsidRPr="00CF5E54">
        <w:rPr>
          <w:rFonts w:ascii="Arial" w:hAnsi="Arial" w:cs="Arial"/>
          <w:sz w:val="28"/>
          <w:szCs w:val="28"/>
        </w:rPr>
        <w:t>Investment Banking is a segment of the financial services industry that offers strategic advisory services to corporate and institutional clients on mergers and acquisitions (M&amp;A) and underwriting in the capital markets.</w:t>
      </w:r>
    </w:p>
    <w:p w14:paraId="2C3E0D5C" w14:textId="45C0B8D1" w:rsidR="00E7660C" w:rsidRDefault="00E7660C" w:rsidP="00E7660C">
      <w:pPr>
        <w:rPr>
          <w:rFonts w:ascii="Arial" w:hAnsi="Arial" w:cs="Arial"/>
          <w:sz w:val="28"/>
          <w:szCs w:val="28"/>
        </w:rPr>
      </w:pPr>
      <w:r>
        <w:rPr>
          <w:rFonts w:ascii="Arial" w:hAnsi="Arial" w:cs="Arial"/>
          <w:sz w:val="28"/>
          <w:szCs w:val="28"/>
        </w:rPr>
        <w:t>I</w:t>
      </w:r>
      <w:r w:rsidRPr="00E7660C">
        <w:rPr>
          <w:rFonts w:ascii="Arial" w:hAnsi="Arial" w:cs="Arial"/>
          <w:sz w:val="28"/>
          <w:szCs w:val="28"/>
        </w:rPr>
        <w:t>nvestment banks are a bridge between large enterprises and the investor. Their primary roles are to advise businesses and governments on how to meet their financial challenges and to help them procure financing, whether it be from stock offerings, bond issues, or derivative products.</w:t>
      </w:r>
    </w:p>
    <w:p w14:paraId="25B7B9FD" w14:textId="74F3BDAE" w:rsidR="00E7660C" w:rsidRDefault="00E7660C" w:rsidP="00E7660C">
      <w:pPr>
        <w:rPr>
          <w:rFonts w:ascii="Arial" w:hAnsi="Arial" w:cs="Arial"/>
          <w:sz w:val="28"/>
          <w:szCs w:val="28"/>
        </w:rPr>
      </w:pPr>
      <w:r w:rsidRPr="00E7660C">
        <w:rPr>
          <w:rFonts w:ascii="Arial" w:hAnsi="Arial" w:cs="Arial"/>
          <w:sz w:val="28"/>
          <w:szCs w:val="28"/>
        </w:rPr>
        <w:t>Investment banks help their clients with financing, research, trading and sales, wealth management, asset management, IPOs, mergers, securitized products, hedging, and more.</w:t>
      </w:r>
    </w:p>
    <w:p w14:paraId="247D0509" w14:textId="01CA8610" w:rsidR="0082029E" w:rsidRDefault="0082029E" w:rsidP="00E7660C">
      <w:pPr>
        <w:rPr>
          <w:rFonts w:ascii="Arial" w:hAnsi="Arial" w:cs="Arial"/>
          <w:sz w:val="28"/>
          <w:szCs w:val="28"/>
        </w:rPr>
      </w:pPr>
      <w:r w:rsidRPr="0082029E">
        <w:rPr>
          <w:rFonts w:ascii="Arial" w:hAnsi="Arial" w:cs="Arial"/>
          <w:sz w:val="28"/>
          <w:szCs w:val="28"/>
        </w:rPr>
        <w:t>The investment bank serves as a financial intermediary between clients and corporations (or institutional investors) to ensure proper guidance is delivered based on the firm’s expertise, network, and past transactions.</w:t>
      </w:r>
    </w:p>
    <w:p w14:paraId="5825A4FF" w14:textId="77777777" w:rsidR="0082029E" w:rsidRDefault="0082029E" w:rsidP="00E7660C">
      <w:pPr>
        <w:rPr>
          <w:rFonts w:ascii="Arial" w:hAnsi="Arial" w:cs="Arial"/>
          <w:sz w:val="28"/>
          <w:szCs w:val="28"/>
        </w:rPr>
      </w:pPr>
    </w:p>
    <w:p w14:paraId="4CEBD4B9" w14:textId="33E27B3E" w:rsidR="00E7660C" w:rsidRDefault="00CF5E54" w:rsidP="00E7660C">
      <w:pPr>
        <w:rPr>
          <w:rFonts w:ascii="Arial" w:hAnsi="Arial" w:cs="Arial"/>
          <w:sz w:val="28"/>
          <w:szCs w:val="28"/>
        </w:rPr>
      </w:pPr>
      <w:r>
        <w:rPr>
          <w:rFonts w:ascii="Arial" w:hAnsi="Arial" w:cs="Arial"/>
          <w:noProof/>
          <w:sz w:val="28"/>
          <w:szCs w:val="28"/>
        </w:rPr>
        <w:drawing>
          <wp:inline distT="0" distB="0" distL="0" distR="0" wp14:anchorId="73C2ACCF" wp14:editId="067FEEAB">
            <wp:extent cx="5038725" cy="2867025"/>
            <wp:effectExtent l="0" t="38100" r="9525" b="66675"/>
            <wp:docPr id="214510147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06AE2ED" w14:textId="77777777" w:rsidR="0082029E" w:rsidRDefault="0082029E" w:rsidP="00E7660C">
      <w:pPr>
        <w:rPr>
          <w:rFonts w:ascii="Arial" w:hAnsi="Arial" w:cs="Arial"/>
          <w:sz w:val="28"/>
          <w:szCs w:val="28"/>
        </w:rPr>
      </w:pPr>
    </w:p>
    <w:p w14:paraId="736C91EA" w14:textId="77777777" w:rsidR="0082029E" w:rsidRDefault="0082029E" w:rsidP="0082029E">
      <w:pPr>
        <w:rPr>
          <w:rFonts w:ascii="Arial" w:hAnsi="Arial" w:cs="Arial"/>
          <w:sz w:val="28"/>
          <w:szCs w:val="28"/>
        </w:rPr>
      </w:pPr>
      <w:r w:rsidRPr="0082029E">
        <w:rPr>
          <w:rFonts w:ascii="Arial" w:hAnsi="Arial" w:cs="Arial"/>
          <w:sz w:val="28"/>
          <w:szCs w:val="28"/>
        </w:rPr>
        <w:t xml:space="preserve">The </w:t>
      </w:r>
      <w:r>
        <w:rPr>
          <w:rFonts w:ascii="Arial" w:hAnsi="Arial" w:cs="Arial"/>
          <w:sz w:val="28"/>
          <w:szCs w:val="28"/>
        </w:rPr>
        <w:t>C</w:t>
      </w:r>
      <w:r w:rsidRPr="0082029E">
        <w:rPr>
          <w:rFonts w:ascii="Arial" w:hAnsi="Arial" w:cs="Arial"/>
          <w:sz w:val="28"/>
          <w:szCs w:val="28"/>
        </w:rPr>
        <w:t>lients of an investment banking firm are most often corporations or institutional investors, such as private equity firms, mutual funds, hedge funds, pension funds, and sovereign wealth funds (SWF).</w:t>
      </w:r>
    </w:p>
    <w:p w14:paraId="25092BE4" w14:textId="77777777" w:rsidR="0082029E" w:rsidRDefault="0082029E" w:rsidP="00E7660C">
      <w:pPr>
        <w:rPr>
          <w:rFonts w:ascii="Arial" w:hAnsi="Arial" w:cs="Arial"/>
          <w:sz w:val="28"/>
          <w:szCs w:val="28"/>
        </w:rPr>
      </w:pPr>
    </w:p>
    <w:tbl>
      <w:tblPr>
        <w:tblStyle w:val="GridTable1Light"/>
        <w:tblW w:w="10120" w:type="dxa"/>
        <w:tblLook w:val="04A0" w:firstRow="1" w:lastRow="0" w:firstColumn="1" w:lastColumn="0" w:noHBand="0" w:noVBand="1"/>
      </w:tblPr>
      <w:tblGrid>
        <w:gridCol w:w="1978"/>
        <w:gridCol w:w="8142"/>
      </w:tblGrid>
      <w:tr w:rsidR="0082029E" w:rsidRPr="0082029E" w14:paraId="68D16B67" w14:textId="77777777" w:rsidTr="00820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8E8E8" w:themeFill="background2"/>
            <w:noWrap/>
            <w:hideMark/>
          </w:tcPr>
          <w:p w14:paraId="43CFECBD" w14:textId="77777777" w:rsidR="0082029E" w:rsidRPr="0082029E" w:rsidRDefault="0082029E" w:rsidP="0082029E">
            <w:pPr>
              <w:spacing w:after="160" w:line="259" w:lineRule="auto"/>
              <w:rPr>
                <w:rFonts w:ascii="Arial" w:hAnsi="Arial" w:cs="Arial"/>
                <w:sz w:val="28"/>
                <w:szCs w:val="28"/>
              </w:rPr>
            </w:pPr>
            <w:r w:rsidRPr="0082029E">
              <w:rPr>
                <w:rFonts w:ascii="Arial" w:hAnsi="Arial" w:cs="Arial"/>
                <w:sz w:val="28"/>
                <w:szCs w:val="28"/>
              </w:rPr>
              <w:lastRenderedPageBreak/>
              <w:t>Function</w:t>
            </w:r>
          </w:p>
        </w:tc>
        <w:tc>
          <w:tcPr>
            <w:tcW w:w="0" w:type="auto"/>
            <w:shd w:val="clear" w:color="auto" w:fill="E8E8E8" w:themeFill="background2"/>
            <w:noWrap/>
            <w:hideMark/>
          </w:tcPr>
          <w:p w14:paraId="1AB9E6A1" w14:textId="77777777" w:rsidR="0082029E" w:rsidRPr="0082029E" w:rsidRDefault="0082029E" w:rsidP="0082029E">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82029E">
              <w:rPr>
                <w:rFonts w:ascii="Arial" w:hAnsi="Arial" w:cs="Arial"/>
                <w:sz w:val="28"/>
                <w:szCs w:val="28"/>
              </w:rPr>
              <w:t>Description</w:t>
            </w:r>
          </w:p>
        </w:tc>
      </w:tr>
      <w:tr w:rsidR="0082029E" w:rsidRPr="0082029E" w14:paraId="68F196F9" w14:textId="77777777" w:rsidTr="0082029E">
        <w:tc>
          <w:tcPr>
            <w:cnfStyle w:val="001000000000" w:firstRow="0" w:lastRow="0" w:firstColumn="1" w:lastColumn="0" w:oddVBand="0" w:evenVBand="0" w:oddHBand="0" w:evenHBand="0" w:firstRowFirstColumn="0" w:firstRowLastColumn="0" w:lastRowFirstColumn="0" w:lastRowLastColumn="0"/>
            <w:tcW w:w="0" w:type="auto"/>
            <w:hideMark/>
          </w:tcPr>
          <w:p w14:paraId="4512421B" w14:textId="77777777" w:rsidR="0082029E" w:rsidRPr="0082029E" w:rsidRDefault="0082029E" w:rsidP="0082029E">
            <w:pPr>
              <w:spacing w:after="160" w:line="259" w:lineRule="auto"/>
              <w:rPr>
                <w:rFonts w:ascii="Arial" w:hAnsi="Arial" w:cs="Arial"/>
                <w:sz w:val="28"/>
                <w:szCs w:val="28"/>
              </w:rPr>
            </w:pPr>
            <w:r w:rsidRPr="0082029E">
              <w:rPr>
                <w:rFonts w:ascii="Arial" w:hAnsi="Arial" w:cs="Arial"/>
                <w:sz w:val="28"/>
                <w:szCs w:val="28"/>
              </w:rPr>
              <w:t>M&amp;A Advisory</w:t>
            </w:r>
          </w:p>
        </w:tc>
        <w:tc>
          <w:tcPr>
            <w:tcW w:w="0" w:type="auto"/>
            <w:hideMark/>
          </w:tcPr>
          <w:p w14:paraId="27F04553" w14:textId="6BE59607" w:rsidR="0082029E" w:rsidRDefault="0082029E" w:rsidP="0082029E">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82029E">
              <w:rPr>
                <w:rFonts w:ascii="Arial" w:hAnsi="Arial" w:cs="Arial"/>
                <w:sz w:val="28"/>
                <w:szCs w:val="28"/>
              </w:rPr>
              <w:t>M&amp;A—an abbreviation for</w:t>
            </w:r>
            <w:r>
              <w:rPr>
                <w:rFonts w:ascii="Arial" w:hAnsi="Arial" w:cs="Arial"/>
                <w:sz w:val="28"/>
                <w:szCs w:val="28"/>
              </w:rPr>
              <w:t xml:space="preserve"> </w:t>
            </w:r>
            <w:r w:rsidRPr="0082029E">
              <w:rPr>
                <w:rFonts w:ascii="Arial" w:hAnsi="Arial" w:cs="Arial"/>
                <w:sz w:val="28"/>
                <w:szCs w:val="28"/>
              </w:rPr>
              <w:t xml:space="preserve">"Mergers and Acquisitions"—is an umbrella term referring to the consolidation of two companies. </w:t>
            </w:r>
          </w:p>
          <w:p w14:paraId="6BE9C9CD" w14:textId="77777777" w:rsidR="0082029E" w:rsidRDefault="0082029E" w:rsidP="0082029E">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82029E">
              <w:rPr>
                <w:rFonts w:ascii="Arial" w:hAnsi="Arial" w:cs="Arial"/>
                <w:sz w:val="28"/>
                <w:szCs w:val="28"/>
              </w:rPr>
              <w:t xml:space="preserve">The M&amp;A function in investment banking refers to the strategic M&amp;A advisory services provided on behalf of the acquirer or the acquiree (i.e., the subject of the purchase). </w:t>
            </w:r>
          </w:p>
          <w:p w14:paraId="687EF107" w14:textId="47A04E54" w:rsidR="0082029E" w:rsidRPr="0082029E" w:rsidRDefault="0082029E" w:rsidP="0082029E">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82029E">
              <w:rPr>
                <w:rFonts w:ascii="Arial" w:hAnsi="Arial" w:cs="Arial"/>
                <w:sz w:val="28"/>
                <w:szCs w:val="28"/>
              </w:rPr>
              <w:t>Therefore, the M&amp;A division of an investment bank is assigned with the task of navigating a client through the complexities of an M&amp;A deal to ensure a favorable outcome is reached (i.e., the "best interests" of stakeholders).</w:t>
            </w:r>
          </w:p>
        </w:tc>
      </w:tr>
      <w:tr w:rsidR="0082029E" w:rsidRPr="0082029E" w14:paraId="5567DCD4" w14:textId="77777777" w:rsidTr="0082029E">
        <w:tc>
          <w:tcPr>
            <w:cnfStyle w:val="001000000000" w:firstRow="0" w:lastRow="0" w:firstColumn="1" w:lastColumn="0" w:oddVBand="0" w:evenVBand="0" w:oddHBand="0" w:evenHBand="0" w:firstRowFirstColumn="0" w:firstRowLastColumn="0" w:lastRowFirstColumn="0" w:lastRowLastColumn="0"/>
            <w:tcW w:w="0" w:type="auto"/>
            <w:hideMark/>
          </w:tcPr>
          <w:p w14:paraId="1739AAD9" w14:textId="77777777" w:rsidR="0082029E" w:rsidRPr="0082029E" w:rsidRDefault="0082029E" w:rsidP="0082029E">
            <w:pPr>
              <w:spacing w:after="160" w:line="259" w:lineRule="auto"/>
              <w:rPr>
                <w:rFonts w:ascii="Arial" w:hAnsi="Arial" w:cs="Arial"/>
                <w:sz w:val="28"/>
                <w:szCs w:val="28"/>
              </w:rPr>
            </w:pPr>
            <w:r w:rsidRPr="0082029E">
              <w:rPr>
                <w:rFonts w:ascii="Arial" w:hAnsi="Arial" w:cs="Arial"/>
                <w:sz w:val="28"/>
                <w:szCs w:val="28"/>
              </w:rPr>
              <w:t>Underwriting</w:t>
            </w:r>
          </w:p>
        </w:tc>
        <w:tc>
          <w:tcPr>
            <w:tcW w:w="0" w:type="auto"/>
            <w:hideMark/>
          </w:tcPr>
          <w:p w14:paraId="65956A3E" w14:textId="77777777" w:rsidR="0082029E" w:rsidRDefault="0082029E" w:rsidP="0082029E">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82029E">
              <w:rPr>
                <w:rFonts w:ascii="Arial" w:hAnsi="Arial" w:cs="Arial"/>
                <w:sz w:val="28"/>
                <w:szCs w:val="28"/>
              </w:rPr>
              <w:t xml:space="preserve">Underwriting in investment banking comprises matching corporations in need of capital, either in the form of equity or debt issuances, with institutional investors. </w:t>
            </w:r>
          </w:p>
          <w:p w14:paraId="63270E6C" w14:textId="77777777" w:rsidR="0082029E" w:rsidRDefault="0082029E" w:rsidP="0082029E">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82029E">
              <w:rPr>
                <w:rFonts w:ascii="Arial" w:hAnsi="Arial" w:cs="Arial"/>
                <w:sz w:val="28"/>
                <w:szCs w:val="28"/>
              </w:rPr>
              <w:t xml:space="preserve">The capital raising process is rather complicated with countless moving pieces and risks, such as timing (e.g., undergoing an IPO in adverse market conditions). </w:t>
            </w:r>
          </w:p>
          <w:p w14:paraId="1A5BF8E3" w14:textId="3019A6F7" w:rsidR="0082029E" w:rsidRPr="0082029E" w:rsidRDefault="0082029E" w:rsidP="0082029E">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82029E">
              <w:rPr>
                <w:rFonts w:ascii="Arial" w:hAnsi="Arial" w:cs="Arial"/>
                <w:sz w:val="28"/>
                <w:szCs w:val="28"/>
              </w:rPr>
              <w:t>The necessity to hire an investment bank is to ensure the terms of the securities underwriting are structured in the "best interests" of existing stakeholders.</w:t>
            </w:r>
          </w:p>
        </w:tc>
      </w:tr>
    </w:tbl>
    <w:p w14:paraId="67A3234E" w14:textId="77777777" w:rsidR="00E7660C" w:rsidRDefault="00E7660C" w:rsidP="00E7660C">
      <w:pPr>
        <w:rPr>
          <w:rFonts w:ascii="Arial" w:hAnsi="Arial" w:cs="Arial"/>
          <w:sz w:val="28"/>
          <w:szCs w:val="28"/>
        </w:rPr>
      </w:pPr>
    </w:p>
    <w:p w14:paraId="79F8D9E8" w14:textId="77777777" w:rsidR="008237C4" w:rsidRPr="008237C4" w:rsidRDefault="008237C4" w:rsidP="008237C4">
      <w:pPr>
        <w:rPr>
          <w:rFonts w:ascii="Arial" w:hAnsi="Arial" w:cs="Arial"/>
          <w:b/>
          <w:bCs/>
          <w:sz w:val="28"/>
          <w:szCs w:val="28"/>
        </w:rPr>
      </w:pPr>
      <w:r w:rsidRPr="008237C4">
        <w:rPr>
          <w:rFonts w:ascii="Arial" w:hAnsi="Arial" w:cs="Arial"/>
          <w:b/>
          <w:bCs/>
          <w:sz w:val="28"/>
          <w:szCs w:val="28"/>
        </w:rPr>
        <w:t xml:space="preserve">Investment Banking Market Leaders </w:t>
      </w:r>
    </w:p>
    <w:p w14:paraId="5ACCA2EC" w14:textId="77777777" w:rsidR="008237C4" w:rsidRPr="008237C4" w:rsidRDefault="008237C4" w:rsidP="008237C4">
      <w:pPr>
        <w:numPr>
          <w:ilvl w:val="0"/>
          <w:numId w:val="6"/>
        </w:numPr>
        <w:rPr>
          <w:rFonts w:ascii="Arial" w:hAnsi="Arial" w:cs="Arial"/>
          <w:sz w:val="28"/>
          <w:szCs w:val="28"/>
        </w:rPr>
      </w:pPr>
      <w:r w:rsidRPr="008237C4">
        <w:rPr>
          <w:rFonts w:ascii="Arial" w:hAnsi="Arial" w:cs="Arial"/>
          <w:sz w:val="28"/>
          <w:szCs w:val="28"/>
        </w:rPr>
        <w:t>J.P. Morgan Chase &amp; Co.</w:t>
      </w:r>
    </w:p>
    <w:p w14:paraId="77932B7F" w14:textId="77777777" w:rsidR="008237C4" w:rsidRPr="008237C4" w:rsidRDefault="008237C4" w:rsidP="008237C4">
      <w:pPr>
        <w:numPr>
          <w:ilvl w:val="0"/>
          <w:numId w:val="6"/>
        </w:numPr>
        <w:rPr>
          <w:rFonts w:ascii="Arial" w:hAnsi="Arial" w:cs="Arial"/>
          <w:sz w:val="28"/>
          <w:szCs w:val="28"/>
        </w:rPr>
      </w:pPr>
      <w:r w:rsidRPr="008237C4">
        <w:rPr>
          <w:rFonts w:ascii="Arial" w:hAnsi="Arial" w:cs="Arial"/>
          <w:sz w:val="28"/>
          <w:szCs w:val="28"/>
        </w:rPr>
        <w:t>Goldman Sachs Group Inc</w:t>
      </w:r>
    </w:p>
    <w:p w14:paraId="63F89953" w14:textId="77777777" w:rsidR="008237C4" w:rsidRPr="008237C4" w:rsidRDefault="008237C4" w:rsidP="008237C4">
      <w:pPr>
        <w:numPr>
          <w:ilvl w:val="0"/>
          <w:numId w:val="6"/>
        </w:numPr>
        <w:rPr>
          <w:rFonts w:ascii="Arial" w:hAnsi="Arial" w:cs="Arial"/>
          <w:sz w:val="28"/>
          <w:szCs w:val="28"/>
        </w:rPr>
      </w:pPr>
      <w:r w:rsidRPr="008237C4">
        <w:rPr>
          <w:rFonts w:ascii="Arial" w:hAnsi="Arial" w:cs="Arial"/>
          <w:sz w:val="28"/>
          <w:szCs w:val="28"/>
        </w:rPr>
        <w:t>Morgan Stanley</w:t>
      </w:r>
    </w:p>
    <w:p w14:paraId="531EFE76" w14:textId="77777777" w:rsidR="008237C4" w:rsidRPr="008237C4" w:rsidRDefault="008237C4" w:rsidP="008237C4">
      <w:pPr>
        <w:numPr>
          <w:ilvl w:val="0"/>
          <w:numId w:val="6"/>
        </w:numPr>
        <w:rPr>
          <w:rFonts w:ascii="Arial" w:hAnsi="Arial" w:cs="Arial"/>
          <w:sz w:val="28"/>
          <w:szCs w:val="28"/>
        </w:rPr>
      </w:pPr>
      <w:proofErr w:type="spellStart"/>
      <w:r w:rsidRPr="008237C4">
        <w:rPr>
          <w:rFonts w:ascii="Arial" w:hAnsi="Arial" w:cs="Arial"/>
          <w:sz w:val="28"/>
          <w:szCs w:val="28"/>
        </w:rPr>
        <w:t>BofA</w:t>
      </w:r>
      <w:proofErr w:type="spellEnd"/>
      <w:r w:rsidRPr="008237C4">
        <w:rPr>
          <w:rFonts w:ascii="Arial" w:hAnsi="Arial" w:cs="Arial"/>
          <w:sz w:val="28"/>
          <w:szCs w:val="28"/>
        </w:rPr>
        <w:t xml:space="preserve"> Securities Inc.</w:t>
      </w:r>
    </w:p>
    <w:p w14:paraId="466C5733" w14:textId="69BC2018" w:rsidR="008237C4" w:rsidRPr="008237C4" w:rsidRDefault="008237C4" w:rsidP="008237C4">
      <w:pPr>
        <w:numPr>
          <w:ilvl w:val="0"/>
          <w:numId w:val="6"/>
        </w:numPr>
        <w:rPr>
          <w:rFonts w:ascii="Arial" w:hAnsi="Arial" w:cs="Arial"/>
          <w:sz w:val="28"/>
          <w:szCs w:val="28"/>
        </w:rPr>
      </w:pPr>
      <w:r w:rsidRPr="008237C4">
        <w:rPr>
          <w:rFonts w:ascii="Arial" w:hAnsi="Arial" w:cs="Arial"/>
          <w:sz w:val="28"/>
          <w:szCs w:val="28"/>
        </w:rPr>
        <w:t>Citi Group Inc</w:t>
      </w:r>
    </w:p>
    <w:p w14:paraId="763F32EE" w14:textId="62DBF8EB" w:rsidR="00CF5E54" w:rsidRPr="00CF5E54" w:rsidRDefault="00CF5E54" w:rsidP="00CF5E54">
      <w:pPr>
        <w:numPr>
          <w:ilvl w:val="0"/>
          <w:numId w:val="3"/>
        </w:numPr>
        <w:rPr>
          <w:rFonts w:ascii="Arial" w:hAnsi="Arial" w:cs="Arial"/>
          <w:sz w:val="28"/>
          <w:szCs w:val="28"/>
        </w:rPr>
      </w:pPr>
      <w:r w:rsidRPr="00CF5E54">
        <w:rPr>
          <w:rFonts w:ascii="Arial" w:hAnsi="Arial" w:cs="Arial"/>
          <w:sz w:val="28"/>
          <w:szCs w:val="28"/>
        </w:rPr>
        <w:t xml:space="preserve">The </w:t>
      </w:r>
      <w:r>
        <w:rPr>
          <w:rFonts w:ascii="Arial" w:hAnsi="Arial" w:cs="Arial"/>
          <w:sz w:val="28"/>
          <w:szCs w:val="28"/>
        </w:rPr>
        <w:t>T</w:t>
      </w:r>
      <w:r w:rsidRPr="00CF5E54">
        <w:rPr>
          <w:rFonts w:ascii="Arial" w:hAnsi="Arial" w:cs="Arial"/>
          <w:sz w:val="28"/>
          <w:szCs w:val="28"/>
        </w:rPr>
        <w:t>op investment banks are divisions within large full-service banks referred to as “bulge brackets”, like JPMorgan, Morgan Stanley, Goldman Sachs, and Citigroup.</w:t>
      </w:r>
    </w:p>
    <w:p w14:paraId="0A240AF0" w14:textId="55C69C85" w:rsidR="00E7660C" w:rsidRPr="0082029E" w:rsidRDefault="00CF5E54" w:rsidP="00E7660C">
      <w:pPr>
        <w:numPr>
          <w:ilvl w:val="0"/>
          <w:numId w:val="3"/>
        </w:numPr>
        <w:rPr>
          <w:rFonts w:ascii="Arial" w:hAnsi="Arial" w:cs="Arial"/>
          <w:sz w:val="28"/>
          <w:szCs w:val="28"/>
        </w:rPr>
      </w:pPr>
      <w:r w:rsidRPr="00CF5E54">
        <w:rPr>
          <w:rFonts w:ascii="Arial" w:hAnsi="Arial" w:cs="Arial"/>
          <w:sz w:val="28"/>
          <w:szCs w:val="28"/>
        </w:rPr>
        <w:t>The “elite boutiques” are independent advisory firms that specialize in financial and strategic advisory services, with the most prestigious firms being Evercore, Moelis, Lazard, Centerview, PJT, and Qatalyst.</w:t>
      </w:r>
    </w:p>
    <w:p w14:paraId="3D4DA0F7" w14:textId="6E863BD6" w:rsidR="00E7660C" w:rsidRPr="00E7660C" w:rsidRDefault="00E7660C" w:rsidP="00E7660C">
      <w:pPr>
        <w:pStyle w:val="ListParagraph"/>
        <w:numPr>
          <w:ilvl w:val="0"/>
          <w:numId w:val="2"/>
        </w:numPr>
        <w:rPr>
          <w:rFonts w:ascii="Arial" w:hAnsi="Arial" w:cs="Arial"/>
          <w:sz w:val="28"/>
          <w:szCs w:val="28"/>
        </w:rPr>
      </w:pPr>
      <w:r w:rsidRPr="00E7660C">
        <w:rPr>
          <w:rFonts w:ascii="Arial" w:hAnsi="Arial" w:cs="Arial"/>
          <w:sz w:val="28"/>
          <w:szCs w:val="28"/>
          <w:u w:val="single"/>
        </w:rPr>
        <w:lastRenderedPageBreak/>
        <w:t>JPMorgan Chase</w:t>
      </w:r>
      <w:r w:rsidRPr="00E7660C">
        <w:rPr>
          <w:rFonts w:ascii="Arial" w:hAnsi="Arial" w:cs="Arial"/>
          <w:sz w:val="28"/>
          <w:szCs w:val="28"/>
        </w:rPr>
        <w:t xml:space="preserve"> was the largest investment bank in the world by revenue in 2023.</w:t>
      </w:r>
    </w:p>
    <w:p w14:paraId="31ED350F" w14:textId="77777777" w:rsidR="00E7660C" w:rsidRDefault="00E7660C" w:rsidP="00E7660C">
      <w:pPr>
        <w:rPr>
          <w:rFonts w:ascii="Arial" w:hAnsi="Arial" w:cs="Arial"/>
          <w:sz w:val="28"/>
          <w:szCs w:val="28"/>
        </w:rPr>
      </w:pPr>
    </w:p>
    <w:p w14:paraId="45493035" w14:textId="77777777" w:rsidR="0082029E" w:rsidRPr="0082029E" w:rsidRDefault="0082029E" w:rsidP="0082029E">
      <w:pPr>
        <w:rPr>
          <w:rFonts w:ascii="Arial" w:hAnsi="Arial" w:cs="Arial"/>
          <w:sz w:val="28"/>
          <w:szCs w:val="28"/>
        </w:rPr>
      </w:pPr>
      <w:r w:rsidRPr="0082029E">
        <w:rPr>
          <w:rFonts w:ascii="Arial" w:hAnsi="Arial" w:cs="Arial"/>
          <w:sz w:val="28"/>
          <w:szCs w:val="28"/>
        </w:rPr>
        <w:t xml:space="preserve">The U.S. investment banking industry includes about 3,000 companies with combined annual revenue of about </w:t>
      </w:r>
      <w:r w:rsidRPr="0082029E">
        <w:rPr>
          <w:rFonts w:ascii="Arial" w:hAnsi="Arial" w:cs="Arial"/>
          <w:b/>
          <w:bCs/>
          <w:sz w:val="28"/>
          <w:szCs w:val="28"/>
        </w:rPr>
        <w:t>$140 billion</w:t>
      </w:r>
      <w:r w:rsidRPr="0082029E">
        <w:rPr>
          <w:rFonts w:ascii="Arial" w:hAnsi="Arial" w:cs="Arial"/>
          <w:sz w:val="28"/>
          <w:szCs w:val="28"/>
        </w:rPr>
        <w:t>. The 50 largest firms generate more than 90 percent of the industry's revenue.</w:t>
      </w:r>
    </w:p>
    <w:p w14:paraId="23CB4D9A" w14:textId="77777777" w:rsidR="0082029E" w:rsidRPr="0082029E" w:rsidRDefault="0082029E" w:rsidP="0082029E">
      <w:pPr>
        <w:rPr>
          <w:rFonts w:ascii="Arial" w:hAnsi="Arial" w:cs="Arial"/>
          <w:sz w:val="28"/>
          <w:szCs w:val="28"/>
        </w:rPr>
      </w:pPr>
      <w:r w:rsidRPr="0082029E">
        <w:rPr>
          <w:rFonts w:ascii="Arial" w:hAnsi="Arial" w:cs="Arial"/>
          <w:sz w:val="28"/>
          <w:szCs w:val="28"/>
        </w:rPr>
        <w:t xml:space="preserve">Investment banking industry has not fully recovered from the aftermath of 2008 financial crisis. The post-crisis period has witnessed a flurry of constraints on the industry in the form of more stringent and intrusive regulations such as Pillar 3, meeting BCBS 239 in addition to IFRS 9 requirements and many other mandatory regulatory requirements which have been impacting the business </w:t>
      </w:r>
      <w:proofErr w:type="gramStart"/>
      <w:r w:rsidRPr="0082029E">
        <w:rPr>
          <w:rFonts w:ascii="Arial" w:hAnsi="Arial" w:cs="Arial"/>
          <w:sz w:val="28"/>
          <w:szCs w:val="28"/>
        </w:rPr>
        <w:t>behaviour as a whole</w:t>
      </w:r>
      <w:proofErr w:type="gramEnd"/>
      <w:r w:rsidRPr="0082029E">
        <w:rPr>
          <w:rFonts w:ascii="Arial" w:hAnsi="Arial" w:cs="Arial"/>
          <w:sz w:val="28"/>
          <w:szCs w:val="28"/>
        </w:rPr>
        <w:t>.</w:t>
      </w:r>
    </w:p>
    <w:p w14:paraId="14C2B382" w14:textId="417A1053" w:rsidR="00E7660C" w:rsidRDefault="0082029E" w:rsidP="00E7660C">
      <w:pPr>
        <w:rPr>
          <w:rFonts w:ascii="Arial" w:hAnsi="Arial" w:cs="Arial"/>
          <w:sz w:val="28"/>
          <w:szCs w:val="28"/>
        </w:rPr>
      </w:pPr>
      <w:r w:rsidRPr="0082029E">
        <w:rPr>
          <w:rFonts w:ascii="Arial" w:hAnsi="Arial" w:cs="Arial"/>
          <w:sz w:val="28"/>
          <w:szCs w:val="28"/>
        </w:rPr>
        <w:t>Fintech markets globally are evolving on a faster pace disrupting the end-to-end investment banking value chain. Blockchain is rapidly changing the face of cross-border lending activity.</w:t>
      </w:r>
    </w:p>
    <w:p w14:paraId="2CD60051" w14:textId="77777777" w:rsidR="00030859" w:rsidRDefault="00030859" w:rsidP="00E7660C">
      <w:pPr>
        <w:rPr>
          <w:rFonts w:ascii="Arial" w:hAnsi="Arial" w:cs="Arial"/>
          <w:sz w:val="28"/>
          <w:szCs w:val="28"/>
        </w:rPr>
      </w:pPr>
    </w:p>
    <w:p w14:paraId="5F1BFF12" w14:textId="240BAE28" w:rsidR="00E7660C" w:rsidRPr="00E7660C" w:rsidRDefault="00E7660C" w:rsidP="00E7660C">
      <w:pPr>
        <w:rPr>
          <w:rFonts w:ascii="Arial" w:hAnsi="Arial" w:cs="Arial"/>
          <w:b/>
          <w:bCs/>
          <w:sz w:val="36"/>
          <w:szCs w:val="36"/>
        </w:rPr>
      </w:pPr>
      <w:r w:rsidRPr="00E7660C">
        <w:rPr>
          <w:rFonts w:ascii="Arial" w:hAnsi="Arial" w:cs="Arial"/>
          <w:b/>
          <w:bCs/>
          <w:sz w:val="36"/>
          <w:szCs w:val="36"/>
        </w:rPr>
        <w:t>Mergers and acquisitions (M&amp;A)</w:t>
      </w:r>
    </w:p>
    <w:p w14:paraId="2BDC05CD" w14:textId="77777777" w:rsidR="009A31EA" w:rsidRPr="009A31EA" w:rsidRDefault="009A31EA" w:rsidP="009A31EA">
      <w:pPr>
        <w:rPr>
          <w:rFonts w:ascii="Arial" w:hAnsi="Arial" w:cs="Arial"/>
          <w:sz w:val="32"/>
          <w:szCs w:val="32"/>
        </w:rPr>
      </w:pPr>
      <w:r w:rsidRPr="009A31EA">
        <w:rPr>
          <w:rFonts w:ascii="Arial" w:hAnsi="Arial" w:cs="Arial"/>
          <w:sz w:val="32"/>
          <w:szCs w:val="32"/>
        </w:rPr>
        <w:t>The core function of an investment banker in M&amp;A is to provide financial and strategic advisory services to guide corporate clients through the complexities of M&amp;A deals.</w:t>
      </w:r>
    </w:p>
    <w:p w14:paraId="32D759A6" w14:textId="77777777" w:rsidR="009A31EA" w:rsidRPr="009A31EA" w:rsidRDefault="009A31EA" w:rsidP="009A31EA">
      <w:pPr>
        <w:numPr>
          <w:ilvl w:val="0"/>
          <w:numId w:val="7"/>
        </w:numPr>
        <w:rPr>
          <w:rFonts w:ascii="Arial" w:hAnsi="Arial" w:cs="Arial"/>
          <w:sz w:val="32"/>
          <w:szCs w:val="32"/>
        </w:rPr>
      </w:pPr>
      <w:r w:rsidRPr="009A31EA">
        <w:rPr>
          <w:rFonts w:ascii="Arial" w:hAnsi="Arial" w:cs="Arial"/>
          <w:b/>
          <w:bCs/>
          <w:sz w:val="32"/>
          <w:szCs w:val="32"/>
        </w:rPr>
        <w:t xml:space="preserve">Buy-Side M&amp;A </w:t>
      </w:r>
      <w:r w:rsidRPr="009A31EA">
        <w:rPr>
          <w:rFonts w:ascii="Segoe UI Symbol" w:hAnsi="Segoe UI Symbol" w:cs="Segoe UI Symbol"/>
          <w:b/>
          <w:bCs/>
          <w:sz w:val="32"/>
          <w:szCs w:val="32"/>
        </w:rPr>
        <w:t>➝</w:t>
      </w:r>
      <w:r w:rsidRPr="009A31EA">
        <w:rPr>
          <w:rFonts w:ascii="Arial" w:hAnsi="Arial" w:cs="Arial"/>
          <w:sz w:val="32"/>
          <w:szCs w:val="32"/>
        </w:rPr>
        <w:t> On a “buy-side mandate”, investment bankers serve as advisors to the acquirer (i.e. the buyer) and must determine if the client’s proposed transaction is reasonable. The priority is to ensure the offer price is justified to reduce the risk of overpaying for the underlying asset (e.g., an entire company or individual business segment).</w:t>
      </w:r>
    </w:p>
    <w:p w14:paraId="0A96F66C" w14:textId="77777777" w:rsidR="009A31EA" w:rsidRPr="009A31EA" w:rsidRDefault="009A31EA" w:rsidP="009A31EA">
      <w:pPr>
        <w:numPr>
          <w:ilvl w:val="0"/>
          <w:numId w:val="7"/>
        </w:numPr>
        <w:rPr>
          <w:rFonts w:ascii="Arial" w:hAnsi="Arial" w:cs="Arial"/>
          <w:sz w:val="32"/>
          <w:szCs w:val="32"/>
        </w:rPr>
      </w:pPr>
      <w:r w:rsidRPr="009A31EA">
        <w:rPr>
          <w:rFonts w:ascii="Arial" w:hAnsi="Arial" w:cs="Arial"/>
          <w:b/>
          <w:bCs/>
          <w:sz w:val="32"/>
          <w:szCs w:val="32"/>
        </w:rPr>
        <w:t xml:space="preserve">Sell-Side M&amp;A </w:t>
      </w:r>
      <w:r w:rsidRPr="009A31EA">
        <w:rPr>
          <w:rFonts w:ascii="Segoe UI Symbol" w:hAnsi="Segoe UI Symbol" w:cs="Segoe UI Symbol"/>
          <w:b/>
          <w:bCs/>
          <w:sz w:val="32"/>
          <w:szCs w:val="32"/>
        </w:rPr>
        <w:t>➝</w:t>
      </w:r>
      <w:r w:rsidRPr="009A31EA">
        <w:rPr>
          <w:rFonts w:ascii="Arial" w:hAnsi="Arial" w:cs="Arial"/>
          <w:sz w:val="32"/>
          <w:szCs w:val="32"/>
        </w:rPr>
        <w:t> In contrast, investment bankers on a “sell-side mandate” are hired by the seller to advise on the deal and ensure the offer price is fair, without “money left on the table”</w:t>
      </w:r>
    </w:p>
    <w:p w14:paraId="18EE0CD6" w14:textId="7287263C" w:rsidR="00561F04" w:rsidRDefault="009A31EA">
      <w:r>
        <w:rPr>
          <w:noProof/>
        </w:rPr>
        <w:lastRenderedPageBreak/>
        <w:drawing>
          <wp:inline distT="0" distB="0" distL="0" distR="0" wp14:anchorId="45D2BA2B" wp14:editId="24F1041A">
            <wp:extent cx="5619750" cy="2847975"/>
            <wp:effectExtent l="0" t="0" r="0" b="9525"/>
            <wp:docPr id="1187471863" name="Chart 1">
              <a:extLst xmlns:a="http://schemas.openxmlformats.org/drawingml/2006/main">
                <a:ext uri="{FF2B5EF4-FFF2-40B4-BE49-F238E27FC236}">
                  <a16:creationId xmlns:a16="http://schemas.microsoft.com/office/drawing/2014/main" id="{C1009AB4-B4CE-0F94-EEF2-84DFDAEEE1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A6C7D88" w14:textId="35E47462" w:rsidR="009A31EA" w:rsidRPr="009A31EA" w:rsidRDefault="009A31EA" w:rsidP="009A31EA">
      <w:pPr>
        <w:rPr>
          <w:rFonts w:ascii="Arial" w:hAnsi="Arial" w:cs="Arial"/>
          <w:sz w:val="28"/>
          <w:szCs w:val="28"/>
        </w:rPr>
      </w:pPr>
      <w:r>
        <w:rPr>
          <w:rFonts w:ascii="Arial" w:hAnsi="Arial" w:cs="Arial"/>
          <w:sz w:val="28"/>
          <w:szCs w:val="28"/>
        </w:rPr>
        <w:t>T</w:t>
      </w:r>
      <w:r w:rsidRPr="009A31EA">
        <w:rPr>
          <w:rFonts w:ascii="Arial" w:hAnsi="Arial" w:cs="Arial"/>
          <w:sz w:val="28"/>
          <w:szCs w:val="28"/>
        </w:rPr>
        <w:t>he volume of M&amp;A activity—the number of deals closed—tends to rise substantially amid periods of economic expansion, which reverses amid periods of economic contraction.</w:t>
      </w:r>
    </w:p>
    <w:p w14:paraId="2E312445" w14:textId="6DCA4129" w:rsidR="009A31EA" w:rsidRPr="009A31EA" w:rsidRDefault="009A31EA" w:rsidP="009A31EA">
      <w:pPr>
        <w:rPr>
          <w:rFonts w:ascii="Arial" w:hAnsi="Arial" w:cs="Arial"/>
          <w:sz w:val="28"/>
          <w:szCs w:val="28"/>
        </w:rPr>
      </w:pPr>
      <w:r w:rsidRPr="009A31EA">
        <w:rPr>
          <w:rFonts w:ascii="Arial" w:hAnsi="Arial" w:cs="Arial"/>
          <w:sz w:val="28"/>
          <w:szCs w:val="28"/>
        </w:rPr>
        <w:t>The performance of the industry is thereby sensitive to the macroeconomic environment and the current state of the capital markets.</w:t>
      </w:r>
    </w:p>
    <w:p w14:paraId="484D7356" w14:textId="0332AA33" w:rsidR="009A31EA" w:rsidRPr="009A31EA" w:rsidRDefault="009A31EA" w:rsidP="009A31EA">
      <w:pPr>
        <w:rPr>
          <w:rFonts w:ascii="Arial" w:hAnsi="Arial" w:cs="Arial"/>
          <w:sz w:val="28"/>
          <w:szCs w:val="28"/>
        </w:rPr>
      </w:pPr>
      <w:r w:rsidRPr="009A31EA">
        <w:rPr>
          <w:rFonts w:ascii="Arial" w:hAnsi="Arial" w:cs="Arial"/>
          <w:sz w:val="28"/>
          <w:szCs w:val="28"/>
        </w:rPr>
        <w:t>If the economy and credit markets are strong, the volume of M&amp;A transactions tends to increase, resulting in more revenue for investment banks via the collection of fees.</w:t>
      </w:r>
    </w:p>
    <w:p w14:paraId="439AFB68" w14:textId="4D3718FC" w:rsidR="00030859" w:rsidRDefault="009A31EA" w:rsidP="009A31EA">
      <w:pPr>
        <w:rPr>
          <w:rFonts w:ascii="Arial" w:hAnsi="Arial" w:cs="Arial"/>
          <w:sz w:val="28"/>
          <w:szCs w:val="28"/>
        </w:rPr>
      </w:pPr>
      <w:r w:rsidRPr="009A31EA">
        <w:rPr>
          <w:rFonts w:ascii="Arial" w:hAnsi="Arial" w:cs="Arial"/>
          <w:sz w:val="28"/>
          <w:szCs w:val="28"/>
        </w:rPr>
        <w:t>Conversely, if financial markets and economic conditions are poor, investment banks experience much lower activity (and thus lower deal fees).</w:t>
      </w:r>
    </w:p>
    <w:p w14:paraId="34F48692" w14:textId="77777777" w:rsidR="00030859" w:rsidRDefault="00030859" w:rsidP="009A31EA">
      <w:pPr>
        <w:rPr>
          <w:rFonts w:ascii="Arial" w:hAnsi="Arial" w:cs="Arial"/>
          <w:sz w:val="28"/>
          <w:szCs w:val="28"/>
        </w:rPr>
      </w:pPr>
    </w:p>
    <w:p w14:paraId="615D69F3" w14:textId="25380F06" w:rsidR="00030859" w:rsidRPr="00030859" w:rsidRDefault="00030859" w:rsidP="00030859">
      <w:pPr>
        <w:rPr>
          <w:rFonts w:ascii="Arial" w:hAnsi="Arial" w:cs="Arial"/>
          <w:b/>
          <w:bCs/>
          <w:sz w:val="28"/>
          <w:szCs w:val="28"/>
        </w:rPr>
      </w:pPr>
      <w:r>
        <w:rPr>
          <w:rFonts w:ascii="Arial" w:hAnsi="Arial" w:cs="Arial"/>
          <w:b/>
          <w:bCs/>
          <w:sz w:val="28"/>
          <w:szCs w:val="28"/>
        </w:rPr>
        <w:t>T</w:t>
      </w:r>
      <w:r w:rsidRPr="00030859">
        <w:rPr>
          <w:rFonts w:ascii="Arial" w:hAnsi="Arial" w:cs="Arial"/>
          <w:b/>
          <w:bCs/>
          <w:sz w:val="28"/>
          <w:szCs w:val="28"/>
        </w:rPr>
        <w:t>he Purpose of M&amp;A?</w:t>
      </w:r>
    </w:p>
    <w:p w14:paraId="57B680CB" w14:textId="77777777" w:rsidR="00030859" w:rsidRPr="00030859" w:rsidRDefault="00030859" w:rsidP="00030859">
      <w:pPr>
        <w:rPr>
          <w:rFonts w:ascii="Arial" w:hAnsi="Arial" w:cs="Arial"/>
          <w:sz w:val="28"/>
          <w:szCs w:val="28"/>
        </w:rPr>
      </w:pPr>
      <w:r w:rsidRPr="00030859">
        <w:rPr>
          <w:rFonts w:ascii="Arial" w:hAnsi="Arial" w:cs="Arial"/>
          <w:sz w:val="28"/>
          <w:szCs w:val="28"/>
        </w:rPr>
        <w:t>Corporations engage in M&amp;A for the sake of </w:t>
      </w:r>
      <w:hyperlink r:id="rId13" w:history="1">
        <w:r w:rsidRPr="00030859">
          <w:rPr>
            <w:rStyle w:val="Hyperlink"/>
            <w:rFonts w:ascii="Arial" w:hAnsi="Arial" w:cs="Arial"/>
            <w:color w:val="auto"/>
            <w:sz w:val="28"/>
            <w:szCs w:val="28"/>
            <w:u w:val="none"/>
          </w:rPr>
          <w:t>growth</w:t>
        </w:r>
      </w:hyperlink>
      <w:r w:rsidRPr="00030859">
        <w:rPr>
          <w:rFonts w:ascii="Arial" w:hAnsi="Arial" w:cs="Arial"/>
          <w:sz w:val="28"/>
          <w:szCs w:val="28"/>
        </w:rPr>
        <w:t>, and there are two methods to achieve that outcome:</w:t>
      </w:r>
    </w:p>
    <w:p w14:paraId="0F77CCB5" w14:textId="77777777" w:rsidR="00030859" w:rsidRPr="00030859" w:rsidRDefault="00030859" w:rsidP="00030859">
      <w:pPr>
        <w:numPr>
          <w:ilvl w:val="0"/>
          <w:numId w:val="8"/>
        </w:numPr>
        <w:rPr>
          <w:rFonts w:ascii="Arial" w:hAnsi="Arial" w:cs="Arial"/>
          <w:sz w:val="28"/>
          <w:szCs w:val="28"/>
        </w:rPr>
      </w:pPr>
      <w:r w:rsidRPr="00030859">
        <w:rPr>
          <w:rFonts w:ascii="Arial" w:hAnsi="Arial" w:cs="Arial"/>
          <w:b/>
          <w:bCs/>
          <w:sz w:val="28"/>
          <w:szCs w:val="28"/>
        </w:rPr>
        <w:t xml:space="preserve">Organic Growth </w:t>
      </w:r>
      <w:r w:rsidRPr="00030859">
        <w:rPr>
          <w:rFonts w:ascii="Segoe UI Symbol" w:hAnsi="Segoe UI Symbol" w:cs="Segoe UI Symbol"/>
          <w:b/>
          <w:bCs/>
          <w:sz w:val="28"/>
          <w:szCs w:val="28"/>
        </w:rPr>
        <w:t>➝</w:t>
      </w:r>
      <w:r w:rsidRPr="00030859">
        <w:rPr>
          <w:rFonts w:ascii="Arial" w:hAnsi="Arial" w:cs="Arial"/>
          <w:sz w:val="28"/>
          <w:szCs w:val="28"/>
        </w:rPr>
        <w:t> Companies can increase their revenue growth rate and profit margins through their internal initiatives, such as cost-cutting, to improve their operating efficiency.</w:t>
      </w:r>
    </w:p>
    <w:p w14:paraId="378FE108" w14:textId="0DBC28B7" w:rsidR="00030859" w:rsidRPr="00030859" w:rsidRDefault="00030859" w:rsidP="009A31EA">
      <w:pPr>
        <w:numPr>
          <w:ilvl w:val="0"/>
          <w:numId w:val="8"/>
        </w:numPr>
        <w:rPr>
          <w:rFonts w:ascii="Arial" w:hAnsi="Arial" w:cs="Arial"/>
          <w:sz w:val="28"/>
          <w:szCs w:val="28"/>
        </w:rPr>
      </w:pPr>
      <w:r w:rsidRPr="00030859">
        <w:rPr>
          <w:rFonts w:ascii="Arial" w:hAnsi="Arial" w:cs="Arial"/>
          <w:b/>
          <w:bCs/>
          <w:sz w:val="28"/>
          <w:szCs w:val="28"/>
        </w:rPr>
        <w:t xml:space="preserve">Inorganic Growth </w:t>
      </w:r>
      <w:r w:rsidRPr="00030859">
        <w:rPr>
          <w:rFonts w:ascii="Segoe UI Symbol" w:hAnsi="Segoe UI Symbol" w:cs="Segoe UI Symbol"/>
          <w:b/>
          <w:bCs/>
          <w:sz w:val="28"/>
          <w:szCs w:val="28"/>
        </w:rPr>
        <w:t>➝</w:t>
      </w:r>
      <w:r w:rsidRPr="00030859">
        <w:rPr>
          <w:rFonts w:ascii="Arial" w:hAnsi="Arial" w:cs="Arial"/>
          <w:sz w:val="28"/>
          <w:szCs w:val="28"/>
        </w:rPr>
        <w:t> Growth can also be achieved by acquiring other companies to increase their collective market share and access to new end markets (i.e., customers).</w:t>
      </w:r>
    </w:p>
    <w:p w14:paraId="71E58BF3" w14:textId="7783809F" w:rsidR="00030859" w:rsidRPr="00030859" w:rsidRDefault="00030859" w:rsidP="009A31EA">
      <w:pPr>
        <w:rPr>
          <w:rFonts w:ascii="Arial" w:hAnsi="Arial" w:cs="Arial"/>
          <w:b/>
          <w:bCs/>
          <w:sz w:val="28"/>
          <w:szCs w:val="28"/>
        </w:rPr>
      </w:pPr>
      <w:r w:rsidRPr="00030859">
        <w:rPr>
          <w:rFonts w:ascii="Arial" w:hAnsi="Arial" w:cs="Arial"/>
          <w:b/>
          <w:bCs/>
          <w:sz w:val="28"/>
          <w:szCs w:val="28"/>
        </w:rPr>
        <w:lastRenderedPageBreak/>
        <w:t>CASE STUDY</w:t>
      </w:r>
    </w:p>
    <w:p w14:paraId="52609061" w14:textId="006927B2" w:rsidR="00030859" w:rsidRPr="00030859" w:rsidRDefault="00030859" w:rsidP="00030859">
      <w:pPr>
        <w:rPr>
          <w:rFonts w:ascii="Arial" w:hAnsi="Arial" w:cs="Arial"/>
          <w:sz w:val="28"/>
          <w:szCs w:val="28"/>
        </w:rPr>
      </w:pPr>
      <w:r w:rsidRPr="00030859">
        <w:rPr>
          <w:rFonts w:ascii="Arial" w:hAnsi="Arial" w:cs="Arial"/>
          <w:sz w:val="28"/>
          <w:szCs w:val="28"/>
        </w:rPr>
        <w:t>eBay decided to sell its majority stake in Skype at a steep loss in 2009 to a group of private investors that included Silver Lake, the Canada Pension Plan (CPP), Index Ventures, and Andreessen Horowitz (a16z).</w:t>
      </w:r>
    </w:p>
    <w:p w14:paraId="7095ECBD" w14:textId="5D24933B" w:rsidR="00030859" w:rsidRPr="00030859" w:rsidRDefault="00030859" w:rsidP="00030859">
      <w:pPr>
        <w:rPr>
          <w:rFonts w:ascii="Arial" w:hAnsi="Arial" w:cs="Arial"/>
          <w:sz w:val="28"/>
          <w:szCs w:val="28"/>
        </w:rPr>
      </w:pPr>
      <w:r w:rsidRPr="00030859">
        <w:rPr>
          <w:rFonts w:ascii="Arial" w:hAnsi="Arial" w:cs="Arial"/>
          <w:sz w:val="28"/>
          <w:szCs w:val="28"/>
        </w:rPr>
        <w:t>eBay had acquired the fast-growing VoIP communications platform Skype in 2005 for $2.6 billion to integrate the innovative technology into its e-commerce auction site.</w:t>
      </w:r>
    </w:p>
    <w:p w14:paraId="44EFFECA" w14:textId="5F3127C8" w:rsidR="00030859" w:rsidRPr="00030859" w:rsidRDefault="00030859" w:rsidP="00030859">
      <w:pPr>
        <w:rPr>
          <w:rFonts w:ascii="Arial" w:hAnsi="Arial" w:cs="Arial"/>
          <w:sz w:val="28"/>
          <w:szCs w:val="28"/>
        </w:rPr>
      </w:pPr>
      <w:r w:rsidRPr="00030859">
        <w:rPr>
          <w:rFonts w:ascii="Arial" w:hAnsi="Arial" w:cs="Arial"/>
          <w:sz w:val="28"/>
          <w:szCs w:val="28"/>
        </w:rPr>
        <w:t>However, eBay soon after acknowledged that the integration of Skype was a failure because buyers and sellers on the site were uninterested in building relationships or even communicating on a personal level.</w:t>
      </w:r>
    </w:p>
    <w:p w14:paraId="3231232A" w14:textId="7BD01AB7" w:rsidR="00030859" w:rsidRPr="00030859" w:rsidRDefault="00030859" w:rsidP="00030859">
      <w:pPr>
        <w:rPr>
          <w:rFonts w:ascii="Arial" w:hAnsi="Arial" w:cs="Arial"/>
          <w:sz w:val="28"/>
          <w:szCs w:val="28"/>
        </w:rPr>
      </w:pPr>
      <w:r w:rsidRPr="00030859">
        <w:rPr>
          <w:rFonts w:ascii="Arial" w:hAnsi="Arial" w:cs="Arial"/>
          <w:sz w:val="28"/>
          <w:szCs w:val="28"/>
        </w:rPr>
        <w:t>The privacy aspect and post-acquisition cultural issues contributed to eBay’s decision to “cut their losses” by divesting Skype for $1.9 billion in cash while retaining approximately 30% of their initial investment.</w:t>
      </w:r>
    </w:p>
    <w:p w14:paraId="12117DBC" w14:textId="799DD05E" w:rsidR="00030859" w:rsidRPr="00030859" w:rsidRDefault="00030859" w:rsidP="00030859">
      <w:pPr>
        <w:rPr>
          <w:rFonts w:ascii="Arial" w:hAnsi="Arial" w:cs="Arial"/>
          <w:sz w:val="28"/>
          <w:szCs w:val="28"/>
        </w:rPr>
      </w:pPr>
      <w:r w:rsidRPr="00030859">
        <w:rPr>
          <w:rFonts w:ascii="Arial" w:hAnsi="Arial" w:cs="Arial"/>
          <w:sz w:val="28"/>
          <w:szCs w:val="28"/>
        </w:rPr>
        <w:t>The divestiture valued Skype at $2.75 billion, exceeding the original purchase price paid by eBay in 2005.</w:t>
      </w:r>
    </w:p>
    <w:p w14:paraId="68522C61" w14:textId="364FA9F3" w:rsidR="00030859" w:rsidRPr="00030859" w:rsidRDefault="00030859" w:rsidP="00030859">
      <w:pPr>
        <w:rPr>
          <w:rFonts w:ascii="Arial" w:hAnsi="Arial" w:cs="Arial"/>
          <w:sz w:val="28"/>
          <w:szCs w:val="28"/>
        </w:rPr>
      </w:pPr>
      <w:r w:rsidRPr="00030859">
        <w:rPr>
          <w:rFonts w:ascii="Arial" w:hAnsi="Arial" w:cs="Arial"/>
          <w:sz w:val="28"/>
          <w:szCs w:val="28"/>
        </w:rPr>
        <w:t>eBay hired Merrill Lynch as the investment bank advising on the acquisition of Skype back in 2005 and then later hired Goldman Sachs to advise on the divestiture in 2009.</w:t>
      </w:r>
    </w:p>
    <w:p w14:paraId="71B16F01" w14:textId="2937963C" w:rsidR="00030859" w:rsidRPr="00030859" w:rsidRDefault="00030859" w:rsidP="00030859">
      <w:pPr>
        <w:rPr>
          <w:rFonts w:ascii="Arial" w:hAnsi="Arial" w:cs="Arial"/>
          <w:sz w:val="28"/>
          <w:szCs w:val="28"/>
        </w:rPr>
      </w:pPr>
      <w:r w:rsidRPr="00030859">
        <w:rPr>
          <w:rFonts w:ascii="Arial" w:hAnsi="Arial" w:cs="Arial"/>
          <w:sz w:val="28"/>
          <w:szCs w:val="28"/>
        </w:rPr>
        <w:t>The partial divestiture, where eBay retained a 30% stake to participate in the potential upside of Skype, proved to be a profitable decision after Microsoft’s buyout of Skype in 2011 for $8.5 billion.</w:t>
      </w:r>
    </w:p>
    <w:p w14:paraId="684F4BF8" w14:textId="3EFC6F4D" w:rsidR="00030859" w:rsidRDefault="00030859" w:rsidP="00030859">
      <w:pPr>
        <w:rPr>
          <w:rFonts w:ascii="Arial" w:hAnsi="Arial" w:cs="Arial"/>
          <w:sz w:val="28"/>
          <w:szCs w:val="28"/>
        </w:rPr>
      </w:pPr>
      <w:r w:rsidRPr="00030859">
        <w:rPr>
          <w:rFonts w:ascii="Arial" w:hAnsi="Arial" w:cs="Arial"/>
          <w:sz w:val="28"/>
          <w:szCs w:val="28"/>
        </w:rPr>
        <w:t>The outcome: eBay obtained a net gain of $1.4 billion from the transaction, reflecting the inherent unpredictability of M&amp;A in investment banking.</w:t>
      </w:r>
    </w:p>
    <w:p w14:paraId="7A2056F6" w14:textId="37CAE100" w:rsidR="00030859" w:rsidRPr="009A31EA" w:rsidRDefault="00030859" w:rsidP="00030859">
      <w:pPr>
        <w:rPr>
          <w:rFonts w:ascii="Arial" w:hAnsi="Arial" w:cs="Arial"/>
          <w:sz w:val="28"/>
          <w:szCs w:val="28"/>
        </w:rPr>
      </w:pPr>
      <w:r w:rsidRPr="00030859">
        <w:rPr>
          <w:rFonts w:ascii="Arial" w:hAnsi="Arial" w:cs="Arial"/>
          <w:sz w:val="28"/>
          <w:szCs w:val="28"/>
        </w:rPr>
        <w:drawing>
          <wp:inline distT="0" distB="0" distL="0" distR="0" wp14:anchorId="7D26999C" wp14:editId="40DDDE3A">
            <wp:extent cx="6021534" cy="2162175"/>
            <wp:effectExtent l="0" t="0" r="0" b="0"/>
            <wp:docPr id="1862180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80426" name="Picture 1" descr="A screenshot of a computer&#10;&#10;Description automatically generated"/>
                    <pic:cNvPicPr/>
                  </pic:nvPicPr>
                  <pic:blipFill>
                    <a:blip r:embed="rId14"/>
                    <a:stretch>
                      <a:fillRect/>
                    </a:stretch>
                  </pic:blipFill>
                  <pic:spPr>
                    <a:xfrm>
                      <a:off x="0" y="0"/>
                      <a:ext cx="6027985" cy="2164492"/>
                    </a:xfrm>
                    <a:prstGeom prst="rect">
                      <a:avLst/>
                    </a:prstGeom>
                  </pic:spPr>
                </pic:pic>
              </a:graphicData>
            </a:graphic>
          </wp:inline>
        </w:drawing>
      </w:r>
    </w:p>
    <w:sectPr w:rsidR="00030859" w:rsidRPr="009A31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D3C9DB" w14:textId="77777777" w:rsidR="00865221" w:rsidRDefault="00865221" w:rsidP="009A31EA">
      <w:pPr>
        <w:spacing w:after="0" w:line="240" w:lineRule="auto"/>
      </w:pPr>
      <w:r>
        <w:separator/>
      </w:r>
    </w:p>
  </w:endnote>
  <w:endnote w:type="continuationSeparator" w:id="0">
    <w:p w14:paraId="66B1747B" w14:textId="77777777" w:rsidR="00865221" w:rsidRDefault="00865221" w:rsidP="009A3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8A891D" w14:textId="77777777" w:rsidR="00865221" w:rsidRDefault="00865221" w:rsidP="009A31EA">
      <w:pPr>
        <w:spacing w:after="0" w:line="240" w:lineRule="auto"/>
      </w:pPr>
      <w:r>
        <w:separator/>
      </w:r>
    </w:p>
  </w:footnote>
  <w:footnote w:type="continuationSeparator" w:id="0">
    <w:p w14:paraId="061F5B35" w14:textId="77777777" w:rsidR="00865221" w:rsidRDefault="00865221" w:rsidP="009A31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A4F5B"/>
    <w:multiLevelType w:val="multilevel"/>
    <w:tmpl w:val="559C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052B8D"/>
    <w:multiLevelType w:val="hybridMultilevel"/>
    <w:tmpl w:val="F8183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1534B6"/>
    <w:multiLevelType w:val="hybridMultilevel"/>
    <w:tmpl w:val="C5583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AE4F81"/>
    <w:multiLevelType w:val="multilevel"/>
    <w:tmpl w:val="90C4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782B2C"/>
    <w:multiLevelType w:val="multilevel"/>
    <w:tmpl w:val="C23A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222C00"/>
    <w:multiLevelType w:val="multilevel"/>
    <w:tmpl w:val="7902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3928E5"/>
    <w:multiLevelType w:val="multilevel"/>
    <w:tmpl w:val="422E3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DF7E2B"/>
    <w:multiLevelType w:val="hybridMultilevel"/>
    <w:tmpl w:val="14229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4752110">
    <w:abstractNumId w:val="3"/>
  </w:num>
  <w:num w:numId="2" w16cid:durableId="677737570">
    <w:abstractNumId w:val="2"/>
  </w:num>
  <w:num w:numId="3" w16cid:durableId="1238050776">
    <w:abstractNumId w:val="0"/>
  </w:num>
  <w:num w:numId="4" w16cid:durableId="1460420091">
    <w:abstractNumId w:val="1"/>
  </w:num>
  <w:num w:numId="5" w16cid:durableId="27264403">
    <w:abstractNumId w:val="7"/>
  </w:num>
  <w:num w:numId="6" w16cid:durableId="1518350215">
    <w:abstractNumId w:val="6"/>
  </w:num>
  <w:num w:numId="7" w16cid:durableId="987132421">
    <w:abstractNumId w:val="5"/>
  </w:num>
  <w:num w:numId="8" w16cid:durableId="2206765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60C"/>
    <w:rsid w:val="00030859"/>
    <w:rsid w:val="00561F04"/>
    <w:rsid w:val="007E3B41"/>
    <w:rsid w:val="0082029E"/>
    <w:rsid w:val="008237C4"/>
    <w:rsid w:val="00865221"/>
    <w:rsid w:val="009A31EA"/>
    <w:rsid w:val="00BE0BD2"/>
    <w:rsid w:val="00CF5E54"/>
    <w:rsid w:val="00DA0AA4"/>
    <w:rsid w:val="00E766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3CD91"/>
  <w15:chartTrackingRefBased/>
  <w15:docId w15:val="{64137AFF-AEA4-4624-9910-68294D06F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6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66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66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66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66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66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6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6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6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6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66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66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66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66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66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6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6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60C"/>
    <w:rPr>
      <w:rFonts w:eastAsiaTheme="majorEastAsia" w:cstheme="majorBidi"/>
      <w:color w:val="272727" w:themeColor="text1" w:themeTint="D8"/>
    </w:rPr>
  </w:style>
  <w:style w:type="paragraph" w:styleId="Title">
    <w:name w:val="Title"/>
    <w:basedOn w:val="Normal"/>
    <w:next w:val="Normal"/>
    <w:link w:val="TitleChar"/>
    <w:uiPriority w:val="10"/>
    <w:qFormat/>
    <w:rsid w:val="00E766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6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6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6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60C"/>
    <w:pPr>
      <w:spacing w:before="160"/>
      <w:jc w:val="center"/>
    </w:pPr>
    <w:rPr>
      <w:i/>
      <w:iCs/>
      <w:color w:val="404040" w:themeColor="text1" w:themeTint="BF"/>
    </w:rPr>
  </w:style>
  <w:style w:type="character" w:customStyle="1" w:styleId="QuoteChar">
    <w:name w:val="Quote Char"/>
    <w:basedOn w:val="DefaultParagraphFont"/>
    <w:link w:val="Quote"/>
    <w:uiPriority w:val="29"/>
    <w:rsid w:val="00E7660C"/>
    <w:rPr>
      <w:i/>
      <w:iCs/>
      <w:color w:val="404040" w:themeColor="text1" w:themeTint="BF"/>
    </w:rPr>
  </w:style>
  <w:style w:type="paragraph" w:styleId="ListParagraph">
    <w:name w:val="List Paragraph"/>
    <w:basedOn w:val="Normal"/>
    <w:uiPriority w:val="34"/>
    <w:qFormat/>
    <w:rsid w:val="00E7660C"/>
    <w:pPr>
      <w:ind w:left="720"/>
      <w:contextualSpacing/>
    </w:pPr>
  </w:style>
  <w:style w:type="character" w:styleId="IntenseEmphasis">
    <w:name w:val="Intense Emphasis"/>
    <w:basedOn w:val="DefaultParagraphFont"/>
    <w:uiPriority w:val="21"/>
    <w:qFormat/>
    <w:rsid w:val="00E7660C"/>
    <w:rPr>
      <w:i/>
      <w:iCs/>
      <w:color w:val="0F4761" w:themeColor="accent1" w:themeShade="BF"/>
    </w:rPr>
  </w:style>
  <w:style w:type="paragraph" w:styleId="IntenseQuote">
    <w:name w:val="Intense Quote"/>
    <w:basedOn w:val="Normal"/>
    <w:next w:val="Normal"/>
    <w:link w:val="IntenseQuoteChar"/>
    <w:uiPriority w:val="30"/>
    <w:qFormat/>
    <w:rsid w:val="00E766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660C"/>
    <w:rPr>
      <w:i/>
      <w:iCs/>
      <w:color w:val="0F4761" w:themeColor="accent1" w:themeShade="BF"/>
    </w:rPr>
  </w:style>
  <w:style w:type="character" w:styleId="IntenseReference">
    <w:name w:val="Intense Reference"/>
    <w:basedOn w:val="DefaultParagraphFont"/>
    <w:uiPriority w:val="32"/>
    <w:qFormat/>
    <w:rsid w:val="00E7660C"/>
    <w:rPr>
      <w:b/>
      <w:bCs/>
      <w:smallCaps/>
      <w:color w:val="0F4761" w:themeColor="accent1" w:themeShade="BF"/>
      <w:spacing w:val="5"/>
    </w:rPr>
  </w:style>
  <w:style w:type="table" w:styleId="GridTable1Light">
    <w:name w:val="Grid Table 1 Light"/>
    <w:basedOn w:val="TableNormal"/>
    <w:uiPriority w:val="46"/>
    <w:rsid w:val="0082029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9A31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1EA"/>
  </w:style>
  <w:style w:type="paragraph" w:styleId="Footer">
    <w:name w:val="footer"/>
    <w:basedOn w:val="Normal"/>
    <w:link w:val="FooterChar"/>
    <w:uiPriority w:val="99"/>
    <w:unhideWhenUsed/>
    <w:rsid w:val="009A31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1EA"/>
  </w:style>
  <w:style w:type="character" w:styleId="Hyperlink">
    <w:name w:val="Hyperlink"/>
    <w:basedOn w:val="DefaultParagraphFont"/>
    <w:uiPriority w:val="99"/>
    <w:unhideWhenUsed/>
    <w:rsid w:val="00030859"/>
    <w:rPr>
      <w:color w:val="467886" w:themeColor="hyperlink"/>
      <w:u w:val="single"/>
    </w:rPr>
  </w:style>
  <w:style w:type="character" w:styleId="UnresolvedMention">
    <w:name w:val="Unresolved Mention"/>
    <w:basedOn w:val="DefaultParagraphFont"/>
    <w:uiPriority w:val="99"/>
    <w:semiHidden/>
    <w:unhideWhenUsed/>
    <w:rsid w:val="000308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7196">
      <w:bodyDiv w:val="1"/>
      <w:marLeft w:val="0"/>
      <w:marRight w:val="0"/>
      <w:marTop w:val="0"/>
      <w:marBottom w:val="0"/>
      <w:divBdr>
        <w:top w:val="none" w:sz="0" w:space="0" w:color="auto"/>
        <w:left w:val="none" w:sz="0" w:space="0" w:color="auto"/>
        <w:bottom w:val="none" w:sz="0" w:space="0" w:color="auto"/>
        <w:right w:val="none" w:sz="0" w:space="0" w:color="auto"/>
      </w:divBdr>
    </w:div>
    <w:div w:id="88236922">
      <w:bodyDiv w:val="1"/>
      <w:marLeft w:val="0"/>
      <w:marRight w:val="0"/>
      <w:marTop w:val="0"/>
      <w:marBottom w:val="0"/>
      <w:divBdr>
        <w:top w:val="none" w:sz="0" w:space="0" w:color="auto"/>
        <w:left w:val="none" w:sz="0" w:space="0" w:color="auto"/>
        <w:bottom w:val="none" w:sz="0" w:space="0" w:color="auto"/>
        <w:right w:val="none" w:sz="0" w:space="0" w:color="auto"/>
      </w:divBdr>
    </w:div>
    <w:div w:id="170031544">
      <w:bodyDiv w:val="1"/>
      <w:marLeft w:val="0"/>
      <w:marRight w:val="0"/>
      <w:marTop w:val="0"/>
      <w:marBottom w:val="0"/>
      <w:divBdr>
        <w:top w:val="none" w:sz="0" w:space="0" w:color="auto"/>
        <w:left w:val="none" w:sz="0" w:space="0" w:color="auto"/>
        <w:bottom w:val="none" w:sz="0" w:space="0" w:color="auto"/>
        <w:right w:val="none" w:sz="0" w:space="0" w:color="auto"/>
      </w:divBdr>
    </w:div>
    <w:div w:id="176389122">
      <w:bodyDiv w:val="1"/>
      <w:marLeft w:val="0"/>
      <w:marRight w:val="0"/>
      <w:marTop w:val="0"/>
      <w:marBottom w:val="0"/>
      <w:divBdr>
        <w:top w:val="none" w:sz="0" w:space="0" w:color="auto"/>
        <w:left w:val="none" w:sz="0" w:space="0" w:color="auto"/>
        <w:bottom w:val="none" w:sz="0" w:space="0" w:color="auto"/>
        <w:right w:val="none" w:sz="0" w:space="0" w:color="auto"/>
      </w:divBdr>
    </w:div>
    <w:div w:id="318387129">
      <w:bodyDiv w:val="1"/>
      <w:marLeft w:val="0"/>
      <w:marRight w:val="0"/>
      <w:marTop w:val="0"/>
      <w:marBottom w:val="0"/>
      <w:divBdr>
        <w:top w:val="none" w:sz="0" w:space="0" w:color="auto"/>
        <w:left w:val="none" w:sz="0" w:space="0" w:color="auto"/>
        <w:bottom w:val="none" w:sz="0" w:space="0" w:color="auto"/>
        <w:right w:val="none" w:sz="0" w:space="0" w:color="auto"/>
      </w:divBdr>
    </w:div>
    <w:div w:id="336201178">
      <w:bodyDiv w:val="1"/>
      <w:marLeft w:val="0"/>
      <w:marRight w:val="0"/>
      <w:marTop w:val="0"/>
      <w:marBottom w:val="0"/>
      <w:divBdr>
        <w:top w:val="none" w:sz="0" w:space="0" w:color="auto"/>
        <w:left w:val="none" w:sz="0" w:space="0" w:color="auto"/>
        <w:bottom w:val="none" w:sz="0" w:space="0" w:color="auto"/>
        <w:right w:val="none" w:sz="0" w:space="0" w:color="auto"/>
      </w:divBdr>
    </w:div>
    <w:div w:id="600995269">
      <w:bodyDiv w:val="1"/>
      <w:marLeft w:val="0"/>
      <w:marRight w:val="0"/>
      <w:marTop w:val="0"/>
      <w:marBottom w:val="0"/>
      <w:divBdr>
        <w:top w:val="none" w:sz="0" w:space="0" w:color="auto"/>
        <w:left w:val="none" w:sz="0" w:space="0" w:color="auto"/>
        <w:bottom w:val="none" w:sz="0" w:space="0" w:color="auto"/>
        <w:right w:val="none" w:sz="0" w:space="0" w:color="auto"/>
      </w:divBdr>
    </w:div>
    <w:div w:id="721290816">
      <w:bodyDiv w:val="1"/>
      <w:marLeft w:val="0"/>
      <w:marRight w:val="0"/>
      <w:marTop w:val="0"/>
      <w:marBottom w:val="0"/>
      <w:divBdr>
        <w:top w:val="none" w:sz="0" w:space="0" w:color="auto"/>
        <w:left w:val="none" w:sz="0" w:space="0" w:color="auto"/>
        <w:bottom w:val="none" w:sz="0" w:space="0" w:color="auto"/>
        <w:right w:val="none" w:sz="0" w:space="0" w:color="auto"/>
      </w:divBdr>
    </w:div>
    <w:div w:id="735468831">
      <w:bodyDiv w:val="1"/>
      <w:marLeft w:val="0"/>
      <w:marRight w:val="0"/>
      <w:marTop w:val="0"/>
      <w:marBottom w:val="0"/>
      <w:divBdr>
        <w:top w:val="none" w:sz="0" w:space="0" w:color="auto"/>
        <w:left w:val="none" w:sz="0" w:space="0" w:color="auto"/>
        <w:bottom w:val="none" w:sz="0" w:space="0" w:color="auto"/>
        <w:right w:val="none" w:sz="0" w:space="0" w:color="auto"/>
      </w:divBdr>
    </w:div>
    <w:div w:id="742261366">
      <w:bodyDiv w:val="1"/>
      <w:marLeft w:val="0"/>
      <w:marRight w:val="0"/>
      <w:marTop w:val="0"/>
      <w:marBottom w:val="0"/>
      <w:divBdr>
        <w:top w:val="none" w:sz="0" w:space="0" w:color="auto"/>
        <w:left w:val="none" w:sz="0" w:space="0" w:color="auto"/>
        <w:bottom w:val="none" w:sz="0" w:space="0" w:color="auto"/>
        <w:right w:val="none" w:sz="0" w:space="0" w:color="auto"/>
      </w:divBdr>
    </w:div>
    <w:div w:id="755711356">
      <w:bodyDiv w:val="1"/>
      <w:marLeft w:val="0"/>
      <w:marRight w:val="0"/>
      <w:marTop w:val="0"/>
      <w:marBottom w:val="0"/>
      <w:divBdr>
        <w:top w:val="none" w:sz="0" w:space="0" w:color="auto"/>
        <w:left w:val="none" w:sz="0" w:space="0" w:color="auto"/>
        <w:bottom w:val="none" w:sz="0" w:space="0" w:color="auto"/>
        <w:right w:val="none" w:sz="0" w:space="0" w:color="auto"/>
      </w:divBdr>
    </w:div>
    <w:div w:id="927301256">
      <w:bodyDiv w:val="1"/>
      <w:marLeft w:val="0"/>
      <w:marRight w:val="0"/>
      <w:marTop w:val="0"/>
      <w:marBottom w:val="0"/>
      <w:divBdr>
        <w:top w:val="none" w:sz="0" w:space="0" w:color="auto"/>
        <w:left w:val="none" w:sz="0" w:space="0" w:color="auto"/>
        <w:bottom w:val="none" w:sz="0" w:space="0" w:color="auto"/>
        <w:right w:val="none" w:sz="0" w:space="0" w:color="auto"/>
      </w:divBdr>
    </w:div>
    <w:div w:id="998770384">
      <w:bodyDiv w:val="1"/>
      <w:marLeft w:val="0"/>
      <w:marRight w:val="0"/>
      <w:marTop w:val="0"/>
      <w:marBottom w:val="0"/>
      <w:divBdr>
        <w:top w:val="none" w:sz="0" w:space="0" w:color="auto"/>
        <w:left w:val="none" w:sz="0" w:space="0" w:color="auto"/>
        <w:bottom w:val="none" w:sz="0" w:space="0" w:color="auto"/>
        <w:right w:val="none" w:sz="0" w:space="0" w:color="auto"/>
      </w:divBdr>
    </w:div>
    <w:div w:id="1161698686">
      <w:bodyDiv w:val="1"/>
      <w:marLeft w:val="0"/>
      <w:marRight w:val="0"/>
      <w:marTop w:val="0"/>
      <w:marBottom w:val="0"/>
      <w:divBdr>
        <w:top w:val="none" w:sz="0" w:space="0" w:color="auto"/>
        <w:left w:val="none" w:sz="0" w:space="0" w:color="auto"/>
        <w:bottom w:val="none" w:sz="0" w:space="0" w:color="auto"/>
        <w:right w:val="none" w:sz="0" w:space="0" w:color="auto"/>
      </w:divBdr>
    </w:div>
    <w:div w:id="1324357552">
      <w:bodyDiv w:val="1"/>
      <w:marLeft w:val="0"/>
      <w:marRight w:val="0"/>
      <w:marTop w:val="0"/>
      <w:marBottom w:val="0"/>
      <w:divBdr>
        <w:top w:val="none" w:sz="0" w:space="0" w:color="auto"/>
        <w:left w:val="none" w:sz="0" w:space="0" w:color="auto"/>
        <w:bottom w:val="none" w:sz="0" w:space="0" w:color="auto"/>
        <w:right w:val="none" w:sz="0" w:space="0" w:color="auto"/>
      </w:divBdr>
    </w:div>
    <w:div w:id="1352293151">
      <w:bodyDiv w:val="1"/>
      <w:marLeft w:val="0"/>
      <w:marRight w:val="0"/>
      <w:marTop w:val="0"/>
      <w:marBottom w:val="0"/>
      <w:divBdr>
        <w:top w:val="none" w:sz="0" w:space="0" w:color="auto"/>
        <w:left w:val="none" w:sz="0" w:space="0" w:color="auto"/>
        <w:bottom w:val="none" w:sz="0" w:space="0" w:color="auto"/>
        <w:right w:val="none" w:sz="0" w:space="0" w:color="auto"/>
      </w:divBdr>
    </w:div>
    <w:div w:id="1885218643">
      <w:bodyDiv w:val="1"/>
      <w:marLeft w:val="0"/>
      <w:marRight w:val="0"/>
      <w:marTop w:val="0"/>
      <w:marBottom w:val="0"/>
      <w:divBdr>
        <w:top w:val="none" w:sz="0" w:space="0" w:color="auto"/>
        <w:left w:val="none" w:sz="0" w:space="0" w:color="auto"/>
        <w:bottom w:val="none" w:sz="0" w:space="0" w:color="auto"/>
        <w:right w:val="none" w:sz="0" w:space="0" w:color="auto"/>
      </w:divBdr>
    </w:div>
    <w:div w:id="192198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www.wallstreetprep.com/knowledge/growth-rate/" TargetMode="Externa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M&amp;A Deal Market Value (in trillions of US dollars)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Total M&amp;A</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Sheet1!$A$2:$A$25</c:f>
              <c:numCache>
                <c:formatCode>General</c:formatCode>
                <c:ptCount val="24"/>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numCache>
            </c:numRef>
          </c:cat>
          <c:val>
            <c:numRef>
              <c:f>Sheet1!$B$2:$B$25</c:f>
              <c:numCache>
                <c:formatCode>General</c:formatCode>
                <c:ptCount val="24"/>
                <c:pt idx="0">
                  <c:v>3.3</c:v>
                </c:pt>
                <c:pt idx="1">
                  <c:v>1.7</c:v>
                </c:pt>
                <c:pt idx="2">
                  <c:v>1.3</c:v>
                </c:pt>
                <c:pt idx="3">
                  <c:v>1.5</c:v>
                </c:pt>
                <c:pt idx="4">
                  <c:v>2.1</c:v>
                </c:pt>
                <c:pt idx="5">
                  <c:v>3</c:v>
                </c:pt>
                <c:pt idx="6">
                  <c:v>3.9</c:v>
                </c:pt>
                <c:pt idx="7">
                  <c:v>4.5999999999999996</c:v>
                </c:pt>
                <c:pt idx="8">
                  <c:v>3.2</c:v>
                </c:pt>
                <c:pt idx="9">
                  <c:v>2.2999999999999998</c:v>
                </c:pt>
                <c:pt idx="10">
                  <c:v>2.7</c:v>
                </c:pt>
                <c:pt idx="11">
                  <c:v>2.8</c:v>
                </c:pt>
                <c:pt idx="12">
                  <c:v>2.7</c:v>
                </c:pt>
                <c:pt idx="13">
                  <c:v>2.8</c:v>
                </c:pt>
                <c:pt idx="14">
                  <c:v>3.6</c:v>
                </c:pt>
                <c:pt idx="15">
                  <c:v>4.5999999999999996</c:v>
                </c:pt>
                <c:pt idx="16">
                  <c:v>3.8</c:v>
                </c:pt>
                <c:pt idx="17">
                  <c:v>3.6</c:v>
                </c:pt>
                <c:pt idx="18">
                  <c:v>4.2</c:v>
                </c:pt>
                <c:pt idx="19">
                  <c:v>4</c:v>
                </c:pt>
                <c:pt idx="20">
                  <c:v>3.6</c:v>
                </c:pt>
                <c:pt idx="21">
                  <c:v>6</c:v>
                </c:pt>
                <c:pt idx="22">
                  <c:v>3.7</c:v>
                </c:pt>
                <c:pt idx="23">
                  <c:v>3.2</c:v>
                </c:pt>
              </c:numCache>
            </c:numRef>
          </c:val>
          <c:extLst>
            <c:ext xmlns:c16="http://schemas.microsoft.com/office/drawing/2014/chart" uri="{C3380CC4-5D6E-409C-BE32-E72D297353CC}">
              <c16:uniqueId val="{00000000-FA7E-4D36-8FE4-F4742E97DE82}"/>
            </c:ext>
          </c:extLst>
        </c:ser>
        <c:dLbls>
          <c:dLblPos val="outEnd"/>
          <c:showLegendKey val="0"/>
          <c:showVal val="1"/>
          <c:showCatName val="0"/>
          <c:showSerName val="0"/>
          <c:showPercent val="0"/>
          <c:showBubbleSize val="0"/>
        </c:dLbls>
        <c:gapWidth val="444"/>
        <c:overlap val="-90"/>
        <c:axId val="1167069328"/>
        <c:axId val="1167065968"/>
      </c:barChart>
      <c:dateAx>
        <c:axId val="11670693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167065968"/>
        <c:crosses val="autoZero"/>
        <c:auto val="0"/>
        <c:lblOffset val="100"/>
        <c:baseTimeUnit val="days"/>
      </c:dateAx>
      <c:valAx>
        <c:axId val="1167065968"/>
        <c:scaling>
          <c:orientation val="minMax"/>
        </c:scaling>
        <c:delete val="1"/>
        <c:axPos val="l"/>
        <c:numFmt formatCode="General" sourceLinked="1"/>
        <c:majorTickMark val="none"/>
        <c:minorTickMark val="none"/>
        <c:tickLblPos val="nextTo"/>
        <c:crossAx val="116706932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62E662-7BAF-440D-A397-09FEA38DFB8C}" type="doc">
      <dgm:prSet loTypeId="urn:microsoft.com/office/officeart/2005/8/layout/hierarchy2" loCatId="hierarchy" qsTypeId="urn:microsoft.com/office/officeart/2005/8/quickstyle/simple5" qsCatId="simple" csTypeId="urn:microsoft.com/office/officeart/2005/8/colors/accent1_4" csCatId="accent1" phldr="1"/>
      <dgm:spPr/>
      <dgm:t>
        <a:bodyPr/>
        <a:lstStyle/>
        <a:p>
          <a:endParaRPr lang="en-IN"/>
        </a:p>
      </dgm:t>
    </dgm:pt>
    <dgm:pt modelId="{9D51836C-5748-4FE8-961E-561EDE5484E0}">
      <dgm:prSet phldrT="[Text]"/>
      <dgm:spPr/>
      <dgm:t>
        <a:bodyPr/>
        <a:lstStyle/>
        <a:p>
          <a:r>
            <a:rPr lang="en-IN"/>
            <a:t>Investment Banking</a:t>
          </a:r>
        </a:p>
      </dgm:t>
    </dgm:pt>
    <dgm:pt modelId="{384DDAC4-C1FE-4361-AEA3-DC9C79418894}" type="parTrans" cxnId="{F1E92AC3-FE2C-463E-A7AB-03C164C504E8}">
      <dgm:prSet/>
      <dgm:spPr/>
      <dgm:t>
        <a:bodyPr/>
        <a:lstStyle/>
        <a:p>
          <a:endParaRPr lang="en-IN"/>
        </a:p>
      </dgm:t>
    </dgm:pt>
    <dgm:pt modelId="{BC21370E-82BD-4FB4-AADF-6DAF79B8AA3D}" type="sibTrans" cxnId="{F1E92AC3-FE2C-463E-A7AB-03C164C504E8}">
      <dgm:prSet/>
      <dgm:spPr/>
      <dgm:t>
        <a:bodyPr/>
        <a:lstStyle/>
        <a:p>
          <a:endParaRPr lang="en-IN"/>
        </a:p>
      </dgm:t>
    </dgm:pt>
    <dgm:pt modelId="{7D35B4BE-B67F-4456-AA5E-AFAA245BE41B}">
      <dgm:prSet phldrT="[Text]"/>
      <dgm:spPr/>
      <dgm:t>
        <a:bodyPr/>
        <a:lstStyle/>
        <a:p>
          <a:r>
            <a:rPr lang="en-IN"/>
            <a:t>M&amp;A Advisory</a:t>
          </a:r>
        </a:p>
      </dgm:t>
    </dgm:pt>
    <dgm:pt modelId="{68FE079E-A26C-4712-B589-8F76D1D98AE5}" type="parTrans" cxnId="{E180E3AF-065F-43E1-8358-32CE13D1C8EB}">
      <dgm:prSet/>
      <dgm:spPr/>
      <dgm:t>
        <a:bodyPr/>
        <a:lstStyle/>
        <a:p>
          <a:endParaRPr lang="en-IN"/>
        </a:p>
      </dgm:t>
    </dgm:pt>
    <dgm:pt modelId="{49C84A20-F0E9-4625-AC8E-E8BC443F02B7}" type="sibTrans" cxnId="{E180E3AF-065F-43E1-8358-32CE13D1C8EB}">
      <dgm:prSet/>
      <dgm:spPr/>
      <dgm:t>
        <a:bodyPr/>
        <a:lstStyle/>
        <a:p>
          <a:endParaRPr lang="en-IN"/>
        </a:p>
      </dgm:t>
    </dgm:pt>
    <dgm:pt modelId="{9C49B5C3-8E17-4392-98FB-70EE5ED59168}">
      <dgm:prSet phldrT="[Text]"/>
      <dgm:spPr/>
      <dgm:t>
        <a:bodyPr/>
        <a:lstStyle/>
        <a:p>
          <a:r>
            <a:rPr lang="en-IN"/>
            <a:t>Mergers</a:t>
          </a:r>
        </a:p>
      </dgm:t>
    </dgm:pt>
    <dgm:pt modelId="{D63C2AF3-D4F7-4A94-9F13-09810E7A451E}" type="parTrans" cxnId="{6128741E-787D-4138-BBED-E22938B18F7D}">
      <dgm:prSet/>
      <dgm:spPr/>
      <dgm:t>
        <a:bodyPr/>
        <a:lstStyle/>
        <a:p>
          <a:endParaRPr lang="en-IN"/>
        </a:p>
      </dgm:t>
    </dgm:pt>
    <dgm:pt modelId="{43D4EE39-0244-4471-9124-777CFA4D4E7A}" type="sibTrans" cxnId="{6128741E-787D-4138-BBED-E22938B18F7D}">
      <dgm:prSet/>
      <dgm:spPr/>
      <dgm:t>
        <a:bodyPr/>
        <a:lstStyle/>
        <a:p>
          <a:endParaRPr lang="en-IN"/>
        </a:p>
      </dgm:t>
    </dgm:pt>
    <dgm:pt modelId="{930E2627-537A-4EC3-93E1-62F0E01232F6}">
      <dgm:prSet phldrT="[Text]"/>
      <dgm:spPr/>
      <dgm:t>
        <a:bodyPr/>
        <a:lstStyle/>
        <a:p>
          <a:r>
            <a:rPr lang="en-IN"/>
            <a:t>Acquisitions</a:t>
          </a:r>
        </a:p>
      </dgm:t>
    </dgm:pt>
    <dgm:pt modelId="{CF04BD13-73F4-40AB-989A-966A43EC05B8}" type="parTrans" cxnId="{CD3B1A09-38F7-46EB-9AAD-3CF44B00A6B3}">
      <dgm:prSet/>
      <dgm:spPr/>
      <dgm:t>
        <a:bodyPr/>
        <a:lstStyle/>
        <a:p>
          <a:endParaRPr lang="en-IN"/>
        </a:p>
      </dgm:t>
    </dgm:pt>
    <dgm:pt modelId="{B7C32DD4-9330-4CFC-A762-44CF00464C61}" type="sibTrans" cxnId="{CD3B1A09-38F7-46EB-9AAD-3CF44B00A6B3}">
      <dgm:prSet/>
      <dgm:spPr/>
      <dgm:t>
        <a:bodyPr/>
        <a:lstStyle/>
        <a:p>
          <a:endParaRPr lang="en-IN"/>
        </a:p>
      </dgm:t>
    </dgm:pt>
    <dgm:pt modelId="{AE1F3C92-4650-432C-920C-7879DD0413C7}">
      <dgm:prSet phldrT="[Text]"/>
      <dgm:spPr/>
      <dgm:t>
        <a:bodyPr/>
        <a:lstStyle/>
        <a:p>
          <a:r>
            <a:rPr lang="en-IN"/>
            <a:t>Capital Raising
Advisory</a:t>
          </a:r>
        </a:p>
      </dgm:t>
    </dgm:pt>
    <dgm:pt modelId="{1963C604-1A06-40BC-89C2-A9AC7C4AA278}" type="parTrans" cxnId="{EACDACC5-9545-476E-96AF-DA65D708C992}">
      <dgm:prSet/>
      <dgm:spPr/>
      <dgm:t>
        <a:bodyPr/>
        <a:lstStyle/>
        <a:p>
          <a:endParaRPr lang="en-IN"/>
        </a:p>
      </dgm:t>
    </dgm:pt>
    <dgm:pt modelId="{BA48DE37-EEF1-4706-9FD5-84C37C8AB08D}" type="sibTrans" cxnId="{EACDACC5-9545-476E-96AF-DA65D708C992}">
      <dgm:prSet/>
      <dgm:spPr/>
      <dgm:t>
        <a:bodyPr/>
        <a:lstStyle/>
        <a:p>
          <a:endParaRPr lang="en-IN"/>
        </a:p>
      </dgm:t>
    </dgm:pt>
    <dgm:pt modelId="{63EE4B30-8599-48E0-829F-6DCB35BE0BFA}">
      <dgm:prSet phldrT="[Text]"/>
      <dgm:spPr/>
      <dgm:t>
        <a:bodyPr/>
        <a:lstStyle/>
        <a:p>
          <a:r>
            <a:rPr lang="en-IN"/>
            <a:t>Equity Underwriting</a:t>
          </a:r>
        </a:p>
      </dgm:t>
    </dgm:pt>
    <dgm:pt modelId="{3D2EBBC8-A8E6-4E91-AC87-88ED12058B49}" type="parTrans" cxnId="{EFC29C9A-301C-4DD3-9911-875E415F595D}">
      <dgm:prSet/>
      <dgm:spPr/>
      <dgm:t>
        <a:bodyPr/>
        <a:lstStyle/>
        <a:p>
          <a:endParaRPr lang="en-IN"/>
        </a:p>
      </dgm:t>
    </dgm:pt>
    <dgm:pt modelId="{328E23C6-EDE8-4B7C-9C77-CEC9FEC47F57}" type="sibTrans" cxnId="{EFC29C9A-301C-4DD3-9911-875E415F595D}">
      <dgm:prSet/>
      <dgm:spPr/>
      <dgm:t>
        <a:bodyPr/>
        <a:lstStyle/>
        <a:p>
          <a:endParaRPr lang="en-IN"/>
        </a:p>
      </dgm:t>
    </dgm:pt>
    <dgm:pt modelId="{F61FC56D-8D31-4A59-A9E8-DF8765D78615}">
      <dgm:prSet phldrT="[Text]"/>
      <dgm:spPr/>
      <dgm:t>
        <a:bodyPr/>
        <a:lstStyle/>
        <a:p>
          <a:r>
            <a:rPr lang="en-IN"/>
            <a:t>Debt Issuance</a:t>
          </a:r>
        </a:p>
      </dgm:t>
    </dgm:pt>
    <dgm:pt modelId="{EDAC43AB-4A54-4ACC-ACA5-B197D85A79E1}" type="parTrans" cxnId="{01EB6E9B-25DE-4390-87DB-A32FB23664BA}">
      <dgm:prSet/>
      <dgm:spPr/>
      <dgm:t>
        <a:bodyPr/>
        <a:lstStyle/>
        <a:p>
          <a:endParaRPr lang="en-IN"/>
        </a:p>
      </dgm:t>
    </dgm:pt>
    <dgm:pt modelId="{F89329A3-B154-4AEA-9E14-B51B11219166}" type="sibTrans" cxnId="{01EB6E9B-25DE-4390-87DB-A32FB23664BA}">
      <dgm:prSet/>
      <dgm:spPr/>
      <dgm:t>
        <a:bodyPr/>
        <a:lstStyle/>
        <a:p>
          <a:endParaRPr lang="en-IN"/>
        </a:p>
      </dgm:t>
    </dgm:pt>
    <dgm:pt modelId="{E67E599F-7115-45F5-BE60-8042436F82CC}" type="pres">
      <dgm:prSet presAssocID="{7762E662-7BAF-440D-A397-09FEA38DFB8C}" presName="diagram" presStyleCnt="0">
        <dgm:presLayoutVars>
          <dgm:chPref val="1"/>
          <dgm:dir/>
          <dgm:animOne val="branch"/>
          <dgm:animLvl val="lvl"/>
          <dgm:resizeHandles val="exact"/>
        </dgm:presLayoutVars>
      </dgm:prSet>
      <dgm:spPr/>
    </dgm:pt>
    <dgm:pt modelId="{B3BF0D85-2636-4CF9-8289-E33C0C1C7B01}" type="pres">
      <dgm:prSet presAssocID="{9D51836C-5748-4FE8-961E-561EDE5484E0}" presName="root1" presStyleCnt="0"/>
      <dgm:spPr/>
    </dgm:pt>
    <dgm:pt modelId="{CA6477D7-4040-4304-9016-D47117EC8203}" type="pres">
      <dgm:prSet presAssocID="{9D51836C-5748-4FE8-961E-561EDE5484E0}" presName="LevelOneTextNode" presStyleLbl="node0" presStyleIdx="0" presStyleCnt="1">
        <dgm:presLayoutVars>
          <dgm:chPref val="3"/>
        </dgm:presLayoutVars>
      </dgm:prSet>
      <dgm:spPr/>
    </dgm:pt>
    <dgm:pt modelId="{642B74EC-91DF-4EB0-8365-75AF05E1F9C6}" type="pres">
      <dgm:prSet presAssocID="{9D51836C-5748-4FE8-961E-561EDE5484E0}" presName="level2hierChild" presStyleCnt="0"/>
      <dgm:spPr/>
    </dgm:pt>
    <dgm:pt modelId="{84FFB9F5-5911-4DA1-9E77-378C21F19EA0}" type="pres">
      <dgm:prSet presAssocID="{68FE079E-A26C-4712-B589-8F76D1D98AE5}" presName="conn2-1" presStyleLbl="parChTrans1D2" presStyleIdx="0" presStyleCnt="2"/>
      <dgm:spPr/>
    </dgm:pt>
    <dgm:pt modelId="{78C9EFA0-0036-44C3-A778-15A66C37C3D8}" type="pres">
      <dgm:prSet presAssocID="{68FE079E-A26C-4712-B589-8F76D1D98AE5}" presName="connTx" presStyleLbl="parChTrans1D2" presStyleIdx="0" presStyleCnt="2"/>
      <dgm:spPr/>
    </dgm:pt>
    <dgm:pt modelId="{8920E7A9-D001-4938-8F39-DA1385B71E19}" type="pres">
      <dgm:prSet presAssocID="{7D35B4BE-B67F-4456-AA5E-AFAA245BE41B}" presName="root2" presStyleCnt="0"/>
      <dgm:spPr/>
    </dgm:pt>
    <dgm:pt modelId="{70BC7B94-1B70-45CE-AFCC-B4B67DA48571}" type="pres">
      <dgm:prSet presAssocID="{7D35B4BE-B67F-4456-AA5E-AFAA245BE41B}" presName="LevelTwoTextNode" presStyleLbl="node2" presStyleIdx="0" presStyleCnt="2">
        <dgm:presLayoutVars>
          <dgm:chPref val="3"/>
        </dgm:presLayoutVars>
      </dgm:prSet>
      <dgm:spPr/>
    </dgm:pt>
    <dgm:pt modelId="{70D58B4D-1C96-4239-8B18-057F3884EE69}" type="pres">
      <dgm:prSet presAssocID="{7D35B4BE-B67F-4456-AA5E-AFAA245BE41B}" presName="level3hierChild" presStyleCnt="0"/>
      <dgm:spPr/>
    </dgm:pt>
    <dgm:pt modelId="{F49E846A-A8AA-43F2-81EE-25E591581E63}" type="pres">
      <dgm:prSet presAssocID="{D63C2AF3-D4F7-4A94-9F13-09810E7A451E}" presName="conn2-1" presStyleLbl="parChTrans1D3" presStyleIdx="0" presStyleCnt="4"/>
      <dgm:spPr/>
    </dgm:pt>
    <dgm:pt modelId="{082AFF7D-33C6-42BD-988E-E75920633D41}" type="pres">
      <dgm:prSet presAssocID="{D63C2AF3-D4F7-4A94-9F13-09810E7A451E}" presName="connTx" presStyleLbl="parChTrans1D3" presStyleIdx="0" presStyleCnt="4"/>
      <dgm:spPr/>
    </dgm:pt>
    <dgm:pt modelId="{CAF6853E-7F40-4425-9139-B3A7FF0EB2AE}" type="pres">
      <dgm:prSet presAssocID="{9C49B5C3-8E17-4392-98FB-70EE5ED59168}" presName="root2" presStyleCnt="0"/>
      <dgm:spPr/>
    </dgm:pt>
    <dgm:pt modelId="{379090AD-AF5C-4026-BFE2-FF0B7D7FF13A}" type="pres">
      <dgm:prSet presAssocID="{9C49B5C3-8E17-4392-98FB-70EE5ED59168}" presName="LevelTwoTextNode" presStyleLbl="node3" presStyleIdx="0" presStyleCnt="4">
        <dgm:presLayoutVars>
          <dgm:chPref val="3"/>
        </dgm:presLayoutVars>
      </dgm:prSet>
      <dgm:spPr/>
    </dgm:pt>
    <dgm:pt modelId="{CCB2D1A0-AB3D-43A6-B1B6-0253C38FE318}" type="pres">
      <dgm:prSet presAssocID="{9C49B5C3-8E17-4392-98FB-70EE5ED59168}" presName="level3hierChild" presStyleCnt="0"/>
      <dgm:spPr/>
    </dgm:pt>
    <dgm:pt modelId="{A942E237-930C-46EB-882A-F44EC8DA4E0A}" type="pres">
      <dgm:prSet presAssocID="{CF04BD13-73F4-40AB-989A-966A43EC05B8}" presName="conn2-1" presStyleLbl="parChTrans1D3" presStyleIdx="1" presStyleCnt="4"/>
      <dgm:spPr/>
    </dgm:pt>
    <dgm:pt modelId="{872ED4D1-3621-4AD9-B937-057ABEC15E25}" type="pres">
      <dgm:prSet presAssocID="{CF04BD13-73F4-40AB-989A-966A43EC05B8}" presName="connTx" presStyleLbl="parChTrans1D3" presStyleIdx="1" presStyleCnt="4"/>
      <dgm:spPr/>
    </dgm:pt>
    <dgm:pt modelId="{E244896A-C698-4159-BB3B-0E57FF0BF0C5}" type="pres">
      <dgm:prSet presAssocID="{930E2627-537A-4EC3-93E1-62F0E01232F6}" presName="root2" presStyleCnt="0"/>
      <dgm:spPr/>
    </dgm:pt>
    <dgm:pt modelId="{0D1487B5-A1E7-4185-9ECC-F5230DEC8DD2}" type="pres">
      <dgm:prSet presAssocID="{930E2627-537A-4EC3-93E1-62F0E01232F6}" presName="LevelTwoTextNode" presStyleLbl="node3" presStyleIdx="1" presStyleCnt="4">
        <dgm:presLayoutVars>
          <dgm:chPref val="3"/>
        </dgm:presLayoutVars>
      </dgm:prSet>
      <dgm:spPr/>
    </dgm:pt>
    <dgm:pt modelId="{39EED818-3F78-4769-B378-D5332BC1D650}" type="pres">
      <dgm:prSet presAssocID="{930E2627-537A-4EC3-93E1-62F0E01232F6}" presName="level3hierChild" presStyleCnt="0"/>
      <dgm:spPr/>
    </dgm:pt>
    <dgm:pt modelId="{FE37F35B-BB11-494E-A2F8-B571E6EDC0BD}" type="pres">
      <dgm:prSet presAssocID="{1963C604-1A06-40BC-89C2-A9AC7C4AA278}" presName="conn2-1" presStyleLbl="parChTrans1D2" presStyleIdx="1" presStyleCnt="2"/>
      <dgm:spPr/>
    </dgm:pt>
    <dgm:pt modelId="{860D999F-779E-4CEA-89A7-147F8BBF5C0C}" type="pres">
      <dgm:prSet presAssocID="{1963C604-1A06-40BC-89C2-A9AC7C4AA278}" presName="connTx" presStyleLbl="parChTrans1D2" presStyleIdx="1" presStyleCnt="2"/>
      <dgm:spPr/>
    </dgm:pt>
    <dgm:pt modelId="{DA9A183E-8E8F-4F6D-90C3-AECA3DEF712E}" type="pres">
      <dgm:prSet presAssocID="{AE1F3C92-4650-432C-920C-7879DD0413C7}" presName="root2" presStyleCnt="0"/>
      <dgm:spPr/>
    </dgm:pt>
    <dgm:pt modelId="{957C1473-F8F6-43CC-8391-DDFF41CEE7A4}" type="pres">
      <dgm:prSet presAssocID="{AE1F3C92-4650-432C-920C-7879DD0413C7}" presName="LevelTwoTextNode" presStyleLbl="node2" presStyleIdx="1" presStyleCnt="2">
        <dgm:presLayoutVars>
          <dgm:chPref val="3"/>
        </dgm:presLayoutVars>
      </dgm:prSet>
      <dgm:spPr/>
    </dgm:pt>
    <dgm:pt modelId="{A4E660AF-2059-4287-8A7C-A7B73FEA44E5}" type="pres">
      <dgm:prSet presAssocID="{AE1F3C92-4650-432C-920C-7879DD0413C7}" presName="level3hierChild" presStyleCnt="0"/>
      <dgm:spPr/>
    </dgm:pt>
    <dgm:pt modelId="{270731FC-5067-4178-8F45-08E1D73D3764}" type="pres">
      <dgm:prSet presAssocID="{3D2EBBC8-A8E6-4E91-AC87-88ED12058B49}" presName="conn2-1" presStyleLbl="parChTrans1D3" presStyleIdx="2" presStyleCnt="4"/>
      <dgm:spPr/>
    </dgm:pt>
    <dgm:pt modelId="{FF5ABA20-2EC0-43DA-878B-DE3050723A38}" type="pres">
      <dgm:prSet presAssocID="{3D2EBBC8-A8E6-4E91-AC87-88ED12058B49}" presName="connTx" presStyleLbl="parChTrans1D3" presStyleIdx="2" presStyleCnt="4"/>
      <dgm:spPr/>
    </dgm:pt>
    <dgm:pt modelId="{9442C376-D060-41CE-A146-1A1A910A1FD1}" type="pres">
      <dgm:prSet presAssocID="{63EE4B30-8599-48E0-829F-6DCB35BE0BFA}" presName="root2" presStyleCnt="0"/>
      <dgm:spPr/>
    </dgm:pt>
    <dgm:pt modelId="{F7741930-1974-4423-9513-2FFF3A8A790E}" type="pres">
      <dgm:prSet presAssocID="{63EE4B30-8599-48E0-829F-6DCB35BE0BFA}" presName="LevelTwoTextNode" presStyleLbl="node3" presStyleIdx="2" presStyleCnt="4">
        <dgm:presLayoutVars>
          <dgm:chPref val="3"/>
        </dgm:presLayoutVars>
      </dgm:prSet>
      <dgm:spPr/>
    </dgm:pt>
    <dgm:pt modelId="{6B498377-8BE1-40A2-93B3-346BAF89683E}" type="pres">
      <dgm:prSet presAssocID="{63EE4B30-8599-48E0-829F-6DCB35BE0BFA}" presName="level3hierChild" presStyleCnt="0"/>
      <dgm:spPr/>
    </dgm:pt>
    <dgm:pt modelId="{E27990B3-1D83-4CE0-B6B2-21061960469E}" type="pres">
      <dgm:prSet presAssocID="{EDAC43AB-4A54-4ACC-ACA5-B197D85A79E1}" presName="conn2-1" presStyleLbl="parChTrans1D3" presStyleIdx="3" presStyleCnt="4"/>
      <dgm:spPr/>
    </dgm:pt>
    <dgm:pt modelId="{1A978937-4522-4F15-8538-FD4A98E46D49}" type="pres">
      <dgm:prSet presAssocID="{EDAC43AB-4A54-4ACC-ACA5-B197D85A79E1}" presName="connTx" presStyleLbl="parChTrans1D3" presStyleIdx="3" presStyleCnt="4"/>
      <dgm:spPr/>
    </dgm:pt>
    <dgm:pt modelId="{504AAFC4-26E0-498D-BD9C-46D3A5936A7B}" type="pres">
      <dgm:prSet presAssocID="{F61FC56D-8D31-4A59-A9E8-DF8765D78615}" presName="root2" presStyleCnt="0"/>
      <dgm:spPr/>
    </dgm:pt>
    <dgm:pt modelId="{8562630A-BE77-4F5D-93FC-BEA034104D37}" type="pres">
      <dgm:prSet presAssocID="{F61FC56D-8D31-4A59-A9E8-DF8765D78615}" presName="LevelTwoTextNode" presStyleLbl="node3" presStyleIdx="3" presStyleCnt="4">
        <dgm:presLayoutVars>
          <dgm:chPref val="3"/>
        </dgm:presLayoutVars>
      </dgm:prSet>
      <dgm:spPr/>
    </dgm:pt>
    <dgm:pt modelId="{AD476D4C-C687-4A31-9441-99024AF29BC7}" type="pres">
      <dgm:prSet presAssocID="{F61FC56D-8D31-4A59-A9E8-DF8765D78615}" presName="level3hierChild" presStyleCnt="0"/>
      <dgm:spPr/>
    </dgm:pt>
  </dgm:ptLst>
  <dgm:cxnLst>
    <dgm:cxn modelId="{A5579806-CC95-472E-9761-8034AAF7CB50}" type="presOf" srcId="{1963C604-1A06-40BC-89C2-A9AC7C4AA278}" destId="{860D999F-779E-4CEA-89A7-147F8BBF5C0C}" srcOrd="1" destOrd="0" presId="urn:microsoft.com/office/officeart/2005/8/layout/hierarchy2"/>
    <dgm:cxn modelId="{CD3B1A09-38F7-46EB-9AAD-3CF44B00A6B3}" srcId="{7D35B4BE-B67F-4456-AA5E-AFAA245BE41B}" destId="{930E2627-537A-4EC3-93E1-62F0E01232F6}" srcOrd="1" destOrd="0" parTransId="{CF04BD13-73F4-40AB-989A-966A43EC05B8}" sibTransId="{B7C32DD4-9330-4CFC-A762-44CF00464C61}"/>
    <dgm:cxn modelId="{1C8C351E-18E8-4560-B2DE-CDD5B8D62560}" type="presOf" srcId="{7D35B4BE-B67F-4456-AA5E-AFAA245BE41B}" destId="{70BC7B94-1B70-45CE-AFCC-B4B67DA48571}" srcOrd="0" destOrd="0" presId="urn:microsoft.com/office/officeart/2005/8/layout/hierarchy2"/>
    <dgm:cxn modelId="{6128741E-787D-4138-BBED-E22938B18F7D}" srcId="{7D35B4BE-B67F-4456-AA5E-AFAA245BE41B}" destId="{9C49B5C3-8E17-4392-98FB-70EE5ED59168}" srcOrd="0" destOrd="0" parTransId="{D63C2AF3-D4F7-4A94-9F13-09810E7A451E}" sibTransId="{43D4EE39-0244-4471-9124-777CFA4D4E7A}"/>
    <dgm:cxn modelId="{C446C825-0001-4FEB-A402-7C7055DE0EE3}" type="presOf" srcId="{AE1F3C92-4650-432C-920C-7879DD0413C7}" destId="{957C1473-F8F6-43CC-8391-DDFF41CEE7A4}" srcOrd="0" destOrd="0" presId="urn:microsoft.com/office/officeart/2005/8/layout/hierarchy2"/>
    <dgm:cxn modelId="{A0FB9530-BC47-42E6-8702-E1462A1441AA}" type="presOf" srcId="{F61FC56D-8D31-4A59-A9E8-DF8765D78615}" destId="{8562630A-BE77-4F5D-93FC-BEA034104D37}" srcOrd="0" destOrd="0" presId="urn:microsoft.com/office/officeart/2005/8/layout/hierarchy2"/>
    <dgm:cxn modelId="{5FB22F33-0CFD-4686-8229-FD351B90C79B}" type="presOf" srcId="{D63C2AF3-D4F7-4A94-9F13-09810E7A451E}" destId="{F49E846A-A8AA-43F2-81EE-25E591581E63}" srcOrd="0" destOrd="0" presId="urn:microsoft.com/office/officeart/2005/8/layout/hierarchy2"/>
    <dgm:cxn modelId="{397EFC37-7785-45D3-A546-F6796DC94661}" type="presOf" srcId="{D63C2AF3-D4F7-4A94-9F13-09810E7A451E}" destId="{082AFF7D-33C6-42BD-988E-E75920633D41}" srcOrd="1" destOrd="0" presId="urn:microsoft.com/office/officeart/2005/8/layout/hierarchy2"/>
    <dgm:cxn modelId="{8AE9DC4F-58EB-4C4D-8FCC-5C718E16DED4}" type="presOf" srcId="{1963C604-1A06-40BC-89C2-A9AC7C4AA278}" destId="{FE37F35B-BB11-494E-A2F8-B571E6EDC0BD}" srcOrd="0" destOrd="0" presId="urn:microsoft.com/office/officeart/2005/8/layout/hierarchy2"/>
    <dgm:cxn modelId="{F8A74350-7087-4E50-82F1-551119D1786A}" type="presOf" srcId="{CF04BD13-73F4-40AB-989A-966A43EC05B8}" destId="{A942E237-930C-46EB-882A-F44EC8DA4E0A}" srcOrd="0" destOrd="0" presId="urn:microsoft.com/office/officeart/2005/8/layout/hierarchy2"/>
    <dgm:cxn modelId="{06B61251-E368-42ED-87E7-2FB44802F4D5}" type="presOf" srcId="{EDAC43AB-4A54-4ACC-ACA5-B197D85A79E1}" destId="{1A978937-4522-4F15-8538-FD4A98E46D49}" srcOrd="1" destOrd="0" presId="urn:microsoft.com/office/officeart/2005/8/layout/hierarchy2"/>
    <dgm:cxn modelId="{BF67DE75-329F-4B37-A6BC-472B7661AFEA}" type="presOf" srcId="{68FE079E-A26C-4712-B589-8F76D1D98AE5}" destId="{84FFB9F5-5911-4DA1-9E77-378C21F19EA0}" srcOrd="0" destOrd="0" presId="urn:microsoft.com/office/officeart/2005/8/layout/hierarchy2"/>
    <dgm:cxn modelId="{80D3E07D-F599-46BE-950D-DAE1B66009F3}" type="presOf" srcId="{63EE4B30-8599-48E0-829F-6DCB35BE0BFA}" destId="{F7741930-1974-4423-9513-2FFF3A8A790E}" srcOrd="0" destOrd="0" presId="urn:microsoft.com/office/officeart/2005/8/layout/hierarchy2"/>
    <dgm:cxn modelId="{EFC29C9A-301C-4DD3-9911-875E415F595D}" srcId="{AE1F3C92-4650-432C-920C-7879DD0413C7}" destId="{63EE4B30-8599-48E0-829F-6DCB35BE0BFA}" srcOrd="0" destOrd="0" parTransId="{3D2EBBC8-A8E6-4E91-AC87-88ED12058B49}" sibTransId="{328E23C6-EDE8-4B7C-9C77-CEC9FEC47F57}"/>
    <dgm:cxn modelId="{01EB6E9B-25DE-4390-87DB-A32FB23664BA}" srcId="{AE1F3C92-4650-432C-920C-7879DD0413C7}" destId="{F61FC56D-8D31-4A59-A9E8-DF8765D78615}" srcOrd="1" destOrd="0" parTransId="{EDAC43AB-4A54-4ACC-ACA5-B197D85A79E1}" sibTransId="{F89329A3-B154-4AEA-9E14-B51B11219166}"/>
    <dgm:cxn modelId="{F9D6479F-0005-4B6B-9205-72D488F4D691}" type="presOf" srcId="{68FE079E-A26C-4712-B589-8F76D1D98AE5}" destId="{78C9EFA0-0036-44C3-A778-15A66C37C3D8}" srcOrd="1" destOrd="0" presId="urn:microsoft.com/office/officeart/2005/8/layout/hierarchy2"/>
    <dgm:cxn modelId="{BF0ED1A5-EFD2-4292-B170-8574EF711F35}" type="presOf" srcId="{3D2EBBC8-A8E6-4E91-AC87-88ED12058B49}" destId="{270731FC-5067-4178-8F45-08E1D73D3764}" srcOrd="0" destOrd="0" presId="urn:microsoft.com/office/officeart/2005/8/layout/hierarchy2"/>
    <dgm:cxn modelId="{E180E3AF-065F-43E1-8358-32CE13D1C8EB}" srcId="{9D51836C-5748-4FE8-961E-561EDE5484E0}" destId="{7D35B4BE-B67F-4456-AA5E-AFAA245BE41B}" srcOrd="0" destOrd="0" parTransId="{68FE079E-A26C-4712-B589-8F76D1D98AE5}" sibTransId="{49C84A20-F0E9-4625-AC8E-E8BC443F02B7}"/>
    <dgm:cxn modelId="{33DEAEB8-391A-4EB0-BD3B-A0A711BF0CF3}" type="presOf" srcId="{3D2EBBC8-A8E6-4E91-AC87-88ED12058B49}" destId="{FF5ABA20-2EC0-43DA-878B-DE3050723A38}" srcOrd="1" destOrd="0" presId="urn:microsoft.com/office/officeart/2005/8/layout/hierarchy2"/>
    <dgm:cxn modelId="{359F21BD-CA8E-4955-A4E1-5FC5FCAFF388}" type="presOf" srcId="{9D51836C-5748-4FE8-961E-561EDE5484E0}" destId="{CA6477D7-4040-4304-9016-D47117EC8203}" srcOrd="0" destOrd="0" presId="urn:microsoft.com/office/officeart/2005/8/layout/hierarchy2"/>
    <dgm:cxn modelId="{1F326FBF-88F1-4EB3-B4F2-96F45CCE351C}" type="presOf" srcId="{9C49B5C3-8E17-4392-98FB-70EE5ED59168}" destId="{379090AD-AF5C-4026-BFE2-FF0B7D7FF13A}" srcOrd="0" destOrd="0" presId="urn:microsoft.com/office/officeart/2005/8/layout/hierarchy2"/>
    <dgm:cxn modelId="{F1E92AC3-FE2C-463E-A7AB-03C164C504E8}" srcId="{7762E662-7BAF-440D-A397-09FEA38DFB8C}" destId="{9D51836C-5748-4FE8-961E-561EDE5484E0}" srcOrd="0" destOrd="0" parTransId="{384DDAC4-C1FE-4361-AEA3-DC9C79418894}" sibTransId="{BC21370E-82BD-4FB4-AADF-6DAF79B8AA3D}"/>
    <dgm:cxn modelId="{EACDACC5-9545-476E-96AF-DA65D708C992}" srcId="{9D51836C-5748-4FE8-961E-561EDE5484E0}" destId="{AE1F3C92-4650-432C-920C-7879DD0413C7}" srcOrd="1" destOrd="0" parTransId="{1963C604-1A06-40BC-89C2-A9AC7C4AA278}" sibTransId="{BA48DE37-EEF1-4706-9FD5-84C37C8AB08D}"/>
    <dgm:cxn modelId="{ADE762D7-6738-47E8-A95D-ABBC1FAF5513}" type="presOf" srcId="{7762E662-7BAF-440D-A397-09FEA38DFB8C}" destId="{E67E599F-7115-45F5-BE60-8042436F82CC}" srcOrd="0" destOrd="0" presId="urn:microsoft.com/office/officeart/2005/8/layout/hierarchy2"/>
    <dgm:cxn modelId="{924A14EC-7C72-4D0D-9697-78DDAE992AB9}" type="presOf" srcId="{EDAC43AB-4A54-4ACC-ACA5-B197D85A79E1}" destId="{E27990B3-1D83-4CE0-B6B2-21061960469E}" srcOrd="0" destOrd="0" presId="urn:microsoft.com/office/officeart/2005/8/layout/hierarchy2"/>
    <dgm:cxn modelId="{BFE629FA-4BDC-4464-A13F-B8F2CB8AD5DA}" type="presOf" srcId="{CF04BD13-73F4-40AB-989A-966A43EC05B8}" destId="{872ED4D1-3621-4AD9-B937-057ABEC15E25}" srcOrd="1" destOrd="0" presId="urn:microsoft.com/office/officeart/2005/8/layout/hierarchy2"/>
    <dgm:cxn modelId="{1B3C12FE-D037-47C9-B1F9-D034CFF05438}" type="presOf" srcId="{930E2627-537A-4EC3-93E1-62F0E01232F6}" destId="{0D1487B5-A1E7-4185-9ECC-F5230DEC8DD2}" srcOrd="0" destOrd="0" presId="urn:microsoft.com/office/officeart/2005/8/layout/hierarchy2"/>
    <dgm:cxn modelId="{9F583D09-72FA-469E-A1F0-CED3D733189B}" type="presParOf" srcId="{E67E599F-7115-45F5-BE60-8042436F82CC}" destId="{B3BF0D85-2636-4CF9-8289-E33C0C1C7B01}" srcOrd="0" destOrd="0" presId="urn:microsoft.com/office/officeart/2005/8/layout/hierarchy2"/>
    <dgm:cxn modelId="{5BE20AEE-2395-4D4F-9182-B883E3DF8DAD}" type="presParOf" srcId="{B3BF0D85-2636-4CF9-8289-E33C0C1C7B01}" destId="{CA6477D7-4040-4304-9016-D47117EC8203}" srcOrd="0" destOrd="0" presId="urn:microsoft.com/office/officeart/2005/8/layout/hierarchy2"/>
    <dgm:cxn modelId="{BD19E715-72F8-42E2-B42D-066A20FC18AB}" type="presParOf" srcId="{B3BF0D85-2636-4CF9-8289-E33C0C1C7B01}" destId="{642B74EC-91DF-4EB0-8365-75AF05E1F9C6}" srcOrd="1" destOrd="0" presId="urn:microsoft.com/office/officeart/2005/8/layout/hierarchy2"/>
    <dgm:cxn modelId="{C36D7670-F1FC-4D1D-BE82-10F9283536F3}" type="presParOf" srcId="{642B74EC-91DF-4EB0-8365-75AF05E1F9C6}" destId="{84FFB9F5-5911-4DA1-9E77-378C21F19EA0}" srcOrd="0" destOrd="0" presId="urn:microsoft.com/office/officeart/2005/8/layout/hierarchy2"/>
    <dgm:cxn modelId="{B3CFCCCC-280F-4122-B0BC-5CC36D0D0733}" type="presParOf" srcId="{84FFB9F5-5911-4DA1-9E77-378C21F19EA0}" destId="{78C9EFA0-0036-44C3-A778-15A66C37C3D8}" srcOrd="0" destOrd="0" presId="urn:microsoft.com/office/officeart/2005/8/layout/hierarchy2"/>
    <dgm:cxn modelId="{AD908415-5933-43DB-9C8C-0CB78D64E79B}" type="presParOf" srcId="{642B74EC-91DF-4EB0-8365-75AF05E1F9C6}" destId="{8920E7A9-D001-4938-8F39-DA1385B71E19}" srcOrd="1" destOrd="0" presId="urn:microsoft.com/office/officeart/2005/8/layout/hierarchy2"/>
    <dgm:cxn modelId="{19060D4B-362D-4FE2-8049-975FCBE56A00}" type="presParOf" srcId="{8920E7A9-D001-4938-8F39-DA1385B71E19}" destId="{70BC7B94-1B70-45CE-AFCC-B4B67DA48571}" srcOrd="0" destOrd="0" presId="urn:microsoft.com/office/officeart/2005/8/layout/hierarchy2"/>
    <dgm:cxn modelId="{5FF22672-5313-4736-AB1E-E724278CB5B4}" type="presParOf" srcId="{8920E7A9-D001-4938-8F39-DA1385B71E19}" destId="{70D58B4D-1C96-4239-8B18-057F3884EE69}" srcOrd="1" destOrd="0" presId="urn:microsoft.com/office/officeart/2005/8/layout/hierarchy2"/>
    <dgm:cxn modelId="{F8F7527C-CDC9-4DF9-8A53-BD30368DB863}" type="presParOf" srcId="{70D58B4D-1C96-4239-8B18-057F3884EE69}" destId="{F49E846A-A8AA-43F2-81EE-25E591581E63}" srcOrd="0" destOrd="0" presId="urn:microsoft.com/office/officeart/2005/8/layout/hierarchy2"/>
    <dgm:cxn modelId="{DDE72F16-212F-46A0-B86E-3DDC374D9A6B}" type="presParOf" srcId="{F49E846A-A8AA-43F2-81EE-25E591581E63}" destId="{082AFF7D-33C6-42BD-988E-E75920633D41}" srcOrd="0" destOrd="0" presId="urn:microsoft.com/office/officeart/2005/8/layout/hierarchy2"/>
    <dgm:cxn modelId="{22352DB8-B9A7-4E3B-B089-AF77D22ACDDD}" type="presParOf" srcId="{70D58B4D-1C96-4239-8B18-057F3884EE69}" destId="{CAF6853E-7F40-4425-9139-B3A7FF0EB2AE}" srcOrd="1" destOrd="0" presId="urn:microsoft.com/office/officeart/2005/8/layout/hierarchy2"/>
    <dgm:cxn modelId="{DDC394B3-7EDD-4585-80D7-718B71E38FFE}" type="presParOf" srcId="{CAF6853E-7F40-4425-9139-B3A7FF0EB2AE}" destId="{379090AD-AF5C-4026-BFE2-FF0B7D7FF13A}" srcOrd="0" destOrd="0" presId="urn:microsoft.com/office/officeart/2005/8/layout/hierarchy2"/>
    <dgm:cxn modelId="{B4460E62-36F3-408C-882E-6A79DA1F719E}" type="presParOf" srcId="{CAF6853E-7F40-4425-9139-B3A7FF0EB2AE}" destId="{CCB2D1A0-AB3D-43A6-B1B6-0253C38FE318}" srcOrd="1" destOrd="0" presId="urn:microsoft.com/office/officeart/2005/8/layout/hierarchy2"/>
    <dgm:cxn modelId="{526733AC-4A95-4594-A818-410DB02590DA}" type="presParOf" srcId="{70D58B4D-1C96-4239-8B18-057F3884EE69}" destId="{A942E237-930C-46EB-882A-F44EC8DA4E0A}" srcOrd="2" destOrd="0" presId="urn:microsoft.com/office/officeart/2005/8/layout/hierarchy2"/>
    <dgm:cxn modelId="{770C9123-A8B1-4F6A-85AC-1B5CCCF151BE}" type="presParOf" srcId="{A942E237-930C-46EB-882A-F44EC8DA4E0A}" destId="{872ED4D1-3621-4AD9-B937-057ABEC15E25}" srcOrd="0" destOrd="0" presId="urn:microsoft.com/office/officeart/2005/8/layout/hierarchy2"/>
    <dgm:cxn modelId="{259A7BB0-42BE-4A59-882B-5D4D707D2EBC}" type="presParOf" srcId="{70D58B4D-1C96-4239-8B18-057F3884EE69}" destId="{E244896A-C698-4159-BB3B-0E57FF0BF0C5}" srcOrd="3" destOrd="0" presId="urn:microsoft.com/office/officeart/2005/8/layout/hierarchy2"/>
    <dgm:cxn modelId="{93A9BA36-9B4E-4B86-94C0-1239A304FF2B}" type="presParOf" srcId="{E244896A-C698-4159-BB3B-0E57FF0BF0C5}" destId="{0D1487B5-A1E7-4185-9ECC-F5230DEC8DD2}" srcOrd="0" destOrd="0" presId="urn:microsoft.com/office/officeart/2005/8/layout/hierarchy2"/>
    <dgm:cxn modelId="{672B49E6-716E-499B-953A-81787428042F}" type="presParOf" srcId="{E244896A-C698-4159-BB3B-0E57FF0BF0C5}" destId="{39EED818-3F78-4769-B378-D5332BC1D650}" srcOrd="1" destOrd="0" presId="urn:microsoft.com/office/officeart/2005/8/layout/hierarchy2"/>
    <dgm:cxn modelId="{29603EB2-4D35-4A1C-8240-EC0E708F1682}" type="presParOf" srcId="{642B74EC-91DF-4EB0-8365-75AF05E1F9C6}" destId="{FE37F35B-BB11-494E-A2F8-B571E6EDC0BD}" srcOrd="2" destOrd="0" presId="urn:microsoft.com/office/officeart/2005/8/layout/hierarchy2"/>
    <dgm:cxn modelId="{5B2B338A-4058-4052-9E38-66624C1E9AA5}" type="presParOf" srcId="{FE37F35B-BB11-494E-A2F8-B571E6EDC0BD}" destId="{860D999F-779E-4CEA-89A7-147F8BBF5C0C}" srcOrd="0" destOrd="0" presId="urn:microsoft.com/office/officeart/2005/8/layout/hierarchy2"/>
    <dgm:cxn modelId="{B94810B0-5E0F-45FB-9C3C-949336D98651}" type="presParOf" srcId="{642B74EC-91DF-4EB0-8365-75AF05E1F9C6}" destId="{DA9A183E-8E8F-4F6D-90C3-AECA3DEF712E}" srcOrd="3" destOrd="0" presId="urn:microsoft.com/office/officeart/2005/8/layout/hierarchy2"/>
    <dgm:cxn modelId="{069781B7-0FD7-42D5-AF5B-DB8171AB8E0B}" type="presParOf" srcId="{DA9A183E-8E8F-4F6D-90C3-AECA3DEF712E}" destId="{957C1473-F8F6-43CC-8391-DDFF41CEE7A4}" srcOrd="0" destOrd="0" presId="urn:microsoft.com/office/officeart/2005/8/layout/hierarchy2"/>
    <dgm:cxn modelId="{D9EC6135-B76C-4344-93CA-F320A566115D}" type="presParOf" srcId="{DA9A183E-8E8F-4F6D-90C3-AECA3DEF712E}" destId="{A4E660AF-2059-4287-8A7C-A7B73FEA44E5}" srcOrd="1" destOrd="0" presId="urn:microsoft.com/office/officeart/2005/8/layout/hierarchy2"/>
    <dgm:cxn modelId="{24F98002-10FC-4608-9EE4-7FF158D7B22A}" type="presParOf" srcId="{A4E660AF-2059-4287-8A7C-A7B73FEA44E5}" destId="{270731FC-5067-4178-8F45-08E1D73D3764}" srcOrd="0" destOrd="0" presId="urn:microsoft.com/office/officeart/2005/8/layout/hierarchy2"/>
    <dgm:cxn modelId="{920E8842-23E7-42D4-9443-35C8DC1EBC99}" type="presParOf" srcId="{270731FC-5067-4178-8F45-08E1D73D3764}" destId="{FF5ABA20-2EC0-43DA-878B-DE3050723A38}" srcOrd="0" destOrd="0" presId="urn:microsoft.com/office/officeart/2005/8/layout/hierarchy2"/>
    <dgm:cxn modelId="{2AC2103A-6270-4D7B-8CAC-1C47B1B24918}" type="presParOf" srcId="{A4E660AF-2059-4287-8A7C-A7B73FEA44E5}" destId="{9442C376-D060-41CE-A146-1A1A910A1FD1}" srcOrd="1" destOrd="0" presId="urn:microsoft.com/office/officeart/2005/8/layout/hierarchy2"/>
    <dgm:cxn modelId="{FA6ABE97-620D-461F-B21F-19DBAE711FB7}" type="presParOf" srcId="{9442C376-D060-41CE-A146-1A1A910A1FD1}" destId="{F7741930-1974-4423-9513-2FFF3A8A790E}" srcOrd="0" destOrd="0" presId="urn:microsoft.com/office/officeart/2005/8/layout/hierarchy2"/>
    <dgm:cxn modelId="{9426969B-45B6-4CDE-9540-1D1ED91C0EC4}" type="presParOf" srcId="{9442C376-D060-41CE-A146-1A1A910A1FD1}" destId="{6B498377-8BE1-40A2-93B3-346BAF89683E}" srcOrd="1" destOrd="0" presId="urn:microsoft.com/office/officeart/2005/8/layout/hierarchy2"/>
    <dgm:cxn modelId="{DFF7B91B-F14C-4A2B-864D-0D53B1194EFF}" type="presParOf" srcId="{A4E660AF-2059-4287-8A7C-A7B73FEA44E5}" destId="{E27990B3-1D83-4CE0-B6B2-21061960469E}" srcOrd="2" destOrd="0" presId="urn:microsoft.com/office/officeart/2005/8/layout/hierarchy2"/>
    <dgm:cxn modelId="{2140825A-A08D-4EBD-9BFC-400A611724C5}" type="presParOf" srcId="{E27990B3-1D83-4CE0-B6B2-21061960469E}" destId="{1A978937-4522-4F15-8538-FD4A98E46D49}" srcOrd="0" destOrd="0" presId="urn:microsoft.com/office/officeart/2005/8/layout/hierarchy2"/>
    <dgm:cxn modelId="{997E285D-7991-4B3C-B48E-5DDFF98E492C}" type="presParOf" srcId="{A4E660AF-2059-4287-8A7C-A7B73FEA44E5}" destId="{504AAFC4-26E0-498D-BD9C-46D3A5936A7B}" srcOrd="3" destOrd="0" presId="urn:microsoft.com/office/officeart/2005/8/layout/hierarchy2"/>
    <dgm:cxn modelId="{516F3163-C28B-415F-AF21-A3EF0DE21D29}" type="presParOf" srcId="{504AAFC4-26E0-498D-BD9C-46D3A5936A7B}" destId="{8562630A-BE77-4F5D-93FC-BEA034104D37}" srcOrd="0" destOrd="0" presId="urn:microsoft.com/office/officeart/2005/8/layout/hierarchy2"/>
    <dgm:cxn modelId="{DE0C045C-6CD1-4A03-940B-6EB5B74D9D49}" type="presParOf" srcId="{504AAFC4-26E0-498D-BD9C-46D3A5936A7B}" destId="{AD476D4C-C687-4A31-9441-99024AF29BC7}"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6477D7-4040-4304-9016-D47117EC8203}">
      <dsp:nvSpPr>
        <dsp:cNvPr id="0" name=""/>
        <dsp:cNvSpPr/>
      </dsp:nvSpPr>
      <dsp:spPr>
        <a:xfrm>
          <a:off x="72311" y="1111532"/>
          <a:ext cx="1287921" cy="643960"/>
        </a:xfrm>
        <a:prstGeom prst="roundRect">
          <a:avLst>
            <a:gd name="adj" fmla="val 10000"/>
          </a:avLst>
        </a:prstGeom>
        <a:gradFill rotWithShape="0">
          <a:gsLst>
            <a:gs pos="0">
              <a:schemeClr val="accent1">
                <a:shade val="60000"/>
                <a:hueOff val="0"/>
                <a:satOff val="0"/>
                <a:lumOff val="0"/>
                <a:alphaOff val="0"/>
                <a:satMod val="103000"/>
                <a:lumMod val="102000"/>
                <a:tint val="94000"/>
              </a:schemeClr>
            </a:gs>
            <a:gs pos="50000">
              <a:schemeClr val="accent1">
                <a:shade val="60000"/>
                <a:hueOff val="0"/>
                <a:satOff val="0"/>
                <a:lumOff val="0"/>
                <a:alphaOff val="0"/>
                <a:satMod val="110000"/>
                <a:lumMod val="100000"/>
                <a:shade val="100000"/>
              </a:schemeClr>
            </a:gs>
            <a:gs pos="100000">
              <a:schemeClr val="accent1">
                <a:shade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Investment Banking</a:t>
          </a:r>
        </a:p>
      </dsp:txBody>
      <dsp:txXfrm>
        <a:off x="91172" y="1130393"/>
        <a:ext cx="1250199" cy="606238"/>
      </dsp:txXfrm>
    </dsp:sp>
    <dsp:sp modelId="{84FFB9F5-5911-4DA1-9E77-378C21F19EA0}">
      <dsp:nvSpPr>
        <dsp:cNvPr id="0" name=""/>
        <dsp:cNvSpPr/>
      </dsp:nvSpPr>
      <dsp:spPr>
        <a:xfrm rot="18289469">
          <a:off x="1166757" y="1043020"/>
          <a:ext cx="902119" cy="40429"/>
        </a:xfrm>
        <a:custGeom>
          <a:avLst/>
          <a:gdLst/>
          <a:ahLst/>
          <a:cxnLst/>
          <a:rect l="0" t="0" r="0" b="0"/>
          <a:pathLst>
            <a:path>
              <a:moveTo>
                <a:pt x="0" y="20214"/>
              </a:moveTo>
              <a:lnTo>
                <a:pt x="902119" y="20214"/>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595264" y="1040682"/>
        <a:ext cx="45105" cy="45105"/>
      </dsp:txXfrm>
    </dsp:sp>
    <dsp:sp modelId="{70BC7B94-1B70-45CE-AFCC-B4B67DA48571}">
      <dsp:nvSpPr>
        <dsp:cNvPr id="0" name=""/>
        <dsp:cNvSpPr/>
      </dsp:nvSpPr>
      <dsp:spPr>
        <a:xfrm>
          <a:off x="1875401" y="370977"/>
          <a:ext cx="1287921" cy="643960"/>
        </a:xfrm>
        <a:prstGeom prst="roundRect">
          <a:avLst>
            <a:gd name="adj" fmla="val 10000"/>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M&amp;A Advisory</a:t>
          </a:r>
        </a:p>
      </dsp:txBody>
      <dsp:txXfrm>
        <a:off x="1894262" y="389838"/>
        <a:ext cx="1250199" cy="606238"/>
      </dsp:txXfrm>
    </dsp:sp>
    <dsp:sp modelId="{F49E846A-A8AA-43F2-81EE-25E591581E63}">
      <dsp:nvSpPr>
        <dsp:cNvPr id="0" name=""/>
        <dsp:cNvSpPr/>
      </dsp:nvSpPr>
      <dsp:spPr>
        <a:xfrm rot="19457599">
          <a:off x="3103691" y="487604"/>
          <a:ext cx="634432" cy="40429"/>
        </a:xfrm>
        <a:custGeom>
          <a:avLst/>
          <a:gdLst/>
          <a:ahLst/>
          <a:cxnLst/>
          <a:rect l="0" t="0" r="0" b="0"/>
          <a:pathLst>
            <a:path>
              <a:moveTo>
                <a:pt x="0" y="20214"/>
              </a:moveTo>
              <a:lnTo>
                <a:pt x="634432" y="20214"/>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405046" y="491958"/>
        <a:ext cx="31721" cy="31721"/>
      </dsp:txXfrm>
    </dsp:sp>
    <dsp:sp modelId="{379090AD-AF5C-4026-BFE2-FF0B7D7FF13A}">
      <dsp:nvSpPr>
        <dsp:cNvPr id="0" name=""/>
        <dsp:cNvSpPr/>
      </dsp:nvSpPr>
      <dsp:spPr>
        <a:xfrm>
          <a:off x="3678491" y="699"/>
          <a:ext cx="1287921" cy="643960"/>
        </a:xfrm>
        <a:prstGeom prst="roundRect">
          <a:avLst>
            <a:gd name="adj" fmla="val 10000"/>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Mergers</a:t>
          </a:r>
        </a:p>
      </dsp:txBody>
      <dsp:txXfrm>
        <a:off x="3697352" y="19560"/>
        <a:ext cx="1250199" cy="606238"/>
      </dsp:txXfrm>
    </dsp:sp>
    <dsp:sp modelId="{A942E237-930C-46EB-882A-F44EC8DA4E0A}">
      <dsp:nvSpPr>
        <dsp:cNvPr id="0" name=""/>
        <dsp:cNvSpPr/>
      </dsp:nvSpPr>
      <dsp:spPr>
        <a:xfrm rot="2142401">
          <a:off x="3103691" y="857881"/>
          <a:ext cx="634432" cy="40429"/>
        </a:xfrm>
        <a:custGeom>
          <a:avLst/>
          <a:gdLst/>
          <a:ahLst/>
          <a:cxnLst/>
          <a:rect l="0" t="0" r="0" b="0"/>
          <a:pathLst>
            <a:path>
              <a:moveTo>
                <a:pt x="0" y="20214"/>
              </a:moveTo>
              <a:lnTo>
                <a:pt x="634432" y="20214"/>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405046" y="862235"/>
        <a:ext cx="31721" cy="31721"/>
      </dsp:txXfrm>
    </dsp:sp>
    <dsp:sp modelId="{0D1487B5-A1E7-4185-9ECC-F5230DEC8DD2}">
      <dsp:nvSpPr>
        <dsp:cNvPr id="0" name=""/>
        <dsp:cNvSpPr/>
      </dsp:nvSpPr>
      <dsp:spPr>
        <a:xfrm>
          <a:off x="3678491" y="741254"/>
          <a:ext cx="1287921" cy="643960"/>
        </a:xfrm>
        <a:prstGeom prst="roundRect">
          <a:avLst>
            <a:gd name="adj" fmla="val 10000"/>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Acquisitions</a:t>
          </a:r>
        </a:p>
      </dsp:txBody>
      <dsp:txXfrm>
        <a:off x="3697352" y="760115"/>
        <a:ext cx="1250199" cy="606238"/>
      </dsp:txXfrm>
    </dsp:sp>
    <dsp:sp modelId="{FE37F35B-BB11-494E-A2F8-B571E6EDC0BD}">
      <dsp:nvSpPr>
        <dsp:cNvPr id="0" name=""/>
        <dsp:cNvSpPr/>
      </dsp:nvSpPr>
      <dsp:spPr>
        <a:xfrm rot="3310531">
          <a:off x="1166757" y="1783575"/>
          <a:ext cx="902119" cy="40429"/>
        </a:xfrm>
        <a:custGeom>
          <a:avLst/>
          <a:gdLst/>
          <a:ahLst/>
          <a:cxnLst/>
          <a:rect l="0" t="0" r="0" b="0"/>
          <a:pathLst>
            <a:path>
              <a:moveTo>
                <a:pt x="0" y="20214"/>
              </a:moveTo>
              <a:lnTo>
                <a:pt x="902119" y="20214"/>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595264" y="1781236"/>
        <a:ext cx="45105" cy="45105"/>
      </dsp:txXfrm>
    </dsp:sp>
    <dsp:sp modelId="{957C1473-F8F6-43CC-8391-DDFF41CEE7A4}">
      <dsp:nvSpPr>
        <dsp:cNvPr id="0" name=""/>
        <dsp:cNvSpPr/>
      </dsp:nvSpPr>
      <dsp:spPr>
        <a:xfrm>
          <a:off x="1875401" y="1852086"/>
          <a:ext cx="1287921" cy="643960"/>
        </a:xfrm>
        <a:prstGeom prst="roundRect">
          <a:avLst>
            <a:gd name="adj" fmla="val 10000"/>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Capital Raising
Advisory</a:t>
          </a:r>
        </a:p>
      </dsp:txBody>
      <dsp:txXfrm>
        <a:off x="1894262" y="1870947"/>
        <a:ext cx="1250199" cy="606238"/>
      </dsp:txXfrm>
    </dsp:sp>
    <dsp:sp modelId="{270731FC-5067-4178-8F45-08E1D73D3764}">
      <dsp:nvSpPr>
        <dsp:cNvPr id="0" name=""/>
        <dsp:cNvSpPr/>
      </dsp:nvSpPr>
      <dsp:spPr>
        <a:xfrm rot="19457599">
          <a:off x="3103691" y="1968713"/>
          <a:ext cx="634432" cy="40429"/>
        </a:xfrm>
        <a:custGeom>
          <a:avLst/>
          <a:gdLst/>
          <a:ahLst/>
          <a:cxnLst/>
          <a:rect l="0" t="0" r="0" b="0"/>
          <a:pathLst>
            <a:path>
              <a:moveTo>
                <a:pt x="0" y="20214"/>
              </a:moveTo>
              <a:lnTo>
                <a:pt x="634432" y="20214"/>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405046" y="1973067"/>
        <a:ext cx="31721" cy="31721"/>
      </dsp:txXfrm>
    </dsp:sp>
    <dsp:sp modelId="{F7741930-1974-4423-9513-2FFF3A8A790E}">
      <dsp:nvSpPr>
        <dsp:cNvPr id="0" name=""/>
        <dsp:cNvSpPr/>
      </dsp:nvSpPr>
      <dsp:spPr>
        <a:xfrm>
          <a:off x="3678491" y="1481809"/>
          <a:ext cx="1287921" cy="643960"/>
        </a:xfrm>
        <a:prstGeom prst="roundRect">
          <a:avLst>
            <a:gd name="adj" fmla="val 10000"/>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Equity Underwriting</a:t>
          </a:r>
        </a:p>
      </dsp:txBody>
      <dsp:txXfrm>
        <a:off x="3697352" y="1500670"/>
        <a:ext cx="1250199" cy="606238"/>
      </dsp:txXfrm>
    </dsp:sp>
    <dsp:sp modelId="{E27990B3-1D83-4CE0-B6B2-21061960469E}">
      <dsp:nvSpPr>
        <dsp:cNvPr id="0" name=""/>
        <dsp:cNvSpPr/>
      </dsp:nvSpPr>
      <dsp:spPr>
        <a:xfrm rot="2142401">
          <a:off x="3103691" y="2338991"/>
          <a:ext cx="634432" cy="40429"/>
        </a:xfrm>
        <a:custGeom>
          <a:avLst/>
          <a:gdLst/>
          <a:ahLst/>
          <a:cxnLst/>
          <a:rect l="0" t="0" r="0" b="0"/>
          <a:pathLst>
            <a:path>
              <a:moveTo>
                <a:pt x="0" y="20214"/>
              </a:moveTo>
              <a:lnTo>
                <a:pt x="634432" y="20214"/>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405046" y="2343345"/>
        <a:ext cx="31721" cy="31721"/>
      </dsp:txXfrm>
    </dsp:sp>
    <dsp:sp modelId="{8562630A-BE77-4F5D-93FC-BEA034104D37}">
      <dsp:nvSpPr>
        <dsp:cNvPr id="0" name=""/>
        <dsp:cNvSpPr/>
      </dsp:nvSpPr>
      <dsp:spPr>
        <a:xfrm>
          <a:off x="3678491" y="2222364"/>
          <a:ext cx="1287921" cy="643960"/>
        </a:xfrm>
        <a:prstGeom prst="roundRect">
          <a:avLst>
            <a:gd name="adj" fmla="val 10000"/>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Debt Issuance</a:t>
          </a:r>
        </a:p>
      </dsp:txBody>
      <dsp:txXfrm>
        <a:off x="3697352" y="2241225"/>
        <a:ext cx="1250199" cy="60623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RANCE DCRUZ</dc:creator>
  <cp:keywords/>
  <dc:description/>
  <cp:lastModifiedBy>VIVIAN RANCE DCRUZ</cp:lastModifiedBy>
  <cp:revision>2</cp:revision>
  <dcterms:created xsi:type="dcterms:W3CDTF">2024-07-12T12:46:00Z</dcterms:created>
  <dcterms:modified xsi:type="dcterms:W3CDTF">2024-07-12T12:46:00Z</dcterms:modified>
</cp:coreProperties>
</file>