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C88B4" w14:textId="58E2D142" w:rsidR="00DC7456" w:rsidRPr="00DC7456" w:rsidRDefault="00DC7456" w:rsidP="00DC745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C7456">
        <w:rPr>
          <w:rFonts w:ascii="Times New Roman" w:eastAsia="Times New Roman" w:hAnsi="Times New Roman" w:cs="Times New Roman"/>
          <w:b/>
          <w:bCs/>
          <w:kern w:val="0"/>
          <w:sz w:val="36"/>
          <w:szCs w:val="36"/>
          <w:lang w:eastAsia="en-IN"/>
          <w14:ligatures w14:val="none"/>
        </w:rPr>
        <w:t>ATM Usage Patterns Analysis Dashboard</w:t>
      </w:r>
    </w:p>
    <w:p w14:paraId="03A89A05" w14:textId="2BE66E04" w:rsidR="00DC7456" w:rsidRPr="00DC7456" w:rsidRDefault="00DC7456" w:rsidP="00DC7456">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DC7456">
        <w:rPr>
          <w:rFonts w:ascii="Times New Roman" w:eastAsia="Times New Roman" w:hAnsi="Times New Roman" w:cs="Times New Roman"/>
          <w:b/>
          <w:bCs/>
          <w:kern w:val="0"/>
          <w:sz w:val="28"/>
          <w:szCs w:val="28"/>
          <w:lang w:eastAsia="en-IN"/>
          <w14:ligatures w14:val="none"/>
        </w:rPr>
        <w:t>AIM</w:t>
      </w:r>
    </w:p>
    <w:p w14:paraId="598B34E1" w14:textId="7E3D9B13" w:rsidR="001511D4" w:rsidRDefault="001511D4" w:rsidP="00DC7456">
      <w:pPr>
        <w:pStyle w:val="whitespace-pre-wrap"/>
        <w:rPr>
          <w:sz w:val="28"/>
          <w:szCs w:val="28"/>
        </w:rPr>
      </w:pPr>
      <w:r w:rsidRPr="001511D4">
        <w:rPr>
          <w:sz w:val="28"/>
          <w:szCs w:val="28"/>
        </w:rPr>
        <w:t xml:space="preserve">The ATM Usage Patterns Analysis dashboard aims to provide comprehensive insights into ATM transaction </w:t>
      </w:r>
      <w:r w:rsidRPr="001511D4">
        <w:rPr>
          <w:sz w:val="28"/>
          <w:szCs w:val="28"/>
        </w:rPr>
        <w:t>behaviours</w:t>
      </w:r>
      <w:r w:rsidRPr="001511D4">
        <w:rPr>
          <w:sz w:val="28"/>
          <w:szCs w:val="28"/>
        </w:rPr>
        <w:t>, geographic distribution, usage trends, and operational metrics across different states and location types. It helps identify peak usage hours, transaction volumes, maintenance needs, and cash management requirements to support data-driven decisions for ATM network optimization and customer service improvement.</w:t>
      </w:r>
    </w:p>
    <w:p w14:paraId="2AFEAB31" w14:textId="68A69411" w:rsidR="00DC7456" w:rsidRPr="00DC7456" w:rsidRDefault="00DC7456" w:rsidP="00DC7456">
      <w:pPr>
        <w:pStyle w:val="whitespace-pre-wrap"/>
        <w:rPr>
          <w:b/>
          <w:bCs/>
          <w:sz w:val="28"/>
          <w:szCs w:val="28"/>
        </w:rPr>
      </w:pPr>
      <w:r w:rsidRPr="00DC7456">
        <w:rPr>
          <w:b/>
          <w:bCs/>
          <w:sz w:val="28"/>
          <w:szCs w:val="28"/>
        </w:rPr>
        <w:t>FEATURES:</w:t>
      </w:r>
    </w:p>
    <w:p w14:paraId="06FA3A64" w14:textId="77777777" w:rsidR="00DC7456" w:rsidRPr="00DC7456" w:rsidRDefault="00DC7456" w:rsidP="00DC7456">
      <w:pPr>
        <w:pStyle w:val="whitespace-normal"/>
        <w:numPr>
          <w:ilvl w:val="0"/>
          <w:numId w:val="1"/>
        </w:numPr>
        <w:rPr>
          <w:sz w:val="28"/>
          <w:szCs w:val="28"/>
        </w:rPr>
      </w:pPr>
      <w:r w:rsidRPr="00DC7456">
        <w:rPr>
          <w:sz w:val="28"/>
          <w:szCs w:val="28"/>
        </w:rPr>
        <w:t>State: The state where the ATM is located (Categorical)</w:t>
      </w:r>
    </w:p>
    <w:p w14:paraId="489EBBA9" w14:textId="0CF8C734" w:rsidR="00DC7456" w:rsidRPr="00DC7456" w:rsidRDefault="00DC7456" w:rsidP="00DC7456">
      <w:pPr>
        <w:pStyle w:val="whitespace-normal"/>
        <w:numPr>
          <w:ilvl w:val="0"/>
          <w:numId w:val="1"/>
        </w:numPr>
        <w:rPr>
          <w:sz w:val="28"/>
          <w:szCs w:val="28"/>
        </w:rPr>
      </w:pPr>
      <w:r w:rsidRPr="00DC7456">
        <w:rPr>
          <w:sz w:val="28"/>
          <w:szCs w:val="28"/>
        </w:rPr>
        <w:t>Average Amount: The average transaction amount (Numeric)</w:t>
      </w:r>
    </w:p>
    <w:p w14:paraId="0C92181E" w14:textId="77777777" w:rsidR="00DC7456" w:rsidRPr="00DC7456" w:rsidRDefault="00DC7456" w:rsidP="00DC7456">
      <w:pPr>
        <w:pStyle w:val="whitespace-normal"/>
        <w:numPr>
          <w:ilvl w:val="0"/>
          <w:numId w:val="1"/>
        </w:numPr>
        <w:rPr>
          <w:sz w:val="28"/>
          <w:szCs w:val="28"/>
        </w:rPr>
      </w:pPr>
      <w:r w:rsidRPr="00DC7456">
        <w:rPr>
          <w:sz w:val="28"/>
          <w:szCs w:val="28"/>
        </w:rPr>
        <w:t>Transaction Count: Number of transactions (Numeric)</w:t>
      </w:r>
    </w:p>
    <w:p w14:paraId="5BB3E295" w14:textId="3FD74CC1" w:rsidR="00DC7456" w:rsidRPr="00DC7456" w:rsidRDefault="00DC7456" w:rsidP="00DC7456">
      <w:pPr>
        <w:pStyle w:val="whitespace-normal"/>
        <w:numPr>
          <w:ilvl w:val="0"/>
          <w:numId w:val="1"/>
        </w:numPr>
        <w:rPr>
          <w:sz w:val="28"/>
          <w:szCs w:val="28"/>
        </w:rPr>
      </w:pPr>
      <w:r w:rsidRPr="00DC7456">
        <w:rPr>
          <w:sz w:val="28"/>
          <w:szCs w:val="28"/>
        </w:rPr>
        <w:t>Max</w:t>
      </w:r>
      <w:r>
        <w:rPr>
          <w:sz w:val="28"/>
          <w:szCs w:val="28"/>
        </w:rPr>
        <w:t xml:space="preserve"> </w:t>
      </w:r>
      <w:r w:rsidRPr="00DC7456">
        <w:rPr>
          <w:sz w:val="28"/>
          <w:szCs w:val="28"/>
        </w:rPr>
        <w:t>Amount: Maximum transaction amount (Numeric)</w:t>
      </w:r>
    </w:p>
    <w:p w14:paraId="1F084400" w14:textId="77777777" w:rsidR="00DC7456" w:rsidRPr="00DC7456" w:rsidRDefault="00DC7456" w:rsidP="00DC7456">
      <w:pPr>
        <w:pStyle w:val="whitespace-normal"/>
        <w:numPr>
          <w:ilvl w:val="0"/>
          <w:numId w:val="1"/>
        </w:numPr>
        <w:rPr>
          <w:sz w:val="28"/>
          <w:szCs w:val="28"/>
        </w:rPr>
      </w:pPr>
      <w:r w:rsidRPr="00DC7456">
        <w:rPr>
          <w:sz w:val="28"/>
          <w:szCs w:val="28"/>
        </w:rPr>
        <w:t>Min Amount: Minimum transaction amount (Numeric)</w:t>
      </w:r>
    </w:p>
    <w:p w14:paraId="1B256D9F" w14:textId="77777777" w:rsidR="00DC7456" w:rsidRPr="00DC7456" w:rsidRDefault="00DC7456" w:rsidP="00DC7456">
      <w:pPr>
        <w:pStyle w:val="whitespace-normal"/>
        <w:numPr>
          <w:ilvl w:val="0"/>
          <w:numId w:val="1"/>
        </w:numPr>
        <w:rPr>
          <w:sz w:val="28"/>
          <w:szCs w:val="28"/>
        </w:rPr>
      </w:pPr>
      <w:r w:rsidRPr="00DC7456">
        <w:rPr>
          <w:sz w:val="28"/>
          <w:szCs w:val="28"/>
        </w:rPr>
        <w:t>Location Type: Type of location where ATM is installed (Categorical)</w:t>
      </w:r>
    </w:p>
    <w:p w14:paraId="05EB3A64" w14:textId="77777777" w:rsidR="00DC7456" w:rsidRDefault="00DC7456" w:rsidP="00DC7456">
      <w:pPr>
        <w:pStyle w:val="whitespace-normal"/>
        <w:numPr>
          <w:ilvl w:val="0"/>
          <w:numId w:val="1"/>
        </w:numPr>
        <w:rPr>
          <w:sz w:val="28"/>
          <w:szCs w:val="28"/>
        </w:rPr>
      </w:pPr>
      <w:r w:rsidRPr="00DC7456">
        <w:rPr>
          <w:sz w:val="28"/>
          <w:szCs w:val="28"/>
        </w:rPr>
        <w:t>Peak Hour: Hour of the day with highest usage (Numeric)</w:t>
      </w:r>
    </w:p>
    <w:p w14:paraId="2B69ADBD" w14:textId="09DF3FB7" w:rsidR="001511D4" w:rsidRPr="001511D4" w:rsidRDefault="001511D4" w:rsidP="001511D4">
      <w:pPr>
        <w:pStyle w:val="whitespace-normal"/>
        <w:numPr>
          <w:ilvl w:val="0"/>
          <w:numId w:val="1"/>
        </w:numPr>
        <w:rPr>
          <w:sz w:val="28"/>
          <w:szCs w:val="28"/>
        </w:rPr>
      </w:pPr>
      <w:r w:rsidRPr="001511D4">
        <w:rPr>
          <w:sz w:val="28"/>
          <w:szCs w:val="28"/>
        </w:rPr>
        <w:t xml:space="preserve">Malfunctions: Number of malfunctions by state (Numeric) </w:t>
      </w:r>
    </w:p>
    <w:p w14:paraId="103AFBE9" w14:textId="3B1FFDE9" w:rsidR="001511D4" w:rsidRPr="001511D4" w:rsidRDefault="001511D4" w:rsidP="001511D4">
      <w:pPr>
        <w:pStyle w:val="whitespace-normal"/>
        <w:numPr>
          <w:ilvl w:val="0"/>
          <w:numId w:val="1"/>
        </w:numPr>
        <w:rPr>
          <w:sz w:val="28"/>
          <w:szCs w:val="28"/>
        </w:rPr>
      </w:pPr>
      <w:r w:rsidRPr="001511D4">
        <w:rPr>
          <w:sz w:val="28"/>
          <w:szCs w:val="28"/>
        </w:rPr>
        <w:t xml:space="preserve">Cash Refill Frequency: Frequency of cash refills by state (Numeric) </w:t>
      </w:r>
    </w:p>
    <w:p w14:paraId="41DEE1BA" w14:textId="56D74DB5" w:rsidR="001511D4" w:rsidRPr="001511D4" w:rsidRDefault="001511D4" w:rsidP="001511D4">
      <w:pPr>
        <w:pStyle w:val="whitespace-normal"/>
        <w:numPr>
          <w:ilvl w:val="0"/>
          <w:numId w:val="1"/>
        </w:numPr>
        <w:rPr>
          <w:sz w:val="28"/>
          <w:szCs w:val="28"/>
        </w:rPr>
      </w:pPr>
      <w:r w:rsidRPr="001511D4">
        <w:rPr>
          <w:sz w:val="28"/>
          <w:szCs w:val="28"/>
        </w:rPr>
        <w:t xml:space="preserve">ATM Age: Average age of ATMs (Numeric) </w:t>
      </w:r>
    </w:p>
    <w:p w14:paraId="70DC0CBD" w14:textId="400B4DE6" w:rsidR="001511D4" w:rsidRPr="00DC7456" w:rsidRDefault="001511D4" w:rsidP="001511D4">
      <w:pPr>
        <w:pStyle w:val="whitespace-normal"/>
        <w:numPr>
          <w:ilvl w:val="0"/>
          <w:numId w:val="1"/>
        </w:numPr>
        <w:rPr>
          <w:sz w:val="28"/>
          <w:szCs w:val="28"/>
        </w:rPr>
      </w:pPr>
      <w:r w:rsidRPr="001511D4">
        <w:rPr>
          <w:sz w:val="28"/>
          <w:szCs w:val="28"/>
        </w:rPr>
        <w:t>Last Maintenance Date: Date of last maintenance (Date)</w:t>
      </w:r>
    </w:p>
    <w:p w14:paraId="2C2BC8B3" w14:textId="77777777" w:rsidR="00DC7456" w:rsidRPr="00DC7456" w:rsidRDefault="00DC7456" w:rsidP="00DC7456">
      <w:pPr>
        <w:pStyle w:val="whitespace-pre-wrap"/>
        <w:rPr>
          <w:b/>
          <w:bCs/>
          <w:sz w:val="28"/>
          <w:szCs w:val="28"/>
        </w:rPr>
      </w:pPr>
      <w:r w:rsidRPr="00DC7456">
        <w:rPr>
          <w:b/>
          <w:bCs/>
          <w:sz w:val="28"/>
          <w:szCs w:val="28"/>
        </w:rPr>
        <w:t>METHODOLOGY:</w:t>
      </w:r>
    </w:p>
    <w:p w14:paraId="15F5BDB0" w14:textId="77777777" w:rsidR="00DC7456" w:rsidRPr="0086666B" w:rsidRDefault="00DC7456" w:rsidP="00DC7456">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6666B">
        <w:rPr>
          <w:rFonts w:ascii="Times New Roman" w:eastAsia="Times New Roman" w:hAnsi="Times New Roman" w:cs="Times New Roman"/>
          <w:b/>
          <w:bCs/>
          <w:kern w:val="0"/>
          <w:sz w:val="28"/>
          <w:szCs w:val="28"/>
          <w:lang w:eastAsia="en-IN"/>
          <w14:ligatures w14:val="none"/>
        </w:rPr>
        <w:t>Data Cleaning and Preparation:</w:t>
      </w:r>
    </w:p>
    <w:p w14:paraId="7272D8FE" w14:textId="77777777" w:rsidR="00DC7456" w:rsidRPr="0086666B" w:rsidRDefault="00DC7456" w:rsidP="00DC7456">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6666B">
        <w:rPr>
          <w:rFonts w:ascii="Times New Roman" w:eastAsia="Times New Roman" w:hAnsi="Times New Roman" w:cs="Times New Roman"/>
          <w:kern w:val="0"/>
          <w:sz w:val="28"/>
          <w:szCs w:val="28"/>
          <w:lang w:eastAsia="en-IN"/>
          <w14:ligatures w14:val="none"/>
        </w:rPr>
        <w:t>Checked for data consistency and accuracy.</w:t>
      </w:r>
    </w:p>
    <w:p w14:paraId="3AFB6BEE" w14:textId="77777777" w:rsidR="00DC7456" w:rsidRDefault="00DC7456" w:rsidP="00DC7456">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Cleaned the data by Removing null, blanks</w:t>
      </w:r>
    </w:p>
    <w:p w14:paraId="51C850E1" w14:textId="63A72979" w:rsidR="00DC7456" w:rsidRDefault="00DC7456" w:rsidP="00DC7456">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Using statistical mean in </w:t>
      </w:r>
      <w:r w:rsidRPr="00DC7456">
        <w:rPr>
          <w:rFonts w:ascii="Times New Roman" w:eastAsia="Times New Roman" w:hAnsi="Times New Roman" w:cs="Times New Roman"/>
          <w:kern w:val="0"/>
          <w:sz w:val="28"/>
          <w:szCs w:val="28"/>
          <w:lang w:eastAsia="en-IN"/>
          <w14:ligatures w14:val="none"/>
        </w:rPr>
        <w:t>Python</w:t>
      </w:r>
      <w:r>
        <w:rPr>
          <w:rFonts w:ascii="Times New Roman" w:eastAsia="Times New Roman" w:hAnsi="Times New Roman" w:cs="Times New Roman"/>
          <w:kern w:val="0"/>
          <w:sz w:val="28"/>
          <w:szCs w:val="28"/>
          <w:lang w:eastAsia="en-IN"/>
          <w14:ligatures w14:val="none"/>
        </w:rPr>
        <w:t>.</w:t>
      </w:r>
    </w:p>
    <w:p w14:paraId="3186B2AC" w14:textId="4D66103F" w:rsidR="00DC7456" w:rsidRPr="00DC7456" w:rsidRDefault="00DC7456" w:rsidP="00DC7456">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6666B">
        <w:rPr>
          <w:rFonts w:ascii="Times New Roman" w:eastAsia="Times New Roman" w:hAnsi="Times New Roman" w:cs="Times New Roman"/>
          <w:kern w:val="0"/>
          <w:sz w:val="28"/>
          <w:szCs w:val="28"/>
          <w:lang w:eastAsia="en-IN"/>
          <w14:ligatures w14:val="none"/>
        </w:rPr>
        <w:t>Imported the data into Power BI.</w:t>
      </w:r>
    </w:p>
    <w:p w14:paraId="5A68536A" w14:textId="77777777" w:rsidR="00DC7456" w:rsidRDefault="00DC7456" w:rsidP="00DC7456">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Transformed the data by using necessary functions like transpose, use first row as header.</w:t>
      </w:r>
    </w:p>
    <w:p w14:paraId="6F54EE0F" w14:textId="77777777" w:rsidR="00DC7456" w:rsidRPr="0086666B" w:rsidRDefault="00DC7456" w:rsidP="00DC7456">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6666B">
        <w:rPr>
          <w:rFonts w:ascii="Times New Roman" w:eastAsia="Times New Roman" w:hAnsi="Times New Roman" w:cs="Times New Roman"/>
          <w:kern w:val="0"/>
          <w:sz w:val="28"/>
          <w:szCs w:val="28"/>
          <w:lang w:eastAsia="en-IN"/>
          <w14:ligatures w14:val="none"/>
        </w:rPr>
        <w:t>Created necessary calculated columns or measures.</w:t>
      </w:r>
    </w:p>
    <w:p w14:paraId="283DAC83" w14:textId="77777777" w:rsidR="00DC7456" w:rsidRPr="0086666B" w:rsidRDefault="00DC7456" w:rsidP="00DC7456">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6666B">
        <w:rPr>
          <w:rFonts w:ascii="Times New Roman" w:eastAsia="Times New Roman" w:hAnsi="Times New Roman" w:cs="Times New Roman"/>
          <w:b/>
          <w:bCs/>
          <w:kern w:val="0"/>
          <w:sz w:val="28"/>
          <w:szCs w:val="28"/>
          <w:lang w:eastAsia="en-IN"/>
          <w14:ligatures w14:val="none"/>
        </w:rPr>
        <w:t>Data Visualization:</w:t>
      </w:r>
    </w:p>
    <w:p w14:paraId="610FE931" w14:textId="77777777" w:rsidR="00DC7456" w:rsidRPr="0086666B" w:rsidRDefault="00DC7456" w:rsidP="00DC7456">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6666B">
        <w:rPr>
          <w:rFonts w:ascii="Times New Roman" w:eastAsia="Times New Roman" w:hAnsi="Times New Roman" w:cs="Times New Roman"/>
          <w:kern w:val="0"/>
          <w:sz w:val="28"/>
          <w:szCs w:val="28"/>
          <w:lang w:eastAsia="en-IN"/>
          <w14:ligatures w14:val="none"/>
        </w:rPr>
        <w:t>Created visuals to represent the key metrics and trends.</w:t>
      </w:r>
    </w:p>
    <w:p w14:paraId="3A71E135" w14:textId="77777777" w:rsidR="00DC7456" w:rsidRPr="0086666B" w:rsidRDefault="00DC7456" w:rsidP="00DC7456">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6666B">
        <w:rPr>
          <w:rFonts w:ascii="Times New Roman" w:eastAsia="Times New Roman" w:hAnsi="Times New Roman" w:cs="Times New Roman"/>
          <w:kern w:val="0"/>
          <w:sz w:val="28"/>
          <w:szCs w:val="28"/>
          <w:lang w:eastAsia="en-IN"/>
          <w14:ligatures w14:val="none"/>
        </w:rPr>
        <w:t>Used appropriate chart types to effectively communicate the data.</w:t>
      </w:r>
    </w:p>
    <w:p w14:paraId="4FF30419" w14:textId="77777777" w:rsidR="00DC7456" w:rsidRDefault="00DC7456" w:rsidP="00DC7456">
      <w:pPr>
        <w:pStyle w:val="whitespace-pre-wrap"/>
        <w:rPr>
          <w:b/>
          <w:bCs/>
          <w:sz w:val="28"/>
          <w:szCs w:val="28"/>
        </w:rPr>
      </w:pPr>
    </w:p>
    <w:p w14:paraId="10A3C144" w14:textId="77777777" w:rsidR="00DC7456" w:rsidRDefault="00DC7456" w:rsidP="00DC7456">
      <w:pPr>
        <w:pStyle w:val="whitespace-pre-wrap"/>
        <w:rPr>
          <w:b/>
          <w:bCs/>
          <w:sz w:val="28"/>
          <w:szCs w:val="28"/>
        </w:rPr>
      </w:pPr>
    </w:p>
    <w:p w14:paraId="4E1DE9F1" w14:textId="77777777" w:rsidR="00DC7456" w:rsidRDefault="00DC7456" w:rsidP="00DC7456">
      <w:pPr>
        <w:pStyle w:val="whitespace-pre-wrap"/>
        <w:rPr>
          <w:b/>
          <w:bCs/>
          <w:sz w:val="28"/>
          <w:szCs w:val="28"/>
        </w:rPr>
      </w:pPr>
    </w:p>
    <w:p w14:paraId="02EAF02D" w14:textId="77777777" w:rsidR="00DC7456" w:rsidRDefault="00DC7456" w:rsidP="00DC7456">
      <w:pPr>
        <w:pStyle w:val="whitespace-pre-wrap"/>
        <w:rPr>
          <w:b/>
          <w:bCs/>
          <w:sz w:val="28"/>
          <w:szCs w:val="28"/>
        </w:rPr>
      </w:pPr>
    </w:p>
    <w:p w14:paraId="20ABF8B6" w14:textId="77777777" w:rsidR="00DC7456" w:rsidRDefault="00DC7456" w:rsidP="00DC7456">
      <w:pPr>
        <w:pStyle w:val="whitespace-pre-wrap"/>
        <w:rPr>
          <w:b/>
          <w:bCs/>
          <w:sz w:val="28"/>
          <w:szCs w:val="28"/>
        </w:rPr>
      </w:pPr>
    </w:p>
    <w:p w14:paraId="1D0E4372" w14:textId="0A0C9B3C" w:rsidR="00DC7456" w:rsidRDefault="00DC7456" w:rsidP="00DC7456">
      <w:pPr>
        <w:pStyle w:val="whitespace-pre-wrap"/>
        <w:rPr>
          <w:sz w:val="28"/>
          <w:szCs w:val="28"/>
        </w:rPr>
      </w:pPr>
      <w:r w:rsidRPr="00DC7456">
        <w:rPr>
          <w:b/>
          <w:bCs/>
          <w:sz w:val="28"/>
          <w:szCs w:val="28"/>
        </w:rPr>
        <w:t>OUTPUT:</w:t>
      </w:r>
      <w:r w:rsidRPr="00DC7456">
        <w:rPr>
          <w:sz w:val="28"/>
          <w:szCs w:val="28"/>
        </w:rPr>
        <w:t xml:space="preserve"> </w:t>
      </w:r>
    </w:p>
    <w:p w14:paraId="6BECBC1A" w14:textId="481BF9A9" w:rsidR="00DC7456" w:rsidRPr="00DC7456" w:rsidRDefault="001511D4" w:rsidP="00DC7456">
      <w:pPr>
        <w:pStyle w:val="whitespace-pre-wrap"/>
        <w:rPr>
          <w:sz w:val="28"/>
          <w:szCs w:val="28"/>
        </w:rPr>
      </w:pPr>
      <w:r w:rsidRPr="001511D4">
        <w:rPr>
          <w:noProof/>
          <w:sz w:val="28"/>
          <w:szCs w:val="28"/>
        </w:rPr>
        <w:drawing>
          <wp:inline distT="0" distB="0" distL="0" distR="0" wp14:anchorId="1E9ADE20" wp14:editId="2E7E8E0B">
            <wp:extent cx="5731510" cy="3145155"/>
            <wp:effectExtent l="0" t="0" r="2540" b="0"/>
            <wp:docPr id="611759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5960" name="Picture 1" descr="A screenshot of a computer&#10;&#10;Description automatically generated"/>
                    <pic:cNvPicPr/>
                  </pic:nvPicPr>
                  <pic:blipFill>
                    <a:blip r:embed="rId5"/>
                    <a:stretch>
                      <a:fillRect/>
                    </a:stretch>
                  </pic:blipFill>
                  <pic:spPr>
                    <a:xfrm>
                      <a:off x="0" y="0"/>
                      <a:ext cx="5731510" cy="3145155"/>
                    </a:xfrm>
                    <a:prstGeom prst="rect">
                      <a:avLst/>
                    </a:prstGeom>
                  </pic:spPr>
                </pic:pic>
              </a:graphicData>
            </a:graphic>
          </wp:inline>
        </w:drawing>
      </w:r>
    </w:p>
    <w:p w14:paraId="473E3445" w14:textId="77777777" w:rsidR="00DC7456" w:rsidRPr="00DC7456" w:rsidRDefault="00DC7456" w:rsidP="00DC7456">
      <w:pPr>
        <w:pStyle w:val="whitespace-pre-wrap"/>
        <w:rPr>
          <w:b/>
          <w:bCs/>
          <w:sz w:val="28"/>
          <w:szCs w:val="28"/>
        </w:rPr>
      </w:pPr>
      <w:r w:rsidRPr="00DC7456">
        <w:rPr>
          <w:b/>
          <w:bCs/>
          <w:sz w:val="28"/>
          <w:szCs w:val="28"/>
        </w:rPr>
        <w:t>RESULT ANALYSIS:</w:t>
      </w:r>
    </w:p>
    <w:p w14:paraId="5CB5C791" w14:textId="5803F720" w:rsidR="00B03D33" w:rsidRDefault="00B03D33" w:rsidP="001511D4">
      <w:pPr>
        <w:pStyle w:val="whitespace-normal"/>
        <w:numPr>
          <w:ilvl w:val="0"/>
          <w:numId w:val="3"/>
        </w:numPr>
        <w:rPr>
          <w:sz w:val="28"/>
          <w:szCs w:val="28"/>
        </w:rPr>
      </w:pPr>
      <w:r w:rsidRPr="00B03D33">
        <w:rPr>
          <w:sz w:val="28"/>
          <w:szCs w:val="28"/>
        </w:rPr>
        <w:t>Box Plot Analysis:</w:t>
      </w:r>
    </w:p>
    <w:p w14:paraId="73C732B1" w14:textId="0EB54F74" w:rsidR="001511D4" w:rsidRPr="001511D4" w:rsidRDefault="001511D4" w:rsidP="00B03D33">
      <w:pPr>
        <w:pStyle w:val="whitespace-normal"/>
        <w:numPr>
          <w:ilvl w:val="0"/>
          <w:numId w:val="27"/>
        </w:numPr>
        <w:rPr>
          <w:sz w:val="28"/>
          <w:szCs w:val="28"/>
        </w:rPr>
      </w:pPr>
      <w:r w:rsidRPr="001511D4">
        <w:rPr>
          <w:sz w:val="28"/>
          <w:szCs w:val="28"/>
        </w:rPr>
        <w:t xml:space="preserve">Median (Central Line): </w:t>
      </w:r>
    </w:p>
    <w:p w14:paraId="3BF0A005" w14:textId="15E5C682" w:rsidR="001511D4" w:rsidRPr="001511D4" w:rsidRDefault="00BB5CF7" w:rsidP="001511D4">
      <w:pPr>
        <w:pStyle w:val="whitespace-normal"/>
        <w:numPr>
          <w:ilvl w:val="0"/>
          <w:numId w:val="17"/>
        </w:numPr>
        <w:rPr>
          <w:sz w:val="28"/>
          <w:szCs w:val="28"/>
        </w:rPr>
      </w:pPr>
      <w:r w:rsidRPr="001511D4">
        <w:rPr>
          <w:sz w:val="28"/>
          <w:szCs w:val="28"/>
        </w:rPr>
        <w:t xml:space="preserve">California (CA) </w:t>
      </w:r>
      <w:r w:rsidR="001511D4" w:rsidRPr="001511D4">
        <w:rPr>
          <w:sz w:val="28"/>
          <w:szCs w:val="28"/>
        </w:rPr>
        <w:t>ha</w:t>
      </w:r>
      <w:r>
        <w:rPr>
          <w:sz w:val="28"/>
          <w:szCs w:val="28"/>
        </w:rPr>
        <w:t>s</w:t>
      </w:r>
      <w:r w:rsidR="001511D4" w:rsidRPr="001511D4">
        <w:rPr>
          <w:sz w:val="28"/>
          <w:szCs w:val="28"/>
        </w:rPr>
        <w:t xml:space="preserve"> the highest median transaction amount.</w:t>
      </w:r>
    </w:p>
    <w:p w14:paraId="08DD3F16" w14:textId="110AEF81" w:rsidR="001511D4" w:rsidRDefault="00BB5CF7" w:rsidP="001511D4">
      <w:pPr>
        <w:pStyle w:val="whitespace-normal"/>
        <w:numPr>
          <w:ilvl w:val="0"/>
          <w:numId w:val="17"/>
        </w:numPr>
        <w:rPr>
          <w:sz w:val="28"/>
          <w:szCs w:val="28"/>
        </w:rPr>
      </w:pPr>
      <w:r w:rsidRPr="001511D4">
        <w:rPr>
          <w:sz w:val="28"/>
          <w:szCs w:val="28"/>
        </w:rPr>
        <w:t xml:space="preserve">Arizona (AZ) </w:t>
      </w:r>
      <w:r w:rsidR="001511D4" w:rsidRPr="001511D4">
        <w:rPr>
          <w:sz w:val="28"/>
          <w:szCs w:val="28"/>
        </w:rPr>
        <w:t>and New York (NY) show lower median values.</w:t>
      </w:r>
    </w:p>
    <w:p w14:paraId="70DDF229" w14:textId="02D66488" w:rsidR="00BB5CF7" w:rsidRPr="001511D4" w:rsidRDefault="00BB5CF7" w:rsidP="00BB5CF7">
      <w:pPr>
        <w:pStyle w:val="whitespace-normal"/>
        <w:numPr>
          <w:ilvl w:val="0"/>
          <w:numId w:val="17"/>
        </w:numPr>
        <w:rPr>
          <w:sz w:val="28"/>
          <w:szCs w:val="28"/>
        </w:rPr>
      </w:pPr>
      <w:r w:rsidRPr="001511D4">
        <w:rPr>
          <w:sz w:val="28"/>
          <w:szCs w:val="28"/>
        </w:rPr>
        <w:t xml:space="preserve">Texas (TX) and Pennsylvania (PA) seem to have similar median values, lower than </w:t>
      </w:r>
      <w:r>
        <w:rPr>
          <w:sz w:val="28"/>
          <w:szCs w:val="28"/>
        </w:rPr>
        <w:t>CA</w:t>
      </w:r>
      <w:r w:rsidRPr="001511D4">
        <w:rPr>
          <w:sz w:val="28"/>
          <w:szCs w:val="28"/>
        </w:rPr>
        <w:t>.</w:t>
      </w:r>
    </w:p>
    <w:p w14:paraId="2AC9F367" w14:textId="487A732D" w:rsidR="001511D4" w:rsidRPr="001511D4" w:rsidRDefault="00BB5CF7" w:rsidP="001511D4">
      <w:pPr>
        <w:pStyle w:val="whitespace-normal"/>
        <w:numPr>
          <w:ilvl w:val="0"/>
          <w:numId w:val="17"/>
        </w:numPr>
        <w:rPr>
          <w:sz w:val="28"/>
          <w:szCs w:val="28"/>
        </w:rPr>
      </w:pPr>
      <w:r w:rsidRPr="001511D4">
        <w:rPr>
          <w:sz w:val="28"/>
          <w:szCs w:val="28"/>
        </w:rPr>
        <w:t xml:space="preserve">Illinois (IL) </w:t>
      </w:r>
      <w:r>
        <w:rPr>
          <w:sz w:val="28"/>
          <w:szCs w:val="28"/>
        </w:rPr>
        <w:t xml:space="preserve">has </w:t>
      </w:r>
      <w:r w:rsidR="001511D4" w:rsidRPr="001511D4">
        <w:rPr>
          <w:sz w:val="28"/>
          <w:szCs w:val="28"/>
        </w:rPr>
        <w:t>the lowest median transaction amount.</w:t>
      </w:r>
    </w:p>
    <w:p w14:paraId="208B8A0A" w14:textId="523B350E" w:rsidR="001511D4" w:rsidRPr="001511D4" w:rsidRDefault="001511D4" w:rsidP="00B03D33">
      <w:pPr>
        <w:pStyle w:val="whitespace-normal"/>
        <w:numPr>
          <w:ilvl w:val="0"/>
          <w:numId w:val="26"/>
        </w:numPr>
        <w:rPr>
          <w:sz w:val="28"/>
          <w:szCs w:val="28"/>
        </w:rPr>
      </w:pPr>
      <w:r w:rsidRPr="001511D4">
        <w:rPr>
          <w:sz w:val="28"/>
          <w:szCs w:val="28"/>
        </w:rPr>
        <w:t xml:space="preserve">Interquartile Range (IQR - Box Size): </w:t>
      </w:r>
    </w:p>
    <w:p w14:paraId="0E1D88E7" w14:textId="530AFDAB" w:rsidR="00BB5CF7" w:rsidRPr="00BB5CF7" w:rsidRDefault="00BB5CF7" w:rsidP="00BB5CF7">
      <w:pPr>
        <w:pStyle w:val="whitespace-normal"/>
        <w:numPr>
          <w:ilvl w:val="1"/>
          <w:numId w:val="18"/>
        </w:numPr>
        <w:rPr>
          <w:sz w:val="28"/>
          <w:szCs w:val="28"/>
        </w:rPr>
      </w:pPr>
      <w:r w:rsidRPr="00BB5CF7">
        <w:rPr>
          <w:sz w:val="28"/>
          <w:szCs w:val="28"/>
        </w:rPr>
        <w:t>Texas (TX) shows the largest IQR, indicating the most variability in transaction amounts.</w:t>
      </w:r>
    </w:p>
    <w:p w14:paraId="1E19B2A7" w14:textId="77777777" w:rsidR="00BB5CF7" w:rsidRDefault="00BB5CF7" w:rsidP="00BB5CF7">
      <w:pPr>
        <w:pStyle w:val="whitespace-normal"/>
        <w:numPr>
          <w:ilvl w:val="1"/>
          <w:numId w:val="18"/>
        </w:numPr>
        <w:rPr>
          <w:sz w:val="28"/>
          <w:szCs w:val="28"/>
        </w:rPr>
      </w:pPr>
      <w:r w:rsidRPr="00BB5CF7">
        <w:rPr>
          <w:sz w:val="28"/>
          <w:szCs w:val="28"/>
        </w:rPr>
        <w:t>Pennsylvania (PA) displays the second-largest IQR, suggesting a wide range of transaction amounts.</w:t>
      </w:r>
    </w:p>
    <w:p w14:paraId="153F6A05" w14:textId="7A93B613" w:rsidR="00BB5CF7" w:rsidRPr="00BB5CF7" w:rsidRDefault="00BB5CF7" w:rsidP="00BB5CF7">
      <w:pPr>
        <w:pStyle w:val="whitespace-normal"/>
        <w:numPr>
          <w:ilvl w:val="1"/>
          <w:numId w:val="18"/>
        </w:numPr>
        <w:rPr>
          <w:sz w:val="28"/>
          <w:szCs w:val="28"/>
        </w:rPr>
      </w:pPr>
      <w:r w:rsidRPr="00BB5CF7">
        <w:rPr>
          <w:sz w:val="28"/>
          <w:szCs w:val="28"/>
        </w:rPr>
        <w:t>Arizona (AZ) has a smaller IQR compared to the states mentioned above.</w:t>
      </w:r>
    </w:p>
    <w:p w14:paraId="5AE77500" w14:textId="77777777" w:rsidR="00BB5CF7" w:rsidRPr="00BB5CF7" w:rsidRDefault="00BB5CF7" w:rsidP="00BB5CF7">
      <w:pPr>
        <w:pStyle w:val="whitespace-normal"/>
        <w:numPr>
          <w:ilvl w:val="1"/>
          <w:numId w:val="18"/>
        </w:numPr>
        <w:rPr>
          <w:sz w:val="28"/>
          <w:szCs w:val="28"/>
        </w:rPr>
      </w:pPr>
      <w:r w:rsidRPr="00BB5CF7">
        <w:rPr>
          <w:sz w:val="28"/>
          <w:szCs w:val="28"/>
        </w:rPr>
        <w:lastRenderedPageBreak/>
        <w:t>New York (NY) and California (CA) have similar, moderately sized IQRs, smaller than TX and PA but still showing significant variability.</w:t>
      </w:r>
    </w:p>
    <w:p w14:paraId="0C69CEF5" w14:textId="66EF9052" w:rsidR="001511D4" w:rsidRPr="001511D4" w:rsidRDefault="00BB5CF7" w:rsidP="00BB5CF7">
      <w:pPr>
        <w:pStyle w:val="whitespace-normal"/>
        <w:numPr>
          <w:ilvl w:val="1"/>
          <w:numId w:val="18"/>
        </w:numPr>
        <w:rPr>
          <w:sz w:val="28"/>
          <w:szCs w:val="28"/>
        </w:rPr>
      </w:pPr>
      <w:r w:rsidRPr="00BB5CF7">
        <w:rPr>
          <w:sz w:val="28"/>
          <w:szCs w:val="28"/>
        </w:rPr>
        <w:t>Illinois (IL) shows the smallest IQR, suggesting the most consistent transaction amounts among all states.</w:t>
      </w:r>
    </w:p>
    <w:p w14:paraId="523548DF" w14:textId="704AF77B" w:rsidR="001511D4" w:rsidRPr="001511D4" w:rsidRDefault="001511D4" w:rsidP="001511D4">
      <w:pPr>
        <w:pStyle w:val="whitespace-normal"/>
        <w:numPr>
          <w:ilvl w:val="0"/>
          <w:numId w:val="24"/>
        </w:numPr>
        <w:rPr>
          <w:sz w:val="28"/>
          <w:szCs w:val="28"/>
        </w:rPr>
      </w:pPr>
      <w:r w:rsidRPr="001511D4">
        <w:rPr>
          <w:sz w:val="28"/>
          <w:szCs w:val="28"/>
        </w:rPr>
        <w:t xml:space="preserve">Whiskers and Outliers: </w:t>
      </w:r>
    </w:p>
    <w:p w14:paraId="613971DF" w14:textId="77777777" w:rsidR="001511D4" w:rsidRPr="001511D4" w:rsidRDefault="001511D4" w:rsidP="001511D4">
      <w:pPr>
        <w:pStyle w:val="whitespace-normal"/>
        <w:numPr>
          <w:ilvl w:val="1"/>
          <w:numId w:val="19"/>
        </w:numPr>
        <w:rPr>
          <w:sz w:val="28"/>
          <w:szCs w:val="28"/>
        </w:rPr>
      </w:pPr>
      <w:r w:rsidRPr="001511D4">
        <w:rPr>
          <w:sz w:val="28"/>
          <w:szCs w:val="28"/>
        </w:rPr>
        <w:t>All states show upper whiskers extending to around $7000-$8000, indicating some high-value transactions across all regions.</w:t>
      </w:r>
    </w:p>
    <w:p w14:paraId="73D25033" w14:textId="77777777" w:rsidR="001511D4" w:rsidRPr="001511D4" w:rsidRDefault="001511D4" w:rsidP="001511D4">
      <w:pPr>
        <w:pStyle w:val="whitespace-normal"/>
        <w:numPr>
          <w:ilvl w:val="1"/>
          <w:numId w:val="19"/>
        </w:numPr>
        <w:rPr>
          <w:sz w:val="28"/>
          <w:szCs w:val="28"/>
        </w:rPr>
      </w:pPr>
      <w:r w:rsidRPr="001511D4">
        <w:rPr>
          <w:sz w:val="28"/>
          <w:szCs w:val="28"/>
        </w:rPr>
        <w:t>Lower whiskers vary more, with NY and CA extending lower than other states, suggesting more small transactions in these areas.</w:t>
      </w:r>
    </w:p>
    <w:p w14:paraId="665BACB6" w14:textId="77777777" w:rsidR="001511D4" w:rsidRPr="001511D4" w:rsidRDefault="001511D4" w:rsidP="001511D4">
      <w:pPr>
        <w:pStyle w:val="whitespace-normal"/>
        <w:numPr>
          <w:ilvl w:val="1"/>
          <w:numId w:val="19"/>
        </w:numPr>
        <w:rPr>
          <w:sz w:val="28"/>
          <w:szCs w:val="28"/>
        </w:rPr>
      </w:pPr>
      <w:r w:rsidRPr="001511D4">
        <w:rPr>
          <w:sz w:val="28"/>
          <w:szCs w:val="28"/>
        </w:rPr>
        <w:t>Several outliers are visible, particularly for NY, CA, and TX, representing extremely high transaction amounts.</w:t>
      </w:r>
    </w:p>
    <w:p w14:paraId="65FDA971" w14:textId="7233054B" w:rsidR="001511D4" w:rsidRPr="001511D4" w:rsidRDefault="001511D4" w:rsidP="001511D4">
      <w:pPr>
        <w:pStyle w:val="whitespace-normal"/>
        <w:numPr>
          <w:ilvl w:val="0"/>
          <w:numId w:val="23"/>
        </w:numPr>
        <w:rPr>
          <w:sz w:val="28"/>
          <w:szCs w:val="28"/>
        </w:rPr>
      </w:pPr>
      <w:r w:rsidRPr="001511D4">
        <w:rPr>
          <w:sz w:val="28"/>
          <w:szCs w:val="28"/>
        </w:rPr>
        <w:t xml:space="preserve">Skewness: </w:t>
      </w:r>
    </w:p>
    <w:p w14:paraId="4F5A4065" w14:textId="77777777" w:rsidR="001511D4" w:rsidRPr="001511D4" w:rsidRDefault="001511D4" w:rsidP="001511D4">
      <w:pPr>
        <w:pStyle w:val="whitespace-normal"/>
        <w:numPr>
          <w:ilvl w:val="0"/>
          <w:numId w:val="20"/>
        </w:numPr>
        <w:rPr>
          <w:sz w:val="28"/>
          <w:szCs w:val="28"/>
        </w:rPr>
      </w:pPr>
      <w:r w:rsidRPr="001511D4">
        <w:rPr>
          <w:sz w:val="28"/>
          <w:szCs w:val="28"/>
        </w:rPr>
        <w:t>All distributions appear positively skewed (</w:t>
      </w:r>
      <w:proofErr w:type="gramStart"/>
      <w:r w:rsidRPr="001511D4">
        <w:rPr>
          <w:sz w:val="28"/>
          <w:szCs w:val="28"/>
        </w:rPr>
        <w:t>right-skewed</w:t>
      </w:r>
      <w:proofErr w:type="gramEnd"/>
      <w:r w:rsidRPr="001511D4">
        <w:rPr>
          <w:sz w:val="28"/>
          <w:szCs w:val="28"/>
        </w:rPr>
        <w:t>), as the upper whiskers are longer than the lower whiskers.</w:t>
      </w:r>
    </w:p>
    <w:p w14:paraId="38681C53" w14:textId="7EE6F1D3" w:rsidR="00DC7456" w:rsidRPr="00DC7456" w:rsidRDefault="00DC7456" w:rsidP="00DC7456">
      <w:pPr>
        <w:pStyle w:val="whitespace-normal"/>
        <w:numPr>
          <w:ilvl w:val="0"/>
          <w:numId w:val="3"/>
        </w:numPr>
        <w:rPr>
          <w:sz w:val="28"/>
          <w:szCs w:val="28"/>
        </w:rPr>
      </w:pPr>
      <w:r w:rsidRPr="00DC7456">
        <w:rPr>
          <w:sz w:val="28"/>
          <w:szCs w:val="28"/>
        </w:rPr>
        <w:t xml:space="preserve">Distribution by Location Type: </w:t>
      </w:r>
    </w:p>
    <w:p w14:paraId="0D136D27" w14:textId="77777777" w:rsidR="00DC7456" w:rsidRPr="00DC7456" w:rsidRDefault="00DC7456" w:rsidP="00DC7456">
      <w:pPr>
        <w:pStyle w:val="whitespace-normal"/>
        <w:numPr>
          <w:ilvl w:val="1"/>
          <w:numId w:val="3"/>
        </w:numPr>
        <w:rPr>
          <w:sz w:val="28"/>
          <w:szCs w:val="28"/>
        </w:rPr>
      </w:pPr>
      <w:r w:rsidRPr="00DC7456">
        <w:rPr>
          <w:sz w:val="28"/>
          <w:szCs w:val="28"/>
        </w:rPr>
        <w:t>Banks have the highest share of ATMs at 20.4%</w:t>
      </w:r>
    </w:p>
    <w:p w14:paraId="3D4F3235" w14:textId="77777777" w:rsidR="00DC7456" w:rsidRPr="00DC7456" w:rsidRDefault="00DC7456" w:rsidP="00DC7456">
      <w:pPr>
        <w:pStyle w:val="whitespace-normal"/>
        <w:numPr>
          <w:ilvl w:val="1"/>
          <w:numId w:val="3"/>
        </w:numPr>
        <w:rPr>
          <w:sz w:val="28"/>
          <w:szCs w:val="28"/>
        </w:rPr>
      </w:pPr>
      <w:r w:rsidRPr="00DC7456">
        <w:rPr>
          <w:sz w:val="28"/>
          <w:szCs w:val="28"/>
        </w:rPr>
        <w:t>Malls follow closely at 21.8%</w:t>
      </w:r>
    </w:p>
    <w:p w14:paraId="2245E835" w14:textId="77777777" w:rsidR="00DC7456" w:rsidRPr="00DC7456" w:rsidRDefault="00DC7456" w:rsidP="00DC7456">
      <w:pPr>
        <w:pStyle w:val="whitespace-normal"/>
        <w:numPr>
          <w:ilvl w:val="1"/>
          <w:numId w:val="3"/>
        </w:numPr>
        <w:rPr>
          <w:sz w:val="28"/>
          <w:szCs w:val="28"/>
        </w:rPr>
      </w:pPr>
      <w:r w:rsidRPr="00DC7456">
        <w:rPr>
          <w:sz w:val="28"/>
          <w:szCs w:val="28"/>
        </w:rPr>
        <w:t>Supermarkets (SM) account for 19.8%</w:t>
      </w:r>
    </w:p>
    <w:p w14:paraId="6EEA01A2" w14:textId="77777777" w:rsidR="00DC7456" w:rsidRPr="00DC7456" w:rsidRDefault="00DC7456" w:rsidP="00DC7456">
      <w:pPr>
        <w:pStyle w:val="whitespace-normal"/>
        <w:numPr>
          <w:ilvl w:val="1"/>
          <w:numId w:val="3"/>
        </w:numPr>
        <w:rPr>
          <w:sz w:val="28"/>
          <w:szCs w:val="28"/>
        </w:rPr>
      </w:pPr>
      <w:r w:rsidRPr="00DC7456">
        <w:rPr>
          <w:sz w:val="28"/>
          <w:szCs w:val="28"/>
        </w:rPr>
        <w:t>Convenience stores (CS) have 19.2%</w:t>
      </w:r>
    </w:p>
    <w:p w14:paraId="224D8F87" w14:textId="77777777" w:rsidR="00DC7456" w:rsidRPr="00DC7456" w:rsidRDefault="00DC7456" w:rsidP="00DC7456">
      <w:pPr>
        <w:pStyle w:val="whitespace-normal"/>
        <w:numPr>
          <w:ilvl w:val="1"/>
          <w:numId w:val="3"/>
        </w:numPr>
        <w:rPr>
          <w:sz w:val="28"/>
          <w:szCs w:val="28"/>
        </w:rPr>
      </w:pPr>
      <w:r w:rsidRPr="00DC7456">
        <w:rPr>
          <w:sz w:val="28"/>
          <w:szCs w:val="28"/>
        </w:rPr>
        <w:t>Gas stations have the lowest share at 18.8%</w:t>
      </w:r>
    </w:p>
    <w:p w14:paraId="1487E245" w14:textId="77777777" w:rsidR="00DC7456" w:rsidRPr="00DC7456" w:rsidRDefault="00DC7456" w:rsidP="00DC7456">
      <w:pPr>
        <w:pStyle w:val="whitespace-normal"/>
        <w:numPr>
          <w:ilvl w:val="0"/>
          <w:numId w:val="3"/>
        </w:numPr>
        <w:rPr>
          <w:sz w:val="28"/>
          <w:szCs w:val="28"/>
        </w:rPr>
      </w:pPr>
      <w:r w:rsidRPr="00DC7456">
        <w:rPr>
          <w:sz w:val="28"/>
          <w:szCs w:val="28"/>
        </w:rPr>
        <w:t xml:space="preserve">Transactions by State: </w:t>
      </w:r>
    </w:p>
    <w:p w14:paraId="3C003BB2" w14:textId="77777777" w:rsidR="00DC7456" w:rsidRPr="00DC7456" w:rsidRDefault="00DC7456" w:rsidP="00DC7456">
      <w:pPr>
        <w:pStyle w:val="whitespace-normal"/>
        <w:numPr>
          <w:ilvl w:val="1"/>
          <w:numId w:val="3"/>
        </w:numPr>
        <w:rPr>
          <w:sz w:val="28"/>
          <w:szCs w:val="28"/>
        </w:rPr>
      </w:pPr>
      <w:r w:rsidRPr="00DC7456">
        <w:rPr>
          <w:sz w:val="28"/>
          <w:szCs w:val="28"/>
        </w:rPr>
        <w:t>California (CA) has the highest number of transactions</w:t>
      </w:r>
    </w:p>
    <w:p w14:paraId="6FFEF234" w14:textId="77777777" w:rsidR="00DC7456" w:rsidRPr="00DC7456" w:rsidRDefault="00DC7456" w:rsidP="00DC7456">
      <w:pPr>
        <w:pStyle w:val="whitespace-normal"/>
        <w:numPr>
          <w:ilvl w:val="1"/>
          <w:numId w:val="3"/>
        </w:numPr>
        <w:rPr>
          <w:sz w:val="28"/>
          <w:szCs w:val="28"/>
        </w:rPr>
      </w:pPr>
      <w:r w:rsidRPr="00DC7456">
        <w:rPr>
          <w:sz w:val="28"/>
          <w:szCs w:val="28"/>
        </w:rPr>
        <w:t>Arizona (AZ) and New York (NY) follow</w:t>
      </w:r>
    </w:p>
    <w:p w14:paraId="229EAD3A" w14:textId="77777777" w:rsidR="00DC7456" w:rsidRPr="00DC7456" w:rsidRDefault="00DC7456" w:rsidP="00DC7456">
      <w:pPr>
        <w:pStyle w:val="whitespace-normal"/>
        <w:numPr>
          <w:ilvl w:val="1"/>
          <w:numId w:val="3"/>
        </w:numPr>
        <w:rPr>
          <w:sz w:val="28"/>
          <w:szCs w:val="28"/>
        </w:rPr>
      </w:pPr>
      <w:r w:rsidRPr="00DC7456">
        <w:rPr>
          <w:sz w:val="28"/>
          <w:szCs w:val="28"/>
        </w:rPr>
        <w:t>Pennsylvania (PA) and Texas (TX) have similar transaction levels</w:t>
      </w:r>
    </w:p>
    <w:p w14:paraId="3C68591F" w14:textId="77777777" w:rsidR="00DC7456" w:rsidRPr="00DC7456" w:rsidRDefault="00DC7456" w:rsidP="00DC7456">
      <w:pPr>
        <w:pStyle w:val="whitespace-normal"/>
        <w:numPr>
          <w:ilvl w:val="1"/>
          <w:numId w:val="3"/>
        </w:numPr>
        <w:rPr>
          <w:sz w:val="28"/>
          <w:szCs w:val="28"/>
        </w:rPr>
      </w:pPr>
      <w:r w:rsidRPr="00DC7456">
        <w:rPr>
          <w:sz w:val="28"/>
          <w:szCs w:val="28"/>
        </w:rPr>
        <w:t>Illinois (IL) has the lowest number of transactions</w:t>
      </w:r>
    </w:p>
    <w:p w14:paraId="0A2FC5F1" w14:textId="77777777" w:rsidR="00DC7456" w:rsidRPr="00DC7456" w:rsidRDefault="00DC7456" w:rsidP="00DC7456">
      <w:pPr>
        <w:pStyle w:val="whitespace-normal"/>
        <w:numPr>
          <w:ilvl w:val="0"/>
          <w:numId w:val="3"/>
        </w:numPr>
        <w:rPr>
          <w:sz w:val="28"/>
          <w:szCs w:val="28"/>
        </w:rPr>
      </w:pPr>
      <w:r w:rsidRPr="00DC7456">
        <w:rPr>
          <w:sz w:val="28"/>
          <w:szCs w:val="28"/>
        </w:rPr>
        <w:t xml:space="preserve">Peak Hour Analysis: </w:t>
      </w:r>
    </w:p>
    <w:p w14:paraId="65C9738F" w14:textId="77777777" w:rsidR="00DC7456" w:rsidRPr="00DC7456" w:rsidRDefault="00DC7456" w:rsidP="00DC7456">
      <w:pPr>
        <w:pStyle w:val="whitespace-normal"/>
        <w:numPr>
          <w:ilvl w:val="1"/>
          <w:numId w:val="3"/>
        </w:numPr>
        <w:rPr>
          <w:sz w:val="28"/>
          <w:szCs w:val="28"/>
        </w:rPr>
      </w:pPr>
      <w:r w:rsidRPr="00DC7456">
        <w:rPr>
          <w:sz w:val="28"/>
          <w:szCs w:val="28"/>
        </w:rPr>
        <w:t>Major peaks observed around 6-7 AM, 12-1 PM, and 5-6 PM</w:t>
      </w:r>
    </w:p>
    <w:p w14:paraId="00E779CA" w14:textId="77777777" w:rsidR="00DC7456" w:rsidRPr="00DC7456" w:rsidRDefault="00DC7456" w:rsidP="00DC7456">
      <w:pPr>
        <w:pStyle w:val="whitespace-normal"/>
        <w:numPr>
          <w:ilvl w:val="1"/>
          <w:numId w:val="3"/>
        </w:numPr>
        <w:rPr>
          <w:sz w:val="28"/>
          <w:szCs w:val="28"/>
        </w:rPr>
      </w:pPr>
      <w:r w:rsidRPr="00DC7456">
        <w:rPr>
          <w:sz w:val="28"/>
          <w:szCs w:val="28"/>
        </w:rPr>
        <w:t>Evening peak (5-6 PM) is second highest, possibly due to after-work withdrawals</w:t>
      </w:r>
    </w:p>
    <w:p w14:paraId="4B37ED42" w14:textId="77777777" w:rsidR="00DC7456" w:rsidRPr="00DC7456" w:rsidRDefault="00DC7456" w:rsidP="00DC7456">
      <w:pPr>
        <w:pStyle w:val="whitespace-normal"/>
        <w:numPr>
          <w:ilvl w:val="1"/>
          <w:numId w:val="3"/>
        </w:numPr>
        <w:rPr>
          <w:sz w:val="28"/>
          <w:szCs w:val="28"/>
        </w:rPr>
      </w:pPr>
      <w:r w:rsidRPr="00DC7456">
        <w:rPr>
          <w:sz w:val="28"/>
          <w:szCs w:val="28"/>
        </w:rPr>
        <w:t>Early morning peak suggests pre-work withdrawals</w:t>
      </w:r>
    </w:p>
    <w:p w14:paraId="3B95E3A1" w14:textId="77777777" w:rsidR="00DC7456" w:rsidRPr="00DC7456" w:rsidRDefault="00DC7456" w:rsidP="00DC7456">
      <w:pPr>
        <w:pStyle w:val="whitespace-normal"/>
        <w:numPr>
          <w:ilvl w:val="0"/>
          <w:numId w:val="3"/>
        </w:numPr>
        <w:rPr>
          <w:sz w:val="28"/>
          <w:szCs w:val="28"/>
        </w:rPr>
      </w:pPr>
      <w:r w:rsidRPr="00DC7456">
        <w:rPr>
          <w:sz w:val="28"/>
          <w:szCs w:val="28"/>
        </w:rPr>
        <w:t xml:space="preserve">Transaction Metrics: </w:t>
      </w:r>
    </w:p>
    <w:p w14:paraId="004A76F3" w14:textId="77777777" w:rsidR="00DC7456" w:rsidRPr="00DC7456" w:rsidRDefault="00DC7456" w:rsidP="00DC7456">
      <w:pPr>
        <w:pStyle w:val="whitespace-normal"/>
        <w:numPr>
          <w:ilvl w:val="1"/>
          <w:numId w:val="3"/>
        </w:numPr>
        <w:rPr>
          <w:sz w:val="28"/>
          <w:szCs w:val="28"/>
        </w:rPr>
      </w:pPr>
      <w:r w:rsidRPr="00DC7456">
        <w:rPr>
          <w:sz w:val="28"/>
          <w:szCs w:val="28"/>
        </w:rPr>
        <w:t>Average Amount: $263.09</w:t>
      </w:r>
    </w:p>
    <w:p w14:paraId="43C20B7D" w14:textId="77777777" w:rsidR="00DC7456" w:rsidRPr="00DC7456" w:rsidRDefault="00DC7456" w:rsidP="00DC7456">
      <w:pPr>
        <w:pStyle w:val="whitespace-normal"/>
        <w:numPr>
          <w:ilvl w:val="1"/>
          <w:numId w:val="3"/>
        </w:numPr>
        <w:rPr>
          <w:sz w:val="28"/>
          <w:szCs w:val="28"/>
        </w:rPr>
      </w:pPr>
      <w:r w:rsidRPr="00DC7456">
        <w:rPr>
          <w:sz w:val="28"/>
          <w:szCs w:val="28"/>
        </w:rPr>
        <w:t>Transaction Count: 283.72 (likely an average per ATM)</w:t>
      </w:r>
    </w:p>
    <w:p w14:paraId="063F91A2" w14:textId="77777777" w:rsidR="00DC7456" w:rsidRPr="00DC7456" w:rsidRDefault="00DC7456" w:rsidP="00DC7456">
      <w:pPr>
        <w:pStyle w:val="whitespace-normal"/>
        <w:numPr>
          <w:ilvl w:val="1"/>
          <w:numId w:val="3"/>
        </w:numPr>
        <w:rPr>
          <w:sz w:val="28"/>
          <w:szCs w:val="28"/>
        </w:rPr>
      </w:pPr>
      <w:r w:rsidRPr="00DC7456">
        <w:rPr>
          <w:sz w:val="28"/>
          <w:szCs w:val="28"/>
        </w:rPr>
        <w:t>Max Amount: $1,230</w:t>
      </w:r>
    </w:p>
    <w:p w14:paraId="4FC29FD5" w14:textId="77777777" w:rsidR="00DC7456" w:rsidRPr="00DC7456" w:rsidRDefault="00DC7456" w:rsidP="00DC7456">
      <w:pPr>
        <w:pStyle w:val="whitespace-normal"/>
        <w:numPr>
          <w:ilvl w:val="1"/>
          <w:numId w:val="3"/>
        </w:numPr>
        <w:rPr>
          <w:sz w:val="28"/>
          <w:szCs w:val="28"/>
        </w:rPr>
      </w:pPr>
      <w:r w:rsidRPr="00DC7456">
        <w:rPr>
          <w:sz w:val="28"/>
          <w:szCs w:val="28"/>
        </w:rPr>
        <w:t>Min Amount: $54.77</w:t>
      </w:r>
    </w:p>
    <w:p w14:paraId="787AA01E" w14:textId="77777777" w:rsidR="00DC7456" w:rsidRPr="00DC7456" w:rsidRDefault="00DC7456" w:rsidP="00DC7456">
      <w:pPr>
        <w:pStyle w:val="whitespace-normal"/>
        <w:numPr>
          <w:ilvl w:val="0"/>
          <w:numId w:val="3"/>
        </w:numPr>
        <w:rPr>
          <w:sz w:val="28"/>
          <w:szCs w:val="28"/>
        </w:rPr>
      </w:pPr>
      <w:r w:rsidRPr="00DC7456">
        <w:rPr>
          <w:sz w:val="28"/>
          <w:szCs w:val="28"/>
        </w:rPr>
        <w:t xml:space="preserve">Geographic Distribution: </w:t>
      </w:r>
    </w:p>
    <w:p w14:paraId="135D94C4" w14:textId="77777777" w:rsidR="00DC7456" w:rsidRPr="00DC7456" w:rsidRDefault="00DC7456" w:rsidP="00BB5CF7">
      <w:pPr>
        <w:pStyle w:val="whitespace-normal"/>
        <w:numPr>
          <w:ilvl w:val="1"/>
          <w:numId w:val="25"/>
        </w:numPr>
        <w:rPr>
          <w:sz w:val="28"/>
          <w:szCs w:val="28"/>
        </w:rPr>
      </w:pPr>
      <w:r w:rsidRPr="00DC7456">
        <w:rPr>
          <w:sz w:val="28"/>
          <w:szCs w:val="28"/>
        </w:rPr>
        <w:t>The map shows concentration in the eastern and western coastal areas</w:t>
      </w:r>
    </w:p>
    <w:p w14:paraId="0820CC0B" w14:textId="77777777" w:rsidR="00DC7456" w:rsidRDefault="00DC7456" w:rsidP="00BB5CF7">
      <w:pPr>
        <w:pStyle w:val="whitespace-normal"/>
        <w:numPr>
          <w:ilvl w:val="1"/>
          <w:numId w:val="25"/>
        </w:numPr>
        <w:rPr>
          <w:sz w:val="28"/>
          <w:szCs w:val="28"/>
        </w:rPr>
      </w:pPr>
      <w:r w:rsidRPr="00DC7456">
        <w:rPr>
          <w:sz w:val="28"/>
          <w:szCs w:val="28"/>
        </w:rPr>
        <w:lastRenderedPageBreak/>
        <w:t>Midwest and southern states appear to have lower ATM density</w:t>
      </w:r>
    </w:p>
    <w:p w14:paraId="36368816" w14:textId="77777777" w:rsidR="001511D4" w:rsidRDefault="001511D4" w:rsidP="001511D4">
      <w:pPr>
        <w:pStyle w:val="whitespace-normal"/>
        <w:numPr>
          <w:ilvl w:val="0"/>
          <w:numId w:val="3"/>
        </w:numPr>
        <w:rPr>
          <w:sz w:val="28"/>
          <w:szCs w:val="28"/>
        </w:rPr>
      </w:pPr>
      <w:r w:rsidRPr="001511D4">
        <w:rPr>
          <w:sz w:val="28"/>
          <w:szCs w:val="28"/>
        </w:rPr>
        <w:t xml:space="preserve">Malfunctions by State: </w:t>
      </w:r>
    </w:p>
    <w:p w14:paraId="73D827DD" w14:textId="650F82D1" w:rsidR="001511D4" w:rsidRPr="001511D4" w:rsidRDefault="001511D4" w:rsidP="001511D4">
      <w:pPr>
        <w:pStyle w:val="whitespace-normal"/>
        <w:numPr>
          <w:ilvl w:val="0"/>
          <w:numId w:val="9"/>
        </w:numPr>
        <w:rPr>
          <w:sz w:val="28"/>
          <w:szCs w:val="28"/>
        </w:rPr>
      </w:pPr>
      <w:r w:rsidRPr="001511D4">
        <w:rPr>
          <w:sz w:val="28"/>
          <w:szCs w:val="28"/>
        </w:rPr>
        <w:t>California has the highest number of malfunctions, correlating with its high transaction count</w:t>
      </w:r>
    </w:p>
    <w:p w14:paraId="467E4897" w14:textId="77777777" w:rsidR="001511D4" w:rsidRPr="001511D4" w:rsidRDefault="001511D4" w:rsidP="001511D4">
      <w:pPr>
        <w:pStyle w:val="whitespace-normal"/>
        <w:numPr>
          <w:ilvl w:val="0"/>
          <w:numId w:val="9"/>
        </w:numPr>
        <w:rPr>
          <w:sz w:val="28"/>
          <w:szCs w:val="28"/>
        </w:rPr>
      </w:pPr>
      <w:r w:rsidRPr="001511D4">
        <w:rPr>
          <w:sz w:val="28"/>
          <w:szCs w:val="28"/>
        </w:rPr>
        <w:t>Illinois has the lowest number of malfunctions</w:t>
      </w:r>
    </w:p>
    <w:p w14:paraId="75B393B5" w14:textId="232A8D4A" w:rsidR="001511D4" w:rsidRPr="001511D4" w:rsidRDefault="001511D4" w:rsidP="001511D4">
      <w:pPr>
        <w:pStyle w:val="whitespace-normal"/>
        <w:numPr>
          <w:ilvl w:val="0"/>
          <w:numId w:val="3"/>
        </w:numPr>
        <w:rPr>
          <w:sz w:val="28"/>
          <w:szCs w:val="28"/>
        </w:rPr>
      </w:pPr>
      <w:r w:rsidRPr="001511D4">
        <w:rPr>
          <w:sz w:val="28"/>
          <w:szCs w:val="28"/>
        </w:rPr>
        <w:t xml:space="preserve">Cash Refill Frequency: </w:t>
      </w:r>
    </w:p>
    <w:p w14:paraId="05367234" w14:textId="77777777" w:rsidR="001511D4" w:rsidRPr="001511D4" w:rsidRDefault="001511D4" w:rsidP="001511D4">
      <w:pPr>
        <w:pStyle w:val="whitespace-normal"/>
        <w:numPr>
          <w:ilvl w:val="0"/>
          <w:numId w:val="10"/>
        </w:numPr>
        <w:rPr>
          <w:sz w:val="28"/>
          <w:szCs w:val="28"/>
        </w:rPr>
      </w:pPr>
      <w:r w:rsidRPr="001511D4">
        <w:rPr>
          <w:sz w:val="28"/>
          <w:szCs w:val="28"/>
        </w:rPr>
        <w:t>Texas and New York seem to require more frequent cash refills</w:t>
      </w:r>
    </w:p>
    <w:p w14:paraId="14C7FAA7" w14:textId="77777777" w:rsidR="001511D4" w:rsidRPr="001511D4" w:rsidRDefault="001511D4" w:rsidP="001511D4">
      <w:pPr>
        <w:pStyle w:val="whitespace-normal"/>
        <w:numPr>
          <w:ilvl w:val="0"/>
          <w:numId w:val="10"/>
        </w:numPr>
        <w:rPr>
          <w:sz w:val="28"/>
          <w:szCs w:val="28"/>
        </w:rPr>
      </w:pPr>
      <w:r w:rsidRPr="001511D4">
        <w:rPr>
          <w:sz w:val="28"/>
          <w:szCs w:val="28"/>
        </w:rPr>
        <w:t>Illinois has the lowest cash refill frequency</w:t>
      </w:r>
    </w:p>
    <w:p w14:paraId="56E79044" w14:textId="46C2F808" w:rsidR="001511D4" w:rsidRPr="001511D4" w:rsidRDefault="001511D4" w:rsidP="001511D4">
      <w:pPr>
        <w:pStyle w:val="whitespace-normal"/>
        <w:numPr>
          <w:ilvl w:val="0"/>
          <w:numId w:val="3"/>
        </w:numPr>
        <w:rPr>
          <w:sz w:val="28"/>
          <w:szCs w:val="28"/>
        </w:rPr>
      </w:pPr>
      <w:r w:rsidRPr="001511D4">
        <w:rPr>
          <w:sz w:val="28"/>
          <w:szCs w:val="28"/>
        </w:rPr>
        <w:t xml:space="preserve">ATM Operational Metrics: </w:t>
      </w:r>
    </w:p>
    <w:p w14:paraId="0C965201" w14:textId="77777777" w:rsidR="001511D4" w:rsidRPr="001511D4" w:rsidRDefault="001511D4" w:rsidP="001511D4">
      <w:pPr>
        <w:pStyle w:val="whitespace-normal"/>
        <w:numPr>
          <w:ilvl w:val="0"/>
          <w:numId w:val="11"/>
        </w:numPr>
        <w:rPr>
          <w:sz w:val="28"/>
          <w:szCs w:val="28"/>
        </w:rPr>
      </w:pPr>
      <w:r w:rsidRPr="001511D4">
        <w:rPr>
          <w:sz w:val="28"/>
          <w:szCs w:val="28"/>
        </w:rPr>
        <w:t>Average ATM Age: 9.78 years</w:t>
      </w:r>
    </w:p>
    <w:p w14:paraId="59AA8CC3" w14:textId="77B7F398" w:rsidR="001511D4" w:rsidRPr="00B03D33" w:rsidRDefault="001511D4" w:rsidP="001511D4">
      <w:pPr>
        <w:pStyle w:val="whitespace-normal"/>
        <w:numPr>
          <w:ilvl w:val="0"/>
          <w:numId w:val="11"/>
        </w:numPr>
        <w:rPr>
          <w:sz w:val="28"/>
          <w:szCs w:val="28"/>
        </w:rPr>
      </w:pPr>
      <w:r w:rsidRPr="001511D4">
        <w:rPr>
          <w:sz w:val="28"/>
          <w:szCs w:val="28"/>
        </w:rPr>
        <w:t>Last Maintenance Date: 2024-07-22</w:t>
      </w:r>
    </w:p>
    <w:p w14:paraId="2ECC29E0" w14:textId="77777777" w:rsidR="00DC7456" w:rsidRDefault="00DC7456" w:rsidP="00DC7456">
      <w:pPr>
        <w:pStyle w:val="whitespace-pre-wrap"/>
        <w:rPr>
          <w:sz w:val="28"/>
          <w:szCs w:val="28"/>
        </w:rPr>
      </w:pPr>
      <w:r w:rsidRPr="00DC7456">
        <w:rPr>
          <w:b/>
          <w:bCs/>
          <w:sz w:val="28"/>
          <w:szCs w:val="28"/>
        </w:rPr>
        <w:t>SUMMARY OF ANALYSIS:</w:t>
      </w:r>
      <w:r w:rsidRPr="00DC7456">
        <w:rPr>
          <w:sz w:val="28"/>
          <w:szCs w:val="28"/>
        </w:rPr>
        <w:t xml:space="preserve"> </w:t>
      </w:r>
    </w:p>
    <w:p w14:paraId="5CDED504" w14:textId="3A0B3C5A" w:rsidR="00DC7456" w:rsidRDefault="00DC7456" w:rsidP="00B03D33">
      <w:pPr>
        <w:pStyle w:val="whitespace-pre-wrap"/>
        <w:rPr>
          <w:sz w:val="28"/>
          <w:szCs w:val="28"/>
        </w:rPr>
      </w:pPr>
      <w:r w:rsidRPr="00DC7456">
        <w:rPr>
          <w:sz w:val="28"/>
          <w:szCs w:val="28"/>
        </w:rPr>
        <w:t xml:space="preserve">The ATM Usage Patterns dashboard reveals significant insights into transaction </w:t>
      </w:r>
      <w:proofErr w:type="spellStart"/>
      <w:r w:rsidRPr="00DC7456">
        <w:rPr>
          <w:sz w:val="28"/>
          <w:szCs w:val="28"/>
        </w:rPr>
        <w:t>behaviors</w:t>
      </w:r>
      <w:proofErr w:type="spellEnd"/>
      <w:r w:rsidRPr="00DC7456">
        <w:rPr>
          <w:sz w:val="28"/>
          <w:szCs w:val="28"/>
        </w:rPr>
        <w:t xml:space="preserve"> and ATM distribution. Banks and malls are the most common ATM locations, suggesting high foot traffic in these areas</w:t>
      </w:r>
      <w:r w:rsidR="00B03D33">
        <w:rPr>
          <w:sz w:val="28"/>
          <w:szCs w:val="28"/>
        </w:rPr>
        <w:t>.</w:t>
      </w:r>
    </w:p>
    <w:p w14:paraId="15D61B0E" w14:textId="016C8B9B" w:rsidR="00B03D33" w:rsidRPr="00DC7456" w:rsidRDefault="00B03D33" w:rsidP="00B03D33">
      <w:pPr>
        <w:pStyle w:val="whitespace-pre-wrap"/>
        <w:rPr>
          <w:sz w:val="28"/>
          <w:szCs w:val="28"/>
        </w:rPr>
      </w:pPr>
      <w:r w:rsidRPr="00B03D33">
        <w:rPr>
          <w:sz w:val="28"/>
          <w:szCs w:val="28"/>
        </w:rPr>
        <w:t>California consistently leads in various metrics, including transaction volume and malfunctions, indicating high usage but also increased maintenance needs. The peak hour analysis reveals three main usage spikes throughout the day, which can inform staffing and maintenance schedules.</w:t>
      </w:r>
    </w:p>
    <w:p w14:paraId="6B9EE047" w14:textId="77777777" w:rsidR="00DC7456" w:rsidRPr="00DC7456" w:rsidRDefault="00DC7456" w:rsidP="00DC7456">
      <w:pPr>
        <w:pStyle w:val="whitespace-pre-wrap"/>
        <w:rPr>
          <w:sz w:val="28"/>
          <w:szCs w:val="28"/>
        </w:rPr>
      </w:pPr>
      <w:r w:rsidRPr="00DC7456">
        <w:rPr>
          <w:sz w:val="28"/>
          <w:szCs w:val="28"/>
        </w:rPr>
        <w:t>The wide range between minimum and maximum transaction amounts ($54.77 to $1,230) suggests diverse user needs, from small cash withdrawals to larger transactions.</w:t>
      </w:r>
    </w:p>
    <w:p w14:paraId="490EFE3A" w14:textId="7C34B401" w:rsidR="00DC7456" w:rsidRDefault="00DC7456" w:rsidP="00DC7456">
      <w:pPr>
        <w:pStyle w:val="whitespace-pre-wrap"/>
        <w:rPr>
          <w:sz w:val="28"/>
          <w:szCs w:val="28"/>
        </w:rPr>
      </w:pPr>
      <w:r w:rsidRPr="00DC7456">
        <w:rPr>
          <w:sz w:val="28"/>
          <w:szCs w:val="28"/>
        </w:rPr>
        <w:t>The geographic distribution highlights potential areas for ATM expansion, particularly in the Midwest and southern states where coverage appears less dense</w:t>
      </w:r>
      <w:r w:rsidR="00B03D33">
        <w:rPr>
          <w:sz w:val="28"/>
          <w:szCs w:val="28"/>
        </w:rPr>
        <w:t>.</w:t>
      </w:r>
    </w:p>
    <w:p w14:paraId="028D2798" w14:textId="77777777" w:rsidR="00B03D33" w:rsidRPr="00B03D33" w:rsidRDefault="00B03D33" w:rsidP="00B03D33">
      <w:pPr>
        <w:pStyle w:val="whitespace-pre-wrap"/>
        <w:rPr>
          <w:sz w:val="28"/>
          <w:szCs w:val="28"/>
        </w:rPr>
      </w:pPr>
      <w:r w:rsidRPr="00B03D33">
        <w:rPr>
          <w:sz w:val="28"/>
          <w:szCs w:val="28"/>
        </w:rPr>
        <w:t xml:space="preserve">The box plot reveals variations in transaction amounts across states, with California and </w:t>
      </w:r>
      <w:r>
        <w:rPr>
          <w:sz w:val="28"/>
          <w:szCs w:val="28"/>
        </w:rPr>
        <w:t xml:space="preserve">Texas </w:t>
      </w:r>
      <w:r w:rsidRPr="00B03D33">
        <w:rPr>
          <w:sz w:val="28"/>
          <w:szCs w:val="28"/>
        </w:rPr>
        <w:t>showing wider ranges. This could reflect diverse economic activities or customer bases in these states.</w:t>
      </w:r>
    </w:p>
    <w:p w14:paraId="1BCF80CE" w14:textId="77777777" w:rsidR="00B03D33" w:rsidRDefault="00B03D33" w:rsidP="00DC7456">
      <w:pPr>
        <w:pStyle w:val="whitespace-pre-wrap"/>
        <w:rPr>
          <w:sz w:val="28"/>
          <w:szCs w:val="28"/>
        </w:rPr>
      </w:pPr>
    </w:p>
    <w:p w14:paraId="3AC19F35" w14:textId="77777777" w:rsidR="00B03D33" w:rsidRPr="00B03D33" w:rsidRDefault="00B03D33" w:rsidP="00B03D33">
      <w:pPr>
        <w:pStyle w:val="whitespace-pre-wrap"/>
        <w:rPr>
          <w:sz w:val="28"/>
          <w:szCs w:val="28"/>
        </w:rPr>
      </w:pPr>
      <w:r w:rsidRPr="00B03D33">
        <w:rPr>
          <w:sz w:val="28"/>
          <w:szCs w:val="28"/>
        </w:rPr>
        <w:t xml:space="preserve">The addition of malfunction data and cash refill frequency offers insights into operational challenges. States with high transaction volumes like California and </w:t>
      </w:r>
      <w:r w:rsidRPr="00B03D33">
        <w:rPr>
          <w:sz w:val="28"/>
          <w:szCs w:val="28"/>
        </w:rPr>
        <w:lastRenderedPageBreak/>
        <w:t>New York also show higher maintenance needs, suggesting a correlation between usage and wear.</w:t>
      </w:r>
    </w:p>
    <w:p w14:paraId="310592E4" w14:textId="77777777" w:rsidR="00B03D33" w:rsidRPr="00B03D33" w:rsidRDefault="00B03D33" w:rsidP="00B03D33">
      <w:pPr>
        <w:pStyle w:val="whitespace-pre-wrap"/>
        <w:rPr>
          <w:sz w:val="28"/>
          <w:szCs w:val="28"/>
        </w:rPr>
      </w:pPr>
      <w:r w:rsidRPr="00B03D33">
        <w:rPr>
          <w:sz w:val="28"/>
          <w:szCs w:val="28"/>
        </w:rPr>
        <w:t>The average ATM age of 9.78 years and the recent maintenance date indicate an aging fleet that's being actively maintained. This could inform decisions on ATM replacement or upgrade strategies.</w:t>
      </w:r>
    </w:p>
    <w:p w14:paraId="2C282E1F" w14:textId="77777777" w:rsidR="00B03D33" w:rsidRPr="00DC7456" w:rsidRDefault="00B03D33" w:rsidP="00DC7456">
      <w:pPr>
        <w:pStyle w:val="whitespace-pre-wrap"/>
        <w:rPr>
          <w:sz w:val="28"/>
          <w:szCs w:val="28"/>
        </w:rPr>
      </w:pPr>
    </w:p>
    <w:p w14:paraId="0AD25C51" w14:textId="77777777" w:rsidR="00561F04" w:rsidRDefault="00561F04"/>
    <w:sectPr w:rsidR="00561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91CAF"/>
    <w:multiLevelType w:val="hybridMultilevel"/>
    <w:tmpl w:val="4B682EE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C1034F"/>
    <w:multiLevelType w:val="multilevel"/>
    <w:tmpl w:val="3170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70B9F"/>
    <w:multiLevelType w:val="multilevel"/>
    <w:tmpl w:val="EA24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35D71"/>
    <w:multiLevelType w:val="multilevel"/>
    <w:tmpl w:val="F432E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3434A"/>
    <w:multiLevelType w:val="hybridMultilevel"/>
    <w:tmpl w:val="58DA27C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25D7FFE"/>
    <w:multiLevelType w:val="hybridMultilevel"/>
    <w:tmpl w:val="057486D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ADC05F2"/>
    <w:multiLevelType w:val="hybridMultilevel"/>
    <w:tmpl w:val="79D2D19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1136297"/>
    <w:multiLevelType w:val="hybridMultilevel"/>
    <w:tmpl w:val="EB7A693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1233A48"/>
    <w:multiLevelType w:val="hybridMultilevel"/>
    <w:tmpl w:val="4C78E4A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7B84854"/>
    <w:multiLevelType w:val="hybridMultilevel"/>
    <w:tmpl w:val="E8B8800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BB96F07"/>
    <w:multiLevelType w:val="hybridMultilevel"/>
    <w:tmpl w:val="426220D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C58293E"/>
    <w:multiLevelType w:val="hybridMultilevel"/>
    <w:tmpl w:val="C172D98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7D3BCD"/>
    <w:multiLevelType w:val="multilevel"/>
    <w:tmpl w:val="502AB2C8"/>
    <w:lvl w:ilvl="0">
      <w:start w:val="1"/>
      <w:numFmt w:val="decimal"/>
      <w:lvlText w:val="%1."/>
      <w:lvlJc w:val="left"/>
      <w:pPr>
        <w:tabs>
          <w:tab w:val="num" w:pos="360"/>
        </w:tabs>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o"/>
      <w:lvlJc w:val="left"/>
      <w:pPr>
        <w:ind w:left="1800" w:hanging="360"/>
      </w:pPr>
      <w:rPr>
        <w:rFonts w:ascii="Courier New" w:hAnsi="Courier New" w:cs="Courier New" w:hint="default"/>
      </w:r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80071D3"/>
    <w:multiLevelType w:val="hybridMultilevel"/>
    <w:tmpl w:val="E5EC3C0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E9C02F8"/>
    <w:multiLevelType w:val="hybridMultilevel"/>
    <w:tmpl w:val="1E6C7C9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FCE5517"/>
    <w:multiLevelType w:val="multilevel"/>
    <w:tmpl w:val="3738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92005A"/>
    <w:multiLevelType w:val="multilevel"/>
    <w:tmpl w:val="1952B960"/>
    <w:lvl w:ilvl="0">
      <w:start w:val="1"/>
      <w:numFmt w:val="decimal"/>
      <w:lvlText w:val="%1."/>
      <w:lvlJc w:val="left"/>
      <w:pPr>
        <w:tabs>
          <w:tab w:val="num" w:pos="360"/>
        </w:tabs>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o"/>
      <w:lvlJc w:val="left"/>
      <w:pPr>
        <w:ind w:left="1800" w:hanging="360"/>
      </w:pPr>
      <w:rPr>
        <w:rFonts w:ascii="Courier New" w:hAnsi="Courier New" w:cs="Courier New"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5334052"/>
    <w:multiLevelType w:val="multilevel"/>
    <w:tmpl w:val="95DA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465A0"/>
    <w:multiLevelType w:val="hybridMultilevel"/>
    <w:tmpl w:val="09A8DE2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7232355"/>
    <w:multiLevelType w:val="multilevel"/>
    <w:tmpl w:val="6B04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0B35CC"/>
    <w:multiLevelType w:val="multilevel"/>
    <w:tmpl w:val="010E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4E4D9D"/>
    <w:multiLevelType w:val="multilevel"/>
    <w:tmpl w:val="8512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2F02E2"/>
    <w:multiLevelType w:val="multilevel"/>
    <w:tmpl w:val="71AE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D57199"/>
    <w:multiLevelType w:val="hybridMultilevel"/>
    <w:tmpl w:val="92FC4F1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5D41F08"/>
    <w:multiLevelType w:val="multilevel"/>
    <w:tmpl w:val="74267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9A72A4"/>
    <w:multiLevelType w:val="multilevel"/>
    <w:tmpl w:val="9E8C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E512E2"/>
    <w:multiLevelType w:val="hybridMultilevel"/>
    <w:tmpl w:val="3FCCF7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18532492">
    <w:abstractNumId w:val="2"/>
  </w:num>
  <w:num w:numId="2" w16cid:durableId="770248579">
    <w:abstractNumId w:val="24"/>
  </w:num>
  <w:num w:numId="3" w16cid:durableId="98723060">
    <w:abstractNumId w:val="12"/>
  </w:num>
  <w:num w:numId="4" w16cid:durableId="124852367">
    <w:abstractNumId w:val="3"/>
  </w:num>
  <w:num w:numId="5" w16cid:durableId="687373270">
    <w:abstractNumId w:val="21"/>
  </w:num>
  <w:num w:numId="6" w16cid:durableId="1020160118">
    <w:abstractNumId w:val="1"/>
  </w:num>
  <w:num w:numId="7" w16cid:durableId="598022506">
    <w:abstractNumId w:val="19"/>
  </w:num>
  <w:num w:numId="8" w16cid:durableId="744448349">
    <w:abstractNumId w:val="26"/>
  </w:num>
  <w:num w:numId="9" w16cid:durableId="859243948">
    <w:abstractNumId w:val="14"/>
  </w:num>
  <w:num w:numId="10" w16cid:durableId="1904632535">
    <w:abstractNumId w:val="6"/>
  </w:num>
  <w:num w:numId="11" w16cid:durableId="970746719">
    <w:abstractNumId w:val="23"/>
  </w:num>
  <w:num w:numId="12" w16cid:durableId="793712169">
    <w:abstractNumId w:val="25"/>
  </w:num>
  <w:num w:numId="13" w16cid:durableId="1223785972">
    <w:abstractNumId w:val="15"/>
  </w:num>
  <w:num w:numId="14" w16cid:durableId="389767536">
    <w:abstractNumId w:val="22"/>
  </w:num>
  <w:num w:numId="15" w16cid:durableId="186870619">
    <w:abstractNumId w:val="20"/>
  </w:num>
  <w:num w:numId="16" w16cid:durableId="1731076111">
    <w:abstractNumId w:val="17"/>
  </w:num>
  <w:num w:numId="17" w16cid:durableId="1063020111">
    <w:abstractNumId w:val="8"/>
  </w:num>
  <w:num w:numId="18" w16cid:durableId="1070157228">
    <w:abstractNumId w:val="0"/>
  </w:num>
  <w:num w:numId="19" w16cid:durableId="1937790636">
    <w:abstractNumId w:val="11"/>
  </w:num>
  <w:num w:numId="20" w16cid:durableId="1748530929">
    <w:abstractNumId w:val="18"/>
  </w:num>
  <w:num w:numId="21" w16cid:durableId="1882404251">
    <w:abstractNumId w:val="9"/>
  </w:num>
  <w:num w:numId="22" w16cid:durableId="23599716">
    <w:abstractNumId w:val="7"/>
  </w:num>
  <w:num w:numId="23" w16cid:durableId="241572425">
    <w:abstractNumId w:val="5"/>
  </w:num>
  <w:num w:numId="24" w16cid:durableId="1735080177">
    <w:abstractNumId w:val="10"/>
  </w:num>
  <w:num w:numId="25" w16cid:durableId="751119809">
    <w:abstractNumId w:val="16"/>
  </w:num>
  <w:num w:numId="26" w16cid:durableId="1066106242">
    <w:abstractNumId w:val="13"/>
  </w:num>
  <w:num w:numId="27" w16cid:durableId="15302975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56"/>
    <w:rsid w:val="001511D4"/>
    <w:rsid w:val="00561F04"/>
    <w:rsid w:val="007E3B41"/>
    <w:rsid w:val="00AB000A"/>
    <w:rsid w:val="00B03D33"/>
    <w:rsid w:val="00BB5CF7"/>
    <w:rsid w:val="00CC5C10"/>
    <w:rsid w:val="00DC7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46E66"/>
  <w15:chartTrackingRefBased/>
  <w15:docId w15:val="{9CFE77A7-A040-4687-8C89-63A86EFBF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4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4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74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4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4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4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4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4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4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4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4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74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4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74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74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4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4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456"/>
    <w:rPr>
      <w:rFonts w:eastAsiaTheme="majorEastAsia" w:cstheme="majorBidi"/>
      <w:color w:val="272727" w:themeColor="text1" w:themeTint="D8"/>
    </w:rPr>
  </w:style>
  <w:style w:type="paragraph" w:styleId="Title">
    <w:name w:val="Title"/>
    <w:basedOn w:val="Normal"/>
    <w:next w:val="Normal"/>
    <w:link w:val="TitleChar"/>
    <w:uiPriority w:val="10"/>
    <w:qFormat/>
    <w:rsid w:val="00DC74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4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4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4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456"/>
    <w:pPr>
      <w:spacing w:before="160"/>
      <w:jc w:val="center"/>
    </w:pPr>
    <w:rPr>
      <w:i/>
      <w:iCs/>
      <w:color w:val="404040" w:themeColor="text1" w:themeTint="BF"/>
    </w:rPr>
  </w:style>
  <w:style w:type="character" w:customStyle="1" w:styleId="QuoteChar">
    <w:name w:val="Quote Char"/>
    <w:basedOn w:val="DefaultParagraphFont"/>
    <w:link w:val="Quote"/>
    <w:uiPriority w:val="29"/>
    <w:rsid w:val="00DC7456"/>
    <w:rPr>
      <w:i/>
      <w:iCs/>
      <w:color w:val="404040" w:themeColor="text1" w:themeTint="BF"/>
    </w:rPr>
  </w:style>
  <w:style w:type="paragraph" w:styleId="ListParagraph">
    <w:name w:val="List Paragraph"/>
    <w:basedOn w:val="Normal"/>
    <w:uiPriority w:val="34"/>
    <w:qFormat/>
    <w:rsid w:val="00DC7456"/>
    <w:pPr>
      <w:ind w:left="720"/>
      <w:contextualSpacing/>
    </w:pPr>
  </w:style>
  <w:style w:type="character" w:styleId="IntenseEmphasis">
    <w:name w:val="Intense Emphasis"/>
    <w:basedOn w:val="DefaultParagraphFont"/>
    <w:uiPriority w:val="21"/>
    <w:qFormat/>
    <w:rsid w:val="00DC7456"/>
    <w:rPr>
      <w:i/>
      <w:iCs/>
      <w:color w:val="0F4761" w:themeColor="accent1" w:themeShade="BF"/>
    </w:rPr>
  </w:style>
  <w:style w:type="paragraph" w:styleId="IntenseQuote">
    <w:name w:val="Intense Quote"/>
    <w:basedOn w:val="Normal"/>
    <w:next w:val="Normal"/>
    <w:link w:val="IntenseQuoteChar"/>
    <w:uiPriority w:val="30"/>
    <w:qFormat/>
    <w:rsid w:val="00DC74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456"/>
    <w:rPr>
      <w:i/>
      <w:iCs/>
      <w:color w:val="0F4761" w:themeColor="accent1" w:themeShade="BF"/>
    </w:rPr>
  </w:style>
  <w:style w:type="character" w:styleId="IntenseReference">
    <w:name w:val="Intense Reference"/>
    <w:basedOn w:val="DefaultParagraphFont"/>
    <w:uiPriority w:val="32"/>
    <w:qFormat/>
    <w:rsid w:val="00DC7456"/>
    <w:rPr>
      <w:b/>
      <w:bCs/>
      <w:smallCaps/>
      <w:color w:val="0F4761" w:themeColor="accent1" w:themeShade="BF"/>
      <w:spacing w:val="5"/>
    </w:rPr>
  </w:style>
  <w:style w:type="paragraph" w:customStyle="1" w:styleId="whitespace-pre-wrap">
    <w:name w:val="whitespace-pre-wrap"/>
    <w:basedOn w:val="Normal"/>
    <w:rsid w:val="00DC74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normal">
    <w:name w:val="whitespace-normal"/>
    <w:basedOn w:val="Normal"/>
    <w:rsid w:val="00DC74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0993">
      <w:bodyDiv w:val="1"/>
      <w:marLeft w:val="0"/>
      <w:marRight w:val="0"/>
      <w:marTop w:val="0"/>
      <w:marBottom w:val="0"/>
      <w:divBdr>
        <w:top w:val="none" w:sz="0" w:space="0" w:color="auto"/>
        <w:left w:val="none" w:sz="0" w:space="0" w:color="auto"/>
        <w:bottom w:val="none" w:sz="0" w:space="0" w:color="auto"/>
        <w:right w:val="none" w:sz="0" w:space="0" w:color="auto"/>
      </w:divBdr>
    </w:div>
    <w:div w:id="61106072">
      <w:bodyDiv w:val="1"/>
      <w:marLeft w:val="0"/>
      <w:marRight w:val="0"/>
      <w:marTop w:val="0"/>
      <w:marBottom w:val="0"/>
      <w:divBdr>
        <w:top w:val="none" w:sz="0" w:space="0" w:color="auto"/>
        <w:left w:val="none" w:sz="0" w:space="0" w:color="auto"/>
        <w:bottom w:val="none" w:sz="0" w:space="0" w:color="auto"/>
        <w:right w:val="none" w:sz="0" w:space="0" w:color="auto"/>
      </w:divBdr>
    </w:div>
    <w:div w:id="142242843">
      <w:bodyDiv w:val="1"/>
      <w:marLeft w:val="0"/>
      <w:marRight w:val="0"/>
      <w:marTop w:val="0"/>
      <w:marBottom w:val="0"/>
      <w:divBdr>
        <w:top w:val="none" w:sz="0" w:space="0" w:color="auto"/>
        <w:left w:val="none" w:sz="0" w:space="0" w:color="auto"/>
        <w:bottom w:val="none" w:sz="0" w:space="0" w:color="auto"/>
        <w:right w:val="none" w:sz="0" w:space="0" w:color="auto"/>
      </w:divBdr>
    </w:div>
    <w:div w:id="414061391">
      <w:bodyDiv w:val="1"/>
      <w:marLeft w:val="0"/>
      <w:marRight w:val="0"/>
      <w:marTop w:val="0"/>
      <w:marBottom w:val="0"/>
      <w:divBdr>
        <w:top w:val="none" w:sz="0" w:space="0" w:color="auto"/>
        <w:left w:val="none" w:sz="0" w:space="0" w:color="auto"/>
        <w:bottom w:val="none" w:sz="0" w:space="0" w:color="auto"/>
        <w:right w:val="none" w:sz="0" w:space="0" w:color="auto"/>
      </w:divBdr>
    </w:div>
    <w:div w:id="513346974">
      <w:bodyDiv w:val="1"/>
      <w:marLeft w:val="0"/>
      <w:marRight w:val="0"/>
      <w:marTop w:val="0"/>
      <w:marBottom w:val="0"/>
      <w:divBdr>
        <w:top w:val="none" w:sz="0" w:space="0" w:color="auto"/>
        <w:left w:val="none" w:sz="0" w:space="0" w:color="auto"/>
        <w:bottom w:val="none" w:sz="0" w:space="0" w:color="auto"/>
        <w:right w:val="none" w:sz="0" w:space="0" w:color="auto"/>
      </w:divBdr>
    </w:div>
    <w:div w:id="559437515">
      <w:bodyDiv w:val="1"/>
      <w:marLeft w:val="0"/>
      <w:marRight w:val="0"/>
      <w:marTop w:val="0"/>
      <w:marBottom w:val="0"/>
      <w:divBdr>
        <w:top w:val="none" w:sz="0" w:space="0" w:color="auto"/>
        <w:left w:val="none" w:sz="0" w:space="0" w:color="auto"/>
        <w:bottom w:val="none" w:sz="0" w:space="0" w:color="auto"/>
        <w:right w:val="none" w:sz="0" w:space="0" w:color="auto"/>
      </w:divBdr>
    </w:div>
    <w:div w:id="609703698">
      <w:bodyDiv w:val="1"/>
      <w:marLeft w:val="0"/>
      <w:marRight w:val="0"/>
      <w:marTop w:val="0"/>
      <w:marBottom w:val="0"/>
      <w:divBdr>
        <w:top w:val="none" w:sz="0" w:space="0" w:color="auto"/>
        <w:left w:val="none" w:sz="0" w:space="0" w:color="auto"/>
        <w:bottom w:val="none" w:sz="0" w:space="0" w:color="auto"/>
        <w:right w:val="none" w:sz="0" w:space="0" w:color="auto"/>
      </w:divBdr>
    </w:div>
    <w:div w:id="659695861">
      <w:bodyDiv w:val="1"/>
      <w:marLeft w:val="0"/>
      <w:marRight w:val="0"/>
      <w:marTop w:val="0"/>
      <w:marBottom w:val="0"/>
      <w:divBdr>
        <w:top w:val="none" w:sz="0" w:space="0" w:color="auto"/>
        <w:left w:val="none" w:sz="0" w:space="0" w:color="auto"/>
        <w:bottom w:val="none" w:sz="0" w:space="0" w:color="auto"/>
        <w:right w:val="none" w:sz="0" w:space="0" w:color="auto"/>
      </w:divBdr>
    </w:div>
    <w:div w:id="846943487">
      <w:bodyDiv w:val="1"/>
      <w:marLeft w:val="0"/>
      <w:marRight w:val="0"/>
      <w:marTop w:val="0"/>
      <w:marBottom w:val="0"/>
      <w:divBdr>
        <w:top w:val="none" w:sz="0" w:space="0" w:color="auto"/>
        <w:left w:val="none" w:sz="0" w:space="0" w:color="auto"/>
        <w:bottom w:val="none" w:sz="0" w:space="0" w:color="auto"/>
        <w:right w:val="none" w:sz="0" w:space="0" w:color="auto"/>
      </w:divBdr>
    </w:div>
    <w:div w:id="916129198">
      <w:bodyDiv w:val="1"/>
      <w:marLeft w:val="0"/>
      <w:marRight w:val="0"/>
      <w:marTop w:val="0"/>
      <w:marBottom w:val="0"/>
      <w:divBdr>
        <w:top w:val="none" w:sz="0" w:space="0" w:color="auto"/>
        <w:left w:val="none" w:sz="0" w:space="0" w:color="auto"/>
        <w:bottom w:val="none" w:sz="0" w:space="0" w:color="auto"/>
        <w:right w:val="none" w:sz="0" w:space="0" w:color="auto"/>
      </w:divBdr>
    </w:div>
    <w:div w:id="929123891">
      <w:bodyDiv w:val="1"/>
      <w:marLeft w:val="0"/>
      <w:marRight w:val="0"/>
      <w:marTop w:val="0"/>
      <w:marBottom w:val="0"/>
      <w:divBdr>
        <w:top w:val="none" w:sz="0" w:space="0" w:color="auto"/>
        <w:left w:val="none" w:sz="0" w:space="0" w:color="auto"/>
        <w:bottom w:val="none" w:sz="0" w:space="0" w:color="auto"/>
        <w:right w:val="none" w:sz="0" w:space="0" w:color="auto"/>
      </w:divBdr>
    </w:div>
    <w:div w:id="944188039">
      <w:bodyDiv w:val="1"/>
      <w:marLeft w:val="0"/>
      <w:marRight w:val="0"/>
      <w:marTop w:val="0"/>
      <w:marBottom w:val="0"/>
      <w:divBdr>
        <w:top w:val="none" w:sz="0" w:space="0" w:color="auto"/>
        <w:left w:val="none" w:sz="0" w:space="0" w:color="auto"/>
        <w:bottom w:val="none" w:sz="0" w:space="0" w:color="auto"/>
        <w:right w:val="none" w:sz="0" w:space="0" w:color="auto"/>
      </w:divBdr>
    </w:div>
    <w:div w:id="946694759">
      <w:bodyDiv w:val="1"/>
      <w:marLeft w:val="0"/>
      <w:marRight w:val="0"/>
      <w:marTop w:val="0"/>
      <w:marBottom w:val="0"/>
      <w:divBdr>
        <w:top w:val="none" w:sz="0" w:space="0" w:color="auto"/>
        <w:left w:val="none" w:sz="0" w:space="0" w:color="auto"/>
        <w:bottom w:val="none" w:sz="0" w:space="0" w:color="auto"/>
        <w:right w:val="none" w:sz="0" w:space="0" w:color="auto"/>
      </w:divBdr>
    </w:div>
    <w:div w:id="995299643">
      <w:bodyDiv w:val="1"/>
      <w:marLeft w:val="0"/>
      <w:marRight w:val="0"/>
      <w:marTop w:val="0"/>
      <w:marBottom w:val="0"/>
      <w:divBdr>
        <w:top w:val="none" w:sz="0" w:space="0" w:color="auto"/>
        <w:left w:val="none" w:sz="0" w:space="0" w:color="auto"/>
        <w:bottom w:val="none" w:sz="0" w:space="0" w:color="auto"/>
        <w:right w:val="none" w:sz="0" w:space="0" w:color="auto"/>
      </w:divBdr>
    </w:div>
    <w:div w:id="1044981790">
      <w:bodyDiv w:val="1"/>
      <w:marLeft w:val="0"/>
      <w:marRight w:val="0"/>
      <w:marTop w:val="0"/>
      <w:marBottom w:val="0"/>
      <w:divBdr>
        <w:top w:val="none" w:sz="0" w:space="0" w:color="auto"/>
        <w:left w:val="none" w:sz="0" w:space="0" w:color="auto"/>
        <w:bottom w:val="none" w:sz="0" w:space="0" w:color="auto"/>
        <w:right w:val="none" w:sz="0" w:space="0" w:color="auto"/>
      </w:divBdr>
    </w:div>
    <w:div w:id="1153982616">
      <w:bodyDiv w:val="1"/>
      <w:marLeft w:val="0"/>
      <w:marRight w:val="0"/>
      <w:marTop w:val="0"/>
      <w:marBottom w:val="0"/>
      <w:divBdr>
        <w:top w:val="none" w:sz="0" w:space="0" w:color="auto"/>
        <w:left w:val="none" w:sz="0" w:space="0" w:color="auto"/>
        <w:bottom w:val="none" w:sz="0" w:space="0" w:color="auto"/>
        <w:right w:val="none" w:sz="0" w:space="0" w:color="auto"/>
      </w:divBdr>
    </w:div>
    <w:div w:id="1282030825">
      <w:bodyDiv w:val="1"/>
      <w:marLeft w:val="0"/>
      <w:marRight w:val="0"/>
      <w:marTop w:val="0"/>
      <w:marBottom w:val="0"/>
      <w:divBdr>
        <w:top w:val="none" w:sz="0" w:space="0" w:color="auto"/>
        <w:left w:val="none" w:sz="0" w:space="0" w:color="auto"/>
        <w:bottom w:val="none" w:sz="0" w:space="0" w:color="auto"/>
        <w:right w:val="none" w:sz="0" w:space="0" w:color="auto"/>
      </w:divBdr>
    </w:div>
    <w:div w:id="1383821975">
      <w:bodyDiv w:val="1"/>
      <w:marLeft w:val="0"/>
      <w:marRight w:val="0"/>
      <w:marTop w:val="0"/>
      <w:marBottom w:val="0"/>
      <w:divBdr>
        <w:top w:val="none" w:sz="0" w:space="0" w:color="auto"/>
        <w:left w:val="none" w:sz="0" w:space="0" w:color="auto"/>
        <w:bottom w:val="none" w:sz="0" w:space="0" w:color="auto"/>
        <w:right w:val="none" w:sz="0" w:space="0" w:color="auto"/>
      </w:divBdr>
    </w:div>
    <w:div w:id="1480731768">
      <w:bodyDiv w:val="1"/>
      <w:marLeft w:val="0"/>
      <w:marRight w:val="0"/>
      <w:marTop w:val="0"/>
      <w:marBottom w:val="0"/>
      <w:divBdr>
        <w:top w:val="none" w:sz="0" w:space="0" w:color="auto"/>
        <w:left w:val="none" w:sz="0" w:space="0" w:color="auto"/>
        <w:bottom w:val="none" w:sz="0" w:space="0" w:color="auto"/>
        <w:right w:val="none" w:sz="0" w:space="0" w:color="auto"/>
      </w:divBdr>
    </w:div>
    <w:div w:id="1490904444">
      <w:bodyDiv w:val="1"/>
      <w:marLeft w:val="0"/>
      <w:marRight w:val="0"/>
      <w:marTop w:val="0"/>
      <w:marBottom w:val="0"/>
      <w:divBdr>
        <w:top w:val="none" w:sz="0" w:space="0" w:color="auto"/>
        <w:left w:val="none" w:sz="0" w:space="0" w:color="auto"/>
        <w:bottom w:val="none" w:sz="0" w:space="0" w:color="auto"/>
        <w:right w:val="none" w:sz="0" w:space="0" w:color="auto"/>
      </w:divBdr>
    </w:div>
    <w:div w:id="1549489622">
      <w:bodyDiv w:val="1"/>
      <w:marLeft w:val="0"/>
      <w:marRight w:val="0"/>
      <w:marTop w:val="0"/>
      <w:marBottom w:val="0"/>
      <w:divBdr>
        <w:top w:val="none" w:sz="0" w:space="0" w:color="auto"/>
        <w:left w:val="none" w:sz="0" w:space="0" w:color="auto"/>
        <w:bottom w:val="none" w:sz="0" w:space="0" w:color="auto"/>
        <w:right w:val="none" w:sz="0" w:space="0" w:color="auto"/>
      </w:divBdr>
    </w:div>
    <w:div w:id="1586264970">
      <w:bodyDiv w:val="1"/>
      <w:marLeft w:val="0"/>
      <w:marRight w:val="0"/>
      <w:marTop w:val="0"/>
      <w:marBottom w:val="0"/>
      <w:divBdr>
        <w:top w:val="none" w:sz="0" w:space="0" w:color="auto"/>
        <w:left w:val="none" w:sz="0" w:space="0" w:color="auto"/>
        <w:bottom w:val="none" w:sz="0" w:space="0" w:color="auto"/>
        <w:right w:val="none" w:sz="0" w:space="0" w:color="auto"/>
      </w:divBdr>
    </w:div>
    <w:div w:id="1595164050">
      <w:bodyDiv w:val="1"/>
      <w:marLeft w:val="0"/>
      <w:marRight w:val="0"/>
      <w:marTop w:val="0"/>
      <w:marBottom w:val="0"/>
      <w:divBdr>
        <w:top w:val="none" w:sz="0" w:space="0" w:color="auto"/>
        <w:left w:val="none" w:sz="0" w:space="0" w:color="auto"/>
        <w:bottom w:val="none" w:sz="0" w:space="0" w:color="auto"/>
        <w:right w:val="none" w:sz="0" w:space="0" w:color="auto"/>
      </w:divBdr>
    </w:div>
    <w:div w:id="1765108239">
      <w:bodyDiv w:val="1"/>
      <w:marLeft w:val="0"/>
      <w:marRight w:val="0"/>
      <w:marTop w:val="0"/>
      <w:marBottom w:val="0"/>
      <w:divBdr>
        <w:top w:val="none" w:sz="0" w:space="0" w:color="auto"/>
        <w:left w:val="none" w:sz="0" w:space="0" w:color="auto"/>
        <w:bottom w:val="none" w:sz="0" w:space="0" w:color="auto"/>
        <w:right w:val="none" w:sz="0" w:space="0" w:color="auto"/>
      </w:divBdr>
    </w:div>
    <w:div w:id="1844856976">
      <w:bodyDiv w:val="1"/>
      <w:marLeft w:val="0"/>
      <w:marRight w:val="0"/>
      <w:marTop w:val="0"/>
      <w:marBottom w:val="0"/>
      <w:divBdr>
        <w:top w:val="none" w:sz="0" w:space="0" w:color="auto"/>
        <w:left w:val="none" w:sz="0" w:space="0" w:color="auto"/>
        <w:bottom w:val="none" w:sz="0" w:space="0" w:color="auto"/>
        <w:right w:val="none" w:sz="0" w:space="0" w:color="auto"/>
      </w:divBdr>
    </w:div>
    <w:div w:id="1896623606">
      <w:bodyDiv w:val="1"/>
      <w:marLeft w:val="0"/>
      <w:marRight w:val="0"/>
      <w:marTop w:val="0"/>
      <w:marBottom w:val="0"/>
      <w:divBdr>
        <w:top w:val="none" w:sz="0" w:space="0" w:color="auto"/>
        <w:left w:val="none" w:sz="0" w:space="0" w:color="auto"/>
        <w:bottom w:val="none" w:sz="0" w:space="0" w:color="auto"/>
        <w:right w:val="none" w:sz="0" w:space="0" w:color="auto"/>
      </w:divBdr>
    </w:div>
    <w:div w:id="1947730235">
      <w:bodyDiv w:val="1"/>
      <w:marLeft w:val="0"/>
      <w:marRight w:val="0"/>
      <w:marTop w:val="0"/>
      <w:marBottom w:val="0"/>
      <w:divBdr>
        <w:top w:val="none" w:sz="0" w:space="0" w:color="auto"/>
        <w:left w:val="none" w:sz="0" w:space="0" w:color="auto"/>
        <w:bottom w:val="none" w:sz="0" w:space="0" w:color="auto"/>
        <w:right w:val="none" w:sz="0" w:space="0" w:color="auto"/>
      </w:divBdr>
    </w:div>
    <w:div w:id="1978602520">
      <w:bodyDiv w:val="1"/>
      <w:marLeft w:val="0"/>
      <w:marRight w:val="0"/>
      <w:marTop w:val="0"/>
      <w:marBottom w:val="0"/>
      <w:divBdr>
        <w:top w:val="none" w:sz="0" w:space="0" w:color="auto"/>
        <w:left w:val="none" w:sz="0" w:space="0" w:color="auto"/>
        <w:bottom w:val="none" w:sz="0" w:space="0" w:color="auto"/>
        <w:right w:val="none" w:sz="0" w:space="0" w:color="auto"/>
      </w:divBdr>
    </w:div>
    <w:div w:id="2011787728">
      <w:bodyDiv w:val="1"/>
      <w:marLeft w:val="0"/>
      <w:marRight w:val="0"/>
      <w:marTop w:val="0"/>
      <w:marBottom w:val="0"/>
      <w:divBdr>
        <w:top w:val="none" w:sz="0" w:space="0" w:color="auto"/>
        <w:left w:val="none" w:sz="0" w:space="0" w:color="auto"/>
        <w:bottom w:val="none" w:sz="0" w:space="0" w:color="auto"/>
        <w:right w:val="none" w:sz="0" w:space="0" w:color="auto"/>
      </w:divBdr>
    </w:div>
    <w:div w:id="209285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RANCE DCRUZ</dc:creator>
  <cp:keywords/>
  <dc:description/>
  <cp:lastModifiedBy>VIVIAN RANCE DCRUZ</cp:lastModifiedBy>
  <cp:revision>2</cp:revision>
  <dcterms:created xsi:type="dcterms:W3CDTF">2024-07-25T10:40:00Z</dcterms:created>
  <dcterms:modified xsi:type="dcterms:W3CDTF">2024-07-25T10:40:00Z</dcterms:modified>
</cp:coreProperties>
</file>