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4FB2" w14:textId="77777777" w:rsidR="00914922" w:rsidRPr="00914922" w:rsidRDefault="00914922" w:rsidP="00914922">
      <w:pPr>
        <w:rPr>
          <w:b/>
          <w:bCs/>
          <w:sz w:val="28"/>
          <w:szCs w:val="28"/>
        </w:rPr>
      </w:pPr>
      <w:r w:rsidRPr="00914922">
        <w:rPr>
          <w:b/>
          <w:bCs/>
          <w:sz w:val="28"/>
          <w:szCs w:val="28"/>
        </w:rPr>
        <w:t xml:space="preserve">Retail Banks </w:t>
      </w:r>
    </w:p>
    <w:p w14:paraId="7B8727BE" w14:textId="77777777" w:rsidR="00914922" w:rsidRDefault="00914922" w:rsidP="00914922">
      <w:pPr>
        <w:rPr>
          <w:sz w:val="28"/>
          <w:szCs w:val="28"/>
        </w:rPr>
      </w:pPr>
      <w:r w:rsidRPr="00914922">
        <w:rPr>
          <w:sz w:val="28"/>
          <w:szCs w:val="28"/>
        </w:rPr>
        <w:t xml:space="preserve">Retail banks, also known as commercial banks, are the most common type of banks. They serve individuals, small businesses, and large corporations. Retail banks provide services such as checking and savings accounts, loans, credit cards, mortgages, and other financial products. They have physical branches, online banking platforms, and ATMs. The largest retail banks in the U.S. are JP Morgan Chase, Bank of America and Citi.  </w:t>
      </w:r>
    </w:p>
    <w:tbl>
      <w:tblPr>
        <w:tblW w:w="9507" w:type="dxa"/>
        <w:tblLayout w:type="fixed"/>
        <w:tblCellMar>
          <w:top w:w="15" w:type="dxa"/>
          <w:left w:w="15" w:type="dxa"/>
          <w:bottom w:w="15" w:type="dxa"/>
          <w:right w:w="15" w:type="dxa"/>
        </w:tblCellMar>
        <w:tblLook w:val="04A0" w:firstRow="1" w:lastRow="0" w:firstColumn="1" w:lastColumn="0" w:noHBand="0" w:noVBand="1"/>
      </w:tblPr>
      <w:tblGrid>
        <w:gridCol w:w="1129"/>
        <w:gridCol w:w="2257"/>
        <w:gridCol w:w="3272"/>
        <w:gridCol w:w="1556"/>
        <w:gridCol w:w="50"/>
        <w:gridCol w:w="162"/>
        <w:gridCol w:w="219"/>
        <w:gridCol w:w="68"/>
        <w:gridCol w:w="219"/>
        <w:gridCol w:w="144"/>
        <w:gridCol w:w="68"/>
        <w:gridCol w:w="219"/>
        <w:gridCol w:w="144"/>
      </w:tblGrid>
      <w:tr w:rsidR="00914922" w:rsidRPr="00914922" w14:paraId="0BF57A64" w14:textId="77777777" w:rsidTr="00914922">
        <w:trPr>
          <w:tblHeader/>
        </w:trPr>
        <w:tc>
          <w:tcPr>
            <w:tcW w:w="1129" w:type="dxa"/>
            <w:tcBorders>
              <w:top w:val="single" w:sz="4" w:space="0" w:color="auto"/>
              <w:left w:val="single" w:sz="4" w:space="0" w:color="auto"/>
              <w:bottom w:val="single" w:sz="4" w:space="0" w:color="auto"/>
              <w:right w:val="single" w:sz="4" w:space="0" w:color="auto"/>
            </w:tcBorders>
            <w:tcMar>
              <w:top w:w="48" w:type="dxa"/>
              <w:left w:w="96" w:type="dxa"/>
              <w:bottom w:w="48" w:type="dxa"/>
              <w:right w:w="315" w:type="dxa"/>
            </w:tcMar>
            <w:vAlign w:val="center"/>
            <w:hideMark/>
          </w:tcPr>
          <w:p w14:paraId="156442C6" w14:textId="77777777"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r w:rsidRPr="00914922">
              <w:rPr>
                <w:rFonts w:ascii="Arial" w:eastAsia="Times New Roman" w:hAnsi="Arial" w:cs="Arial"/>
                <w:b/>
                <w:bCs/>
                <w:color w:val="202122"/>
                <w:kern w:val="0"/>
                <w:sz w:val="21"/>
                <w:szCs w:val="21"/>
                <w:lang w:eastAsia="en-IN"/>
                <w14:ligatures w14:val="none"/>
              </w:rPr>
              <w:t>Rank</w:t>
            </w:r>
          </w:p>
        </w:tc>
        <w:tc>
          <w:tcPr>
            <w:tcW w:w="2257" w:type="dxa"/>
            <w:tcBorders>
              <w:top w:val="single" w:sz="4" w:space="0" w:color="auto"/>
              <w:left w:val="single" w:sz="4" w:space="0" w:color="auto"/>
              <w:bottom w:val="single" w:sz="4" w:space="0" w:color="auto"/>
              <w:right w:val="single" w:sz="4" w:space="0" w:color="auto"/>
            </w:tcBorders>
            <w:tcMar>
              <w:top w:w="48" w:type="dxa"/>
              <w:left w:w="96" w:type="dxa"/>
              <w:bottom w:w="48" w:type="dxa"/>
              <w:right w:w="315" w:type="dxa"/>
            </w:tcMar>
            <w:vAlign w:val="center"/>
            <w:hideMark/>
          </w:tcPr>
          <w:p w14:paraId="42627414" w14:textId="77777777"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r w:rsidRPr="00914922">
              <w:rPr>
                <w:rFonts w:ascii="Arial" w:eastAsia="Times New Roman" w:hAnsi="Arial" w:cs="Arial"/>
                <w:b/>
                <w:bCs/>
                <w:color w:val="202122"/>
                <w:kern w:val="0"/>
                <w:sz w:val="21"/>
                <w:szCs w:val="21"/>
                <w:lang w:eastAsia="en-IN"/>
                <w14:ligatures w14:val="none"/>
              </w:rPr>
              <w:t>Bank name</w:t>
            </w:r>
          </w:p>
        </w:tc>
        <w:tc>
          <w:tcPr>
            <w:tcW w:w="3272" w:type="dxa"/>
            <w:tcBorders>
              <w:top w:val="single" w:sz="4" w:space="0" w:color="auto"/>
              <w:left w:val="single" w:sz="4" w:space="0" w:color="auto"/>
              <w:bottom w:val="single" w:sz="4" w:space="0" w:color="auto"/>
              <w:right w:val="single" w:sz="4" w:space="0" w:color="auto"/>
            </w:tcBorders>
            <w:tcMar>
              <w:top w:w="48" w:type="dxa"/>
              <w:left w:w="96" w:type="dxa"/>
              <w:bottom w:w="48" w:type="dxa"/>
              <w:right w:w="315" w:type="dxa"/>
            </w:tcMar>
            <w:vAlign w:val="center"/>
            <w:hideMark/>
          </w:tcPr>
          <w:p w14:paraId="560C0E69" w14:textId="77777777"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r w:rsidRPr="00914922">
              <w:rPr>
                <w:rFonts w:ascii="Arial" w:eastAsia="Times New Roman" w:hAnsi="Arial" w:cs="Arial"/>
                <w:b/>
                <w:bCs/>
                <w:color w:val="202122"/>
                <w:kern w:val="0"/>
                <w:sz w:val="21"/>
                <w:szCs w:val="21"/>
                <w:lang w:eastAsia="en-IN"/>
                <w14:ligatures w14:val="none"/>
              </w:rPr>
              <w:t>Headquarters location</w:t>
            </w:r>
          </w:p>
        </w:tc>
        <w:tc>
          <w:tcPr>
            <w:tcW w:w="1556" w:type="dxa"/>
            <w:tcBorders>
              <w:top w:val="single" w:sz="4" w:space="0" w:color="auto"/>
              <w:left w:val="single" w:sz="4" w:space="0" w:color="auto"/>
              <w:bottom w:val="single" w:sz="4" w:space="0" w:color="auto"/>
              <w:right w:val="single" w:sz="4" w:space="0" w:color="auto"/>
            </w:tcBorders>
            <w:tcMar>
              <w:top w:w="48" w:type="dxa"/>
              <w:left w:w="96" w:type="dxa"/>
              <w:bottom w:w="48" w:type="dxa"/>
              <w:right w:w="315" w:type="dxa"/>
            </w:tcMar>
            <w:vAlign w:val="center"/>
            <w:hideMark/>
          </w:tcPr>
          <w:p w14:paraId="2791C89C" w14:textId="77777777"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r w:rsidRPr="00914922">
              <w:rPr>
                <w:rFonts w:ascii="Arial" w:eastAsia="Times New Roman" w:hAnsi="Arial" w:cs="Arial"/>
                <w:b/>
                <w:bCs/>
                <w:color w:val="202122"/>
                <w:kern w:val="0"/>
                <w:sz w:val="21"/>
                <w:szCs w:val="21"/>
                <w:lang w:eastAsia="en-IN"/>
                <w14:ligatures w14:val="none"/>
              </w:rPr>
              <w:t>Total assets</w:t>
            </w:r>
            <w:r w:rsidRPr="00914922">
              <w:rPr>
                <w:rFonts w:ascii="Arial" w:eastAsia="Times New Roman" w:hAnsi="Arial" w:cs="Arial"/>
                <w:b/>
                <w:bCs/>
                <w:color w:val="202122"/>
                <w:kern w:val="0"/>
                <w:sz w:val="21"/>
                <w:szCs w:val="21"/>
                <w:lang w:eastAsia="en-IN"/>
                <w14:ligatures w14:val="none"/>
              </w:rPr>
              <w:br/>
              <w:t>(billions of US$)</w:t>
            </w:r>
            <w:hyperlink r:id="rId4" w:anchor="cite_note-3" w:history="1">
              <w:r w:rsidRPr="00914922">
                <w:rPr>
                  <w:rFonts w:ascii="Arial" w:eastAsia="Times New Roman" w:hAnsi="Arial" w:cs="Arial"/>
                  <w:color w:val="0000FF"/>
                  <w:kern w:val="0"/>
                  <w:sz w:val="17"/>
                  <w:szCs w:val="17"/>
                  <w:u w:val="single"/>
                  <w:vertAlign w:val="superscript"/>
                  <w:lang w:eastAsia="en-IN"/>
                  <w14:ligatures w14:val="none"/>
                </w:rPr>
                <w:t>[3]</w:t>
              </w:r>
            </w:hyperlink>
          </w:p>
        </w:tc>
        <w:tc>
          <w:tcPr>
            <w:tcW w:w="431" w:type="dxa"/>
            <w:gridSpan w:val="3"/>
            <w:tcBorders>
              <w:left w:val="single" w:sz="4" w:space="0" w:color="auto"/>
            </w:tcBorders>
            <w:tcMar>
              <w:top w:w="48" w:type="dxa"/>
              <w:left w:w="96" w:type="dxa"/>
              <w:bottom w:w="48" w:type="dxa"/>
              <w:right w:w="315" w:type="dxa"/>
            </w:tcMar>
            <w:vAlign w:val="center"/>
          </w:tcPr>
          <w:p w14:paraId="1EC9C2D2" w14:textId="26EBCB3B"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p>
        </w:tc>
        <w:tc>
          <w:tcPr>
            <w:tcW w:w="431" w:type="dxa"/>
            <w:gridSpan w:val="3"/>
            <w:tcMar>
              <w:top w:w="48" w:type="dxa"/>
              <w:left w:w="96" w:type="dxa"/>
              <w:bottom w:w="48" w:type="dxa"/>
              <w:right w:w="315" w:type="dxa"/>
            </w:tcMar>
            <w:vAlign w:val="center"/>
          </w:tcPr>
          <w:p w14:paraId="3D43A3F8" w14:textId="79FE2C06"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p>
        </w:tc>
        <w:tc>
          <w:tcPr>
            <w:tcW w:w="431" w:type="dxa"/>
            <w:gridSpan w:val="3"/>
            <w:tcMar>
              <w:top w:w="48" w:type="dxa"/>
              <w:left w:w="96" w:type="dxa"/>
              <w:bottom w:w="48" w:type="dxa"/>
              <w:right w:w="315" w:type="dxa"/>
            </w:tcMar>
            <w:vAlign w:val="center"/>
          </w:tcPr>
          <w:p w14:paraId="66F624FA" w14:textId="0452DD3D" w:rsidR="00914922" w:rsidRPr="00914922" w:rsidRDefault="00914922" w:rsidP="00914922">
            <w:pPr>
              <w:spacing w:before="240" w:after="240" w:line="240" w:lineRule="auto"/>
              <w:jc w:val="center"/>
              <w:rPr>
                <w:rFonts w:ascii="Arial" w:eastAsia="Times New Roman" w:hAnsi="Arial" w:cs="Arial"/>
                <w:b/>
                <w:bCs/>
                <w:color w:val="202122"/>
                <w:kern w:val="0"/>
                <w:sz w:val="21"/>
                <w:szCs w:val="21"/>
                <w:lang w:eastAsia="en-IN"/>
                <w14:ligatures w14:val="none"/>
              </w:rPr>
            </w:pPr>
          </w:p>
        </w:tc>
      </w:tr>
      <w:tr w:rsidR="00914922" w:rsidRPr="00914922" w14:paraId="0F4DDBF4" w14:textId="77777777" w:rsidTr="00914922">
        <w:trPr>
          <w:gridAfter w:val="1"/>
          <w:wAfter w:w="144" w:type="dxa"/>
        </w:trPr>
        <w:tc>
          <w:tcPr>
            <w:tcW w:w="112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365138F"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1</w:t>
            </w:r>
          </w:p>
        </w:tc>
        <w:tc>
          <w:tcPr>
            <w:tcW w:w="225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AC4EDC"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5" w:tooltip="JPMorgan Chase" w:history="1">
              <w:r w:rsidRPr="00914922">
                <w:rPr>
                  <w:rFonts w:ascii="Arial" w:eastAsia="Times New Roman" w:hAnsi="Arial" w:cs="Arial"/>
                  <w:kern w:val="0"/>
                  <w:sz w:val="21"/>
                  <w:szCs w:val="21"/>
                  <w:u w:val="single"/>
                  <w:lang w:eastAsia="en-IN"/>
                  <w14:ligatures w14:val="none"/>
                </w:rPr>
                <w:t>JPMorgan Chase</w:t>
              </w:r>
            </w:hyperlink>
          </w:p>
        </w:tc>
        <w:tc>
          <w:tcPr>
            <w:tcW w:w="3272"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85A15B3"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6" w:tooltip="New York City" w:history="1">
              <w:r w:rsidRPr="00914922">
                <w:rPr>
                  <w:rFonts w:ascii="Arial" w:eastAsia="Times New Roman" w:hAnsi="Arial" w:cs="Arial"/>
                  <w:kern w:val="0"/>
                  <w:sz w:val="21"/>
                  <w:szCs w:val="21"/>
                  <w:u w:val="single"/>
                  <w:lang w:eastAsia="en-IN"/>
                  <w14:ligatures w14:val="none"/>
                </w:rPr>
                <w:t>New York City</w:t>
              </w:r>
            </w:hyperlink>
          </w:p>
        </w:tc>
        <w:tc>
          <w:tcPr>
            <w:tcW w:w="1556"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2FF74AD"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$3,874</w:t>
            </w:r>
          </w:p>
        </w:tc>
        <w:tc>
          <w:tcPr>
            <w:tcW w:w="212" w:type="dxa"/>
            <w:gridSpan w:val="2"/>
            <w:tcBorders>
              <w:left w:val="single" w:sz="4" w:space="0" w:color="auto"/>
            </w:tcBorders>
            <w:tcMar>
              <w:top w:w="48" w:type="dxa"/>
              <w:left w:w="96" w:type="dxa"/>
              <w:bottom w:w="48" w:type="dxa"/>
              <w:right w:w="96" w:type="dxa"/>
            </w:tcMar>
            <w:vAlign w:val="center"/>
          </w:tcPr>
          <w:p w14:paraId="7D2C0C53" w14:textId="71DB3CA3"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506" w:type="dxa"/>
            <w:gridSpan w:val="3"/>
            <w:tcMar>
              <w:top w:w="48" w:type="dxa"/>
              <w:left w:w="96" w:type="dxa"/>
              <w:bottom w:w="48" w:type="dxa"/>
              <w:right w:w="96" w:type="dxa"/>
            </w:tcMar>
            <w:vAlign w:val="center"/>
          </w:tcPr>
          <w:p w14:paraId="1DE1D98B" w14:textId="41519559"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431" w:type="dxa"/>
            <w:gridSpan w:val="3"/>
            <w:tcMar>
              <w:top w:w="48" w:type="dxa"/>
              <w:left w:w="96" w:type="dxa"/>
              <w:bottom w:w="48" w:type="dxa"/>
              <w:right w:w="96" w:type="dxa"/>
            </w:tcMar>
            <w:vAlign w:val="center"/>
          </w:tcPr>
          <w:p w14:paraId="7C637A0A" w14:textId="3EE06363"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r>
      <w:tr w:rsidR="00914922" w:rsidRPr="00914922" w14:paraId="038AD491" w14:textId="77777777" w:rsidTr="00914922">
        <w:trPr>
          <w:gridAfter w:val="1"/>
          <w:wAfter w:w="144" w:type="dxa"/>
        </w:trPr>
        <w:tc>
          <w:tcPr>
            <w:tcW w:w="112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8FBDF1B"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2</w:t>
            </w:r>
          </w:p>
        </w:tc>
        <w:tc>
          <w:tcPr>
            <w:tcW w:w="225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1AAE2E1"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7" w:tooltip="Bank of America" w:history="1">
              <w:r w:rsidRPr="00914922">
                <w:rPr>
                  <w:rFonts w:ascii="Arial" w:eastAsia="Times New Roman" w:hAnsi="Arial" w:cs="Arial"/>
                  <w:kern w:val="0"/>
                  <w:sz w:val="21"/>
                  <w:szCs w:val="21"/>
                  <w:u w:val="single"/>
                  <w:lang w:eastAsia="en-IN"/>
                  <w14:ligatures w14:val="none"/>
                </w:rPr>
                <w:t>Bank of America</w:t>
              </w:r>
            </w:hyperlink>
          </w:p>
        </w:tc>
        <w:tc>
          <w:tcPr>
            <w:tcW w:w="3272"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3CEA3F0"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8" w:tooltip="Charlotte, North Carolina" w:history="1">
              <w:r w:rsidRPr="00914922">
                <w:rPr>
                  <w:rFonts w:ascii="Arial" w:eastAsia="Times New Roman" w:hAnsi="Arial" w:cs="Arial"/>
                  <w:kern w:val="0"/>
                  <w:sz w:val="21"/>
                  <w:szCs w:val="21"/>
                  <w:u w:val="single"/>
                  <w:lang w:eastAsia="en-IN"/>
                  <w14:ligatures w14:val="none"/>
                </w:rPr>
                <w:t>Charlotte, North Carolina</w:t>
              </w:r>
            </w:hyperlink>
          </w:p>
        </w:tc>
        <w:tc>
          <w:tcPr>
            <w:tcW w:w="1556"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973EBA1"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$3,181</w:t>
            </w:r>
          </w:p>
        </w:tc>
        <w:tc>
          <w:tcPr>
            <w:tcW w:w="212" w:type="dxa"/>
            <w:gridSpan w:val="2"/>
            <w:tcBorders>
              <w:left w:val="single" w:sz="4" w:space="0" w:color="auto"/>
            </w:tcBorders>
            <w:tcMar>
              <w:top w:w="48" w:type="dxa"/>
              <w:left w:w="96" w:type="dxa"/>
              <w:bottom w:w="48" w:type="dxa"/>
              <w:right w:w="96" w:type="dxa"/>
            </w:tcMar>
            <w:vAlign w:val="center"/>
          </w:tcPr>
          <w:p w14:paraId="5F23573A" w14:textId="567659E7"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506" w:type="dxa"/>
            <w:gridSpan w:val="3"/>
            <w:tcMar>
              <w:top w:w="48" w:type="dxa"/>
              <w:left w:w="96" w:type="dxa"/>
              <w:bottom w:w="48" w:type="dxa"/>
              <w:right w:w="96" w:type="dxa"/>
            </w:tcMar>
            <w:vAlign w:val="center"/>
          </w:tcPr>
          <w:p w14:paraId="69D640CE" w14:textId="0A6B6E62"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431" w:type="dxa"/>
            <w:gridSpan w:val="3"/>
            <w:tcMar>
              <w:top w:w="48" w:type="dxa"/>
              <w:left w:w="96" w:type="dxa"/>
              <w:bottom w:w="48" w:type="dxa"/>
              <w:right w:w="96" w:type="dxa"/>
            </w:tcMar>
            <w:vAlign w:val="center"/>
          </w:tcPr>
          <w:p w14:paraId="5B811EE3" w14:textId="02B23A18"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r>
      <w:tr w:rsidR="00914922" w:rsidRPr="00914922" w14:paraId="6084F606" w14:textId="77777777" w:rsidTr="00914922">
        <w:trPr>
          <w:gridAfter w:val="1"/>
          <w:wAfter w:w="144" w:type="dxa"/>
        </w:trPr>
        <w:tc>
          <w:tcPr>
            <w:tcW w:w="112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00979F3"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3</w:t>
            </w:r>
          </w:p>
        </w:tc>
        <w:tc>
          <w:tcPr>
            <w:tcW w:w="225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6980665"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9" w:tooltip="Citigroup" w:history="1">
              <w:r w:rsidRPr="00914922">
                <w:rPr>
                  <w:rFonts w:ascii="Arial" w:eastAsia="Times New Roman" w:hAnsi="Arial" w:cs="Arial"/>
                  <w:kern w:val="0"/>
                  <w:sz w:val="21"/>
                  <w:szCs w:val="21"/>
                  <w:u w:val="single"/>
                  <w:lang w:eastAsia="en-IN"/>
                  <w14:ligatures w14:val="none"/>
                </w:rPr>
                <w:t>Citigroup</w:t>
              </w:r>
            </w:hyperlink>
          </w:p>
        </w:tc>
        <w:tc>
          <w:tcPr>
            <w:tcW w:w="3272"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39FD21"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10" w:tooltip="New York City" w:history="1">
              <w:r w:rsidRPr="00914922">
                <w:rPr>
                  <w:rFonts w:ascii="Arial" w:eastAsia="Times New Roman" w:hAnsi="Arial" w:cs="Arial"/>
                  <w:kern w:val="0"/>
                  <w:sz w:val="21"/>
                  <w:szCs w:val="21"/>
                  <w:u w:val="single"/>
                  <w:lang w:eastAsia="en-IN"/>
                  <w14:ligatures w14:val="none"/>
                </w:rPr>
                <w:t>New York City</w:t>
              </w:r>
            </w:hyperlink>
          </w:p>
        </w:tc>
        <w:tc>
          <w:tcPr>
            <w:tcW w:w="1556"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B0911A"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$2,412</w:t>
            </w:r>
          </w:p>
        </w:tc>
        <w:tc>
          <w:tcPr>
            <w:tcW w:w="212" w:type="dxa"/>
            <w:gridSpan w:val="2"/>
            <w:tcBorders>
              <w:left w:val="single" w:sz="4" w:space="0" w:color="auto"/>
            </w:tcBorders>
            <w:tcMar>
              <w:top w:w="48" w:type="dxa"/>
              <w:left w:w="96" w:type="dxa"/>
              <w:bottom w:w="48" w:type="dxa"/>
              <w:right w:w="96" w:type="dxa"/>
            </w:tcMar>
            <w:vAlign w:val="center"/>
          </w:tcPr>
          <w:p w14:paraId="28BB9058" w14:textId="2C7F2678"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506" w:type="dxa"/>
            <w:gridSpan w:val="3"/>
            <w:tcMar>
              <w:top w:w="48" w:type="dxa"/>
              <w:left w:w="96" w:type="dxa"/>
              <w:bottom w:w="48" w:type="dxa"/>
              <w:right w:w="96" w:type="dxa"/>
            </w:tcMar>
            <w:vAlign w:val="center"/>
          </w:tcPr>
          <w:p w14:paraId="3E9D5803" w14:textId="32E8EAA9"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431" w:type="dxa"/>
            <w:gridSpan w:val="3"/>
            <w:tcMar>
              <w:top w:w="48" w:type="dxa"/>
              <w:left w:w="96" w:type="dxa"/>
              <w:bottom w:w="48" w:type="dxa"/>
              <w:right w:w="96" w:type="dxa"/>
            </w:tcMar>
            <w:vAlign w:val="center"/>
          </w:tcPr>
          <w:p w14:paraId="35462EFA" w14:textId="1563DB83"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r>
      <w:tr w:rsidR="00914922" w:rsidRPr="00914922" w14:paraId="13C5F455" w14:textId="77777777" w:rsidTr="00914922">
        <w:trPr>
          <w:gridAfter w:val="1"/>
          <w:wAfter w:w="144" w:type="dxa"/>
        </w:trPr>
        <w:tc>
          <w:tcPr>
            <w:tcW w:w="112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7DF2FC6"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4</w:t>
            </w:r>
          </w:p>
        </w:tc>
        <w:tc>
          <w:tcPr>
            <w:tcW w:w="225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38B8D6"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11" w:tooltip="Wells Fargo" w:history="1">
              <w:r w:rsidRPr="00914922">
                <w:rPr>
                  <w:rFonts w:ascii="Arial" w:eastAsia="Times New Roman" w:hAnsi="Arial" w:cs="Arial"/>
                  <w:kern w:val="0"/>
                  <w:sz w:val="21"/>
                  <w:szCs w:val="21"/>
                  <w:u w:val="single"/>
                  <w:lang w:eastAsia="en-IN"/>
                  <w14:ligatures w14:val="none"/>
                </w:rPr>
                <w:t>Wells Fargo</w:t>
              </w:r>
            </w:hyperlink>
          </w:p>
        </w:tc>
        <w:tc>
          <w:tcPr>
            <w:tcW w:w="3272"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317D7E3"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12" w:tooltip="San Francisco, California" w:history="1">
              <w:r w:rsidRPr="00914922">
                <w:rPr>
                  <w:rFonts w:ascii="Arial" w:eastAsia="Times New Roman" w:hAnsi="Arial" w:cs="Arial"/>
                  <w:kern w:val="0"/>
                  <w:sz w:val="21"/>
                  <w:szCs w:val="21"/>
                  <w:u w:val="single"/>
                  <w:lang w:eastAsia="en-IN"/>
                  <w14:ligatures w14:val="none"/>
                </w:rPr>
                <w:t>San Francisco, California</w:t>
              </w:r>
            </w:hyperlink>
          </w:p>
        </w:tc>
        <w:tc>
          <w:tcPr>
            <w:tcW w:w="1556"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4C1F9E8"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$1,932</w:t>
            </w:r>
          </w:p>
        </w:tc>
        <w:tc>
          <w:tcPr>
            <w:tcW w:w="212" w:type="dxa"/>
            <w:gridSpan w:val="2"/>
            <w:tcBorders>
              <w:left w:val="single" w:sz="4" w:space="0" w:color="auto"/>
            </w:tcBorders>
            <w:tcMar>
              <w:top w:w="48" w:type="dxa"/>
              <w:left w:w="96" w:type="dxa"/>
              <w:bottom w:w="48" w:type="dxa"/>
              <w:right w:w="96" w:type="dxa"/>
            </w:tcMar>
            <w:vAlign w:val="center"/>
          </w:tcPr>
          <w:p w14:paraId="109CF5FA" w14:textId="4E23600C"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506" w:type="dxa"/>
            <w:gridSpan w:val="3"/>
            <w:tcMar>
              <w:top w:w="48" w:type="dxa"/>
              <w:left w:w="96" w:type="dxa"/>
              <w:bottom w:w="48" w:type="dxa"/>
              <w:right w:w="96" w:type="dxa"/>
            </w:tcMar>
            <w:vAlign w:val="center"/>
          </w:tcPr>
          <w:p w14:paraId="7095303D" w14:textId="2F2589C7"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c>
          <w:tcPr>
            <w:tcW w:w="431" w:type="dxa"/>
            <w:gridSpan w:val="3"/>
            <w:tcMar>
              <w:top w:w="48" w:type="dxa"/>
              <w:left w:w="96" w:type="dxa"/>
              <w:bottom w:w="48" w:type="dxa"/>
              <w:right w:w="96" w:type="dxa"/>
            </w:tcMar>
            <w:vAlign w:val="center"/>
          </w:tcPr>
          <w:p w14:paraId="26688BBF" w14:textId="24F3919A" w:rsidR="00914922" w:rsidRPr="00914922" w:rsidRDefault="00914922" w:rsidP="00914922">
            <w:pPr>
              <w:spacing w:before="240" w:after="240" w:line="240" w:lineRule="auto"/>
              <w:rPr>
                <w:rFonts w:ascii="Arial" w:eastAsia="Times New Roman" w:hAnsi="Arial" w:cs="Arial"/>
                <w:color w:val="202122"/>
                <w:kern w:val="0"/>
                <w:sz w:val="21"/>
                <w:szCs w:val="21"/>
                <w:lang w:eastAsia="en-IN"/>
                <w14:ligatures w14:val="none"/>
              </w:rPr>
            </w:pPr>
          </w:p>
        </w:tc>
      </w:tr>
      <w:tr w:rsidR="00914922" w:rsidRPr="00914922" w14:paraId="4648236A" w14:textId="77777777" w:rsidTr="00914922">
        <w:trPr>
          <w:gridAfter w:val="2"/>
          <w:wAfter w:w="363" w:type="dxa"/>
          <w:trHeight w:val="598"/>
        </w:trPr>
        <w:tc>
          <w:tcPr>
            <w:tcW w:w="112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C3B2178"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5</w:t>
            </w:r>
          </w:p>
        </w:tc>
        <w:tc>
          <w:tcPr>
            <w:tcW w:w="225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37FC218"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13" w:tooltip="Goldman Sachs" w:history="1">
              <w:r w:rsidRPr="00914922">
                <w:rPr>
                  <w:rFonts w:ascii="Arial" w:eastAsia="Times New Roman" w:hAnsi="Arial" w:cs="Arial"/>
                  <w:kern w:val="0"/>
                  <w:sz w:val="21"/>
                  <w:szCs w:val="21"/>
                  <w:u w:val="single"/>
                  <w:lang w:eastAsia="en-IN"/>
                  <w14:ligatures w14:val="none"/>
                </w:rPr>
                <w:t>Goldman Sachs</w:t>
              </w:r>
            </w:hyperlink>
          </w:p>
        </w:tc>
        <w:tc>
          <w:tcPr>
            <w:tcW w:w="3272"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7461A31"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hyperlink r:id="rId14" w:tooltip="New York City" w:history="1">
              <w:r w:rsidRPr="00914922">
                <w:rPr>
                  <w:rFonts w:ascii="Arial" w:eastAsia="Times New Roman" w:hAnsi="Arial" w:cs="Arial"/>
                  <w:kern w:val="0"/>
                  <w:sz w:val="21"/>
                  <w:szCs w:val="21"/>
                  <w:u w:val="single"/>
                  <w:lang w:eastAsia="en-IN"/>
                  <w14:ligatures w14:val="none"/>
                </w:rPr>
                <w:t>New York City</w:t>
              </w:r>
            </w:hyperlink>
          </w:p>
        </w:tc>
        <w:tc>
          <w:tcPr>
            <w:tcW w:w="1556"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7678CDD" w14:textId="77777777" w:rsidR="00914922" w:rsidRPr="00914922" w:rsidRDefault="00914922" w:rsidP="00914922">
            <w:pPr>
              <w:spacing w:before="240" w:after="240" w:line="240" w:lineRule="auto"/>
              <w:rPr>
                <w:rFonts w:ascii="Arial" w:eastAsia="Times New Roman" w:hAnsi="Arial" w:cs="Arial"/>
                <w:kern w:val="0"/>
                <w:sz w:val="21"/>
                <w:szCs w:val="21"/>
                <w:lang w:eastAsia="en-IN"/>
                <w14:ligatures w14:val="none"/>
              </w:rPr>
            </w:pPr>
            <w:r w:rsidRPr="00914922">
              <w:rPr>
                <w:rFonts w:ascii="Arial" w:eastAsia="Times New Roman" w:hAnsi="Arial" w:cs="Arial"/>
                <w:kern w:val="0"/>
                <w:sz w:val="21"/>
                <w:szCs w:val="21"/>
                <w:lang w:eastAsia="en-IN"/>
                <w14:ligatures w14:val="none"/>
              </w:rPr>
              <w:t>$1,642</w:t>
            </w:r>
          </w:p>
        </w:tc>
        <w:tc>
          <w:tcPr>
            <w:tcW w:w="50" w:type="dxa"/>
            <w:tcBorders>
              <w:left w:val="single" w:sz="4" w:space="0" w:color="auto"/>
            </w:tcBorders>
            <w:vAlign w:val="center"/>
          </w:tcPr>
          <w:p w14:paraId="4A93C391" w14:textId="77777777" w:rsidR="00914922" w:rsidRPr="00914922" w:rsidRDefault="00914922" w:rsidP="00914922">
            <w:pPr>
              <w:spacing w:before="240" w:after="240" w:line="240" w:lineRule="auto"/>
              <w:rPr>
                <w:rFonts w:ascii="Times New Roman" w:eastAsia="Times New Roman" w:hAnsi="Times New Roman" w:cs="Times New Roman"/>
                <w:kern w:val="0"/>
                <w:sz w:val="20"/>
                <w:szCs w:val="20"/>
                <w:lang w:eastAsia="en-IN"/>
                <w14:ligatures w14:val="none"/>
              </w:rPr>
            </w:pPr>
          </w:p>
        </w:tc>
        <w:tc>
          <w:tcPr>
            <w:tcW w:w="449" w:type="dxa"/>
            <w:gridSpan w:val="3"/>
            <w:vAlign w:val="center"/>
          </w:tcPr>
          <w:p w14:paraId="21C25DE1" w14:textId="77777777" w:rsidR="00914922" w:rsidRPr="00914922" w:rsidRDefault="00914922" w:rsidP="00914922">
            <w:pPr>
              <w:spacing w:before="240" w:after="240" w:line="240" w:lineRule="auto"/>
              <w:rPr>
                <w:rFonts w:ascii="Times New Roman" w:eastAsia="Times New Roman" w:hAnsi="Times New Roman" w:cs="Times New Roman"/>
                <w:kern w:val="0"/>
                <w:sz w:val="20"/>
                <w:szCs w:val="20"/>
                <w:lang w:eastAsia="en-IN"/>
                <w14:ligatures w14:val="none"/>
              </w:rPr>
            </w:pPr>
          </w:p>
        </w:tc>
        <w:tc>
          <w:tcPr>
            <w:tcW w:w="431" w:type="dxa"/>
            <w:gridSpan w:val="3"/>
            <w:vAlign w:val="center"/>
          </w:tcPr>
          <w:p w14:paraId="3898502A" w14:textId="77777777" w:rsidR="00914922" w:rsidRPr="00914922" w:rsidRDefault="00914922" w:rsidP="00914922">
            <w:pPr>
              <w:spacing w:before="240" w:after="240" w:line="240" w:lineRule="auto"/>
              <w:rPr>
                <w:rFonts w:ascii="Times New Roman" w:eastAsia="Times New Roman" w:hAnsi="Times New Roman" w:cs="Times New Roman"/>
                <w:kern w:val="0"/>
                <w:sz w:val="20"/>
                <w:szCs w:val="20"/>
                <w:lang w:eastAsia="en-IN"/>
                <w14:ligatures w14:val="none"/>
              </w:rPr>
            </w:pPr>
          </w:p>
        </w:tc>
      </w:tr>
    </w:tbl>
    <w:p w14:paraId="122CAFF4" w14:textId="77777777" w:rsidR="00914922" w:rsidRPr="00914922" w:rsidRDefault="00914922" w:rsidP="00914922">
      <w:pPr>
        <w:rPr>
          <w:sz w:val="28"/>
          <w:szCs w:val="28"/>
        </w:rPr>
      </w:pPr>
    </w:p>
    <w:p w14:paraId="0B0C9A30" w14:textId="77777777" w:rsidR="00914922" w:rsidRPr="00914922" w:rsidRDefault="00914922" w:rsidP="00914922">
      <w:pPr>
        <w:rPr>
          <w:sz w:val="28"/>
          <w:szCs w:val="28"/>
        </w:rPr>
      </w:pPr>
    </w:p>
    <w:p w14:paraId="7D83E825" w14:textId="77777777" w:rsidR="00914922" w:rsidRPr="00914922" w:rsidRDefault="00914922" w:rsidP="00914922">
      <w:pPr>
        <w:rPr>
          <w:b/>
          <w:bCs/>
          <w:sz w:val="28"/>
          <w:szCs w:val="28"/>
        </w:rPr>
      </w:pPr>
      <w:r w:rsidRPr="00914922">
        <w:rPr>
          <w:b/>
          <w:bCs/>
          <w:sz w:val="28"/>
          <w:szCs w:val="28"/>
        </w:rPr>
        <w:t xml:space="preserve">Credit Unions </w:t>
      </w:r>
    </w:p>
    <w:p w14:paraId="486DC2EF" w14:textId="77777777" w:rsidR="00914922" w:rsidRDefault="00914922" w:rsidP="00914922">
      <w:pPr>
        <w:rPr>
          <w:sz w:val="28"/>
          <w:szCs w:val="28"/>
        </w:rPr>
      </w:pPr>
      <w:r w:rsidRPr="00914922">
        <w:rPr>
          <w:sz w:val="28"/>
          <w:szCs w:val="28"/>
        </w:rPr>
        <w:t xml:space="preserve">Credit unions are not-for-profit financial cooperatives owned and operated by their members. They serve specific communities, such as employees of a certain company, members of an organization, or residents of a particular geographic area. Credit unions offer similar services to retail banks, including savings accounts, loans, and other financial products. They often provide more personalized service and may offer lower fees and higher interest rates on savings accounts. </w:t>
      </w:r>
    </w:p>
    <w:p w14:paraId="48C57121" w14:textId="77777777" w:rsidR="00914922" w:rsidRDefault="00914922" w:rsidP="00914922">
      <w:pPr>
        <w:rPr>
          <w:sz w:val="28"/>
          <w:szCs w:val="28"/>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3"/>
        <w:gridCol w:w="5838"/>
        <w:gridCol w:w="2759"/>
      </w:tblGrid>
      <w:tr w:rsidR="00914922" w:rsidRPr="00914922" w14:paraId="537BE1FE" w14:textId="77777777" w:rsidTr="00914922">
        <w:trPr>
          <w:trHeight w:val="390"/>
        </w:trPr>
        <w:tc>
          <w:tcPr>
            <w:tcW w:w="0" w:type="auto"/>
            <w:shd w:val="clear" w:color="auto" w:fill="FFFFFF"/>
            <w:tcMar>
              <w:top w:w="120" w:type="dxa"/>
              <w:left w:w="0" w:type="dxa"/>
              <w:bottom w:w="120" w:type="dxa"/>
              <w:right w:w="150" w:type="dxa"/>
            </w:tcMar>
            <w:hideMark/>
          </w:tcPr>
          <w:p w14:paraId="37E61E65" w14:textId="77777777" w:rsidR="00914922" w:rsidRPr="00914922" w:rsidRDefault="00914922" w:rsidP="00914922">
            <w:pPr>
              <w:spacing w:after="0" w:line="240" w:lineRule="auto"/>
              <w:rPr>
                <w:rFonts w:ascii="Arial" w:eastAsia="Times New Roman" w:hAnsi="Arial" w:cs="Arial"/>
                <w:b/>
                <w:bCs/>
                <w:color w:val="202124"/>
                <w:kern w:val="0"/>
                <w:sz w:val="21"/>
                <w:szCs w:val="21"/>
                <w:lang w:eastAsia="en-IN"/>
                <w14:ligatures w14:val="none"/>
              </w:rPr>
            </w:pPr>
            <w:r w:rsidRPr="00914922">
              <w:rPr>
                <w:rFonts w:ascii="Arial" w:eastAsia="Times New Roman" w:hAnsi="Arial" w:cs="Arial"/>
                <w:b/>
                <w:bCs/>
                <w:color w:val="202124"/>
                <w:kern w:val="0"/>
                <w:sz w:val="21"/>
                <w:szCs w:val="21"/>
                <w:lang w:eastAsia="en-IN"/>
                <w14:ligatures w14:val="none"/>
              </w:rPr>
              <w:lastRenderedPageBreak/>
              <w:t>Rank</w:t>
            </w:r>
          </w:p>
        </w:tc>
        <w:tc>
          <w:tcPr>
            <w:tcW w:w="0" w:type="auto"/>
            <w:shd w:val="clear" w:color="auto" w:fill="FFFFFF"/>
            <w:tcMar>
              <w:top w:w="120" w:type="dxa"/>
              <w:left w:w="150" w:type="dxa"/>
              <w:bottom w:w="120" w:type="dxa"/>
              <w:right w:w="150" w:type="dxa"/>
            </w:tcMar>
            <w:hideMark/>
          </w:tcPr>
          <w:p w14:paraId="1228D499" w14:textId="77777777" w:rsidR="00914922" w:rsidRPr="00914922" w:rsidRDefault="00914922" w:rsidP="00914922">
            <w:pPr>
              <w:spacing w:after="0" w:line="240" w:lineRule="auto"/>
              <w:rPr>
                <w:rFonts w:ascii="Arial" w:eastAsia="Times New Roman" w:hAnsi="Arial" w:cs="Arial"/>
                <w:b/>
                <w:bCs/>
                <w:color w:val="202124"/>
                <w:kern w:val="0"/>
                <w:sz w:val="21"/>
                <w:szCs w:val="21"/>
                <w:lang w:eastAsia="en-IN"/>
                <w14:ligatures w14:val="none"/>
              </w:rPr>
            </w:pPr>
            <w:r w:rsidRPr="00914922">
              <w:rPr>
                <w:rFonts w:ascii="Arial" w:eastAsia="Times New Roman" w:hAnsi="Arial" w:cs="Arial"/>
                <w:b/>
                <w:bCs/>
                <w:color w:val="202124"/>
                <w:kern w:val="0"/>
                <w:sz w:val="21"/>
                <w:szCs w:val="21"/>
                <w:lang w:eastAsia="en-IN"/>
                <w14:ligatures w14:val="none"/>
              </w:rPr>
              <w:t>Name</w:t>
            </w:r>
          </w:p>
        </w:tc>
        <w:tc>
          <w:tcPr>
            <w:tcW w:w="0" w:type="auto"/>
            <w:shd w:val="clear" w:color="auto" w:fill="FFFFFF"/>
            <w:tcMar>
              <w:top w:w="120" w:type="dxa"/>
              <w:left w:w="150" w:type="dxa"/>
              <w:bottom w:w="120" w:type="dxa"/>
              <w:right w:w="150" w:type="dxa"/>
            </w:tcMar>
            <w:hideMark/>
          </w:tcPr>
          <w:p w14:paraId="4370A522" w14:textId="77777777" w:rsidR="00914922" w:rsidRPr="00914922" w:rsidRDefault="00914922" w:rsidP="00914922">
            <w:pPr>
              <w:spacing w:after="0" w:line="240" w:lineRule="auto"/>
              <w:rPr>
                <w:rFonts w:ascii="Arial" w:eastAsia="Times New Roman" w:hAnsi="Arial" w:cs="Arial"/>
                <w:b/>
                <w:bCs/>
                <w:color w:val="202124"/>
                <w:kern w:val="0"/>
                <w:sz w:val="21"/>
                <w:szCs w:val="21"/>
                <w:lang w:eastAsia="en-IN"/>
                <w14:ligatures w14:val="none"/>
              </w:rPr>
            </w:pPr>
            <w:r w:rsidRPr="00914922">
              <w:rPr>
                <w:rFonts w:ascii="Arial" w:eastAsia="Times New Roman" w:hAnsi="Arial" w:cs="Arial"/>
                <w:b/>
                <w:bCs/>
                <w:color w:val="202124"/>
                <w:kern w:val="0"/>
                <w:sz w:val="21"/>
                <w:szCs w:val="21"/>
                <w:lang w:eastAsia="en-IN"/>
                <w14:ligatures w14:val="none"/>
              </w:rPr>
              <w:t>Total Assets</w:t>
            </w:r>
          </w:p>
        </w:tc>
      </w:tr>
      <w:tr w:rsidR="00914922" w:rsidRPr="00914922" w14:paraId="4D740ACC" w14:textId="77777777" w:rsidTr="00914922">
        <w:trPr>
          <w:trHeight w:val="390"/>
        </w:trPr>
        <w:tc>
          <w:tcPr>
            <w:tcW w:w="0" w:type="auto"/>
            <w:shd w:val="clear" w:color="auto" w:fill="FFFFFF"/>
            <w:tcMar>
              <w:top w:w="120" w:type="dxa"/>
              <w:left w:w="0" w:type="dxa"/>
              <w:bottom w:w="120" w:type="dxa"/>
              <w:right w:w="150" w:type="dxa"/>
            </w:tcMar>
            <w:vAlign w:val="center"/>
            <w:hideMark/>
          </w:tcPr>
          <w:p w14:paraId="5299A28B"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1</w:t>
            </w:r>
          </w:p>
        </w:tc>
        <w:tc>
          <w:tcPr>
            <w:tcW w:w="0" w:type="auto"/>
            <w:shd w:val="clear" w:color="auto" w:fill="FFFFFF"/>
            <w:tcMar>
              <w:top w:w="120" w:type="dxa"/>
              <w:left w:w="150" w:type="dxa"/>
              <w:bottom w:w="120" w:type="dxa"/>
              <w:right w:w="150" w:type="dxa"/>
            </w:tcMar>
            <w:vAlign w:val="center"/>
            <w:hideMark/>
          </w:tcPr>
          <w:p w14:paraId="6AFD7D18"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Navy Federal Credit Union</w:t>
            </w:r>
          </w:p>
        </w:tc>
        <w:tc>
          <w:tcPr>
            <w:tcW w:w="0" w:type="auto"/>
            <w:shd w:val="clear" w:color="auto" w:fill="FFFFFF"/>
            <w:tcMar>
              <w:top w:w="120" w:type="dxa"/>
              <w:left w:w="150" w:type="dxa"/>
              <w:bottom w:w="120" w:type="dxa"/>
              <w:right w:w="150" w:type="dxa"/>
            </w:tcMar>
            <w:vAlign w:val="center"/>
            <w:hideMark/>
          </w:tcPr>
          <w:p w14:paraId="19B4F051"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$168.4 billion</w:t>
            </w:r>
          </w:p>
        </w:tc>
      </w:tr>
      <w:tr w:rsidR="00914922" w:rsidRPr="00914922" w14:paraId="5BE38158" w14:textId="77777777" w:rsidTr="00914922">
        <w:trPr>
          <w:trHeight w:val="390"/>
        </w:trPr>
        <w:tc>
          <w:tcPr>
            <w:tcW w:w="0" w:type="auto"/>
            <w:shd w:val="clear" w:color="auto" w:fill="FFFFFF"/>
            <w:tcMar>
              <w:top w:w="120" w:type="dxa"/>
              <w:left w:w="0" w:type="dxa"/>
              <w:bottom w:w="120" w:type="dxa"/>
              <w:right w:w="150" w:type="dxa"/>
            </w:tcMar>
            <w:vAlign w:val="center"/>
            <w:hideMark/>
          </w:tcPr>
          <w:p w14:paraId="77CF16DD"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2</w:t>
            </w:r>
          </w:p>
        </w:tc>
        <w:tc>
          <w:tcPr>
            <w:tcW w:w="0" w:type="auto"/>
            <w:shd w:val="clear" w:color="auto" w:fill="FFFFFF"/>
            <w:tcMar>
              <w:top w:w="120" w:type="dxa"/>
              <w:left w:w="150" w:type="dxa"/>
              <w:bottom w:w="120" w:type="dxa"/>
              <w:right w:w="150" w:type="dxa"/>
            </w:tcMar>
            <w:vAlign w:val="center"/>
            <w:hideMark/>
          </w:tcPr>
          <w:p w14:paraId="5EAD058F"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State Employees' Credit Union</w:t>
            </w:r>
          </w:p>
        </w:tc>
        <w:tc>
          <w:tcPr>
            <w:tcW w:w="0" w:type="auto"/>
            <w:shd w:val="clear" w:color="auto" w:fill="FFFFFF"/>
            <w:tcMar>
              <w:top w:w="120" w:type="dxa"/>
              <w:left w:w="150" w:type="dxa"/>
              <w:bottom w:w="120" w:type="dxa"/>
              <w:right w:w="150" w:type="dxa"/>
            </w:tcMar>
            <w:vAlign w:val="center"/>
            <w:hideMark/>
          </w:tcPr>
          <w:p w14:paraId="2EBB20BB"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$53.1 billion</w:t>
            </w:r>
          </w:p>
        </w:tc>
      </w:tr>
      <w:tr w:rsidR="00914922" w:rsidRPr="00914922" w14:paraId="2469F419" w14:textId="77777777" w:rsidTr="00914922">
        <w:trPr>
          <w:trHeight w:val="390"/>
        </w:trPr>
        <w:tc>
          <w:tcPr>
            <w:tcW w:w="0" w:type="auto"/>
            <w:shd w:val="clear" w:color="auto" w:fill="FFFFFF"/>
            <w:tcMar>
              <w:top w:w="120" w:type="dxa"/>
              <w:left w:w="0" w:type="dxa"/>
              <w:bottom w:w="120" w:type="dxa"/>
              <w:right w:w="150" w:type="dxa"/>
            </w:tcMar>
            <w:vAlign w:val="center"/>
            <w:hideMark/>
          </w:tcPr>
          <w:p w14:paraId="41E5FDE3"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3</w:t>
            </w:r>
          </w:p>
        </w:tc>
        <w:tc>
          <w:tcPr>
            <w:tcW w:w="0" w:type="auto"/>
            <w:shd w:val="clear" w:color="auto" w:fill="FFFFFF"/>
            <w:tcMar>
              <w:top w:w="120" w:type="dxa"/>
              <w:left w:w="150" w:type="dxa"/>
              <w:bottom w:w="120" w:type="dxa"/>
              <w:right w:w="150" w:type="dxa"/>
            </w:tcMar>
            <w:vAlign w:val="center"/>
            <w:hideMark/>
          </w:tcPr>
          <w:p w14:paraId="2F49BD0A"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Pentagon Federal Credit Union</w:t>
            </w:r>
          </w:p>
        </w:tc>
        <w:tc>
          <w:tcPr>
            <w:tcW w:w="0" w:type="auto"/>
            <w:shd w:val="clear" w:color="auto" w:fill="FFFFFF"/>
            <w:tcMar>
              <w:top w:w="120" w:type="dxa"/>
              <w:left w:w="150" w:type="dxa"/>
              <w:bottom w:w="120" w:type="dxa"/>
              <w:right w:w="150" w:type="dxa"/>
            </w:tcMar>
            <w:vAlign w:val="center"/>
            <w:hideMark/>
          </w:tcPr>
          <w:p w14:paraId="3AE5FEBA"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$35 billion</w:t>
            </w:r>
          </w:p>
        </w:tc>
      </w:tr>
      <w:tr w:rsidR="00914922" w:rsidRPr="00914922" w14:paraId="116209B5" w14:textId="77777777" w:rsidTr="00914922">
        <w:trPr>
          <w:trHeight w:val="390"/>
        </w:trPr>
        <w:tc>
          <w:tcPr>
            <w:tcW w:w="0" w:type="auto"/>
            <w:shd w:val="clear" w:color="auto" w:fill="FFFFFF"/>
            <w:tcMar>
              <w:top w:w="120" w:type="dxa"/>
              <w:left w:w="0" w:type="dxa"/>
              <w:bottom w:w="120" w:type="dxa"/>
              <w:right w:w="150" w:type="dxa"/>
            </w:tcMar>
            <w:vAlign w:val="center"/>
            <w:hideMark/>
          </w:tcPr>
          <w:p w14:paraId="0FC62459"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4</w:t>
            </w:r>
          </w:p>
        </w:tc>
        <w:tc>
          <w:tcPr>
            <w:tcW w:w="0" w:type="auto"/>
            <w:shd w:val="clear" w:color="auto" w:fill="FFFFFF"/>
            <w:tcMar>
              <w:top w:w="120" w:type="dxa"/>
              <w:left w:w="150" w:type="dxa"/>
              <w:bottom w:w="120" w:type="dxa"/>
              <w:right w:w="150" w:type="dxa"/>
            </w:tcMar>
            <w:vAlign w:val="center"/>
            <w:hideMark/>
          </w:tcPr>
          <w:p w14:paraId="3F6D25D3"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Boeing Employees Credit Union</w:t>
            </w:r>
          </w:p>
        </w:tc>
        <w:tc>
          <w:tcPr>
            <w:tcW w:w="0" w:type="auto"/>
            <w:shd w:val="clear" w:color="auto" w:fill="FFFFFF"/>
            <w:tcMar>
              <w:top w:w="120" w:type="dxa"/>
              <w:left w:w="150" w:type="dxa"/>
              <w:bottom w:w="120" w:type="dxa"/>
              <w:right w:w="150" w:type="dxa"/>
            </w:tcMar>
            <w:vAlign w:val="center"/>
            <w:hideMark/>
          </w:tcPr>
          <w:p w14:paraId="5950F208" w14:textId="77777777" w:rsidR="00914922" w:rsidRPr="00914922" w:rsidRDefault="00914922" w:rsidP="00914922">
            <w:pPr>
              <w:spacing w:after="0" w:line="240" w:lineRule="auto"/>
              <w:rPr>
                <w:rFonts w:ascii="Arial" w:eastAsia="Times New Roman" w:hAnsi="Arial" w:cs="Arial"/>
                <w:color w:val="202124"/>
                <w:kern w:val="0"/>
                <w:sz w:val="21"/>
                <w:szCs w:val="21"/>
                <w:lang w:eastAsia="en-IN"/>
                <w14:ligatures w14:val="none"/>
              </w:rPr>
            </w:pPr>
            <w:r w:rsidRPr="00914922">
              <w:rPr>
                <w:rFonts w:ascii="Arial" w:eastAsia="Times New Roman" w:hAnsi="Arial" w:cs="Arial"/>
                <w:color w:val="202124"/>
                <w:kern w:val="0"/>
                <w:sz w:val="21"/>
                <w:szCs w:val="21"/>
                <w:lang w:eastAsia="en-IN"/>
                <w14:ligatures w14:val="none"/>
              </w:rPr>
              <w:t>$30.2 billion</w:t>
            </w:r>
          </w:p>
        </w:tc>
      </w:tr>
    </w:tbl>
    <w:p w14:paraId="0E42F923" w14:textId="77777777" w:rsidR="00914922" w:rsidRPr="00914922" w:rsidRDefault="00914922" w:rsidP="00914922">
      <w:pPr>
        <w:rPr>
          <w:sz w:val="28"/>
          <w:szCs w:val="28"/>
        </w:rPr>
      </w:pPr>
    </w:p>
    <w:p w14:paraId="35DC2F74" w14:textId="77777777" w:rsidR="00914922" w:rsidRPr="00914922" w:rsidRDefault="00914922" w:rsidP="00914922">
      <w:pPr>
        <w:rPr>
          <w:b/>
          <w:bCs/>
          <w:sz w:val="28"/>
          <w:szCs w:val="28"/>
        </w:rPr>
      </w:pPr>
    </w:p>
    <w:p w14:paraId="5B154CCE" w14:textId="77777777" w:rsidR="00914922" w:rsidRPr="00914922" w:rsidRDefault="00914922" w:rsidP="00914922">
      <w:pPr>
        <w:rPr>
          <w:b/>
          <w:bCs/>
          <w:sz w:val="28"/>
          <w:szCs w:val="28"/>
        </w:rPr>
      </w:pPr>
      <w:r w:rsidRPr="00914922">
        <w:rPr>
          <w:b/>
          <w:bCs/>
          <w:sz w:val="28"/>
          <w:szCs w:val="28"/>
        </w:rPr>
        <w:t xml:space="preserve">Online Banks </w:t>
      </w:r>
    </w:p>
    <w:p w14:paraId="66C61766" w14:textId="640293BA" w:rsidR="00FF340F" w:rsidRDefault="00914922" w:rsidP="00914922">
      <w:pPr>
        <w:rPr>
          <w:sz w:val="28"/>
          <w:szCs w:val="28"/>
        </w:rPr>
      </w:pPr>
      <w:r w:rsidRPr="00914922">
        <w:rPr>
          <w:sz w:val="28"/>
          <w:szCs w:val="28"/>
        </w:rPr>
        <w:t xml:space="preserve">Online banks operate entirely over the internet without any physical branches. They offer a range of banking services, including checking and savings accounts, loans, and investment options. Online banks often provide higher interest rates on savings accounts and lower fees since they have lower overhead costs. However, they may not offer in-person customer support or physical cash deposit options. </w:t>
      </w:r>
    </w:p>
    <w:p w14:paraId="1F209FDA" w14:textId="77777777" w:rsidR="00FF340F" w:rsidRDefault="00FF340F" w:rsidP="00914922">
      <w:pPr>
        <w:rPr>
          <w:sz w:val="28"/>
          <w:szCs w:val="28"/>
        </w:rPr>
      </w:pPr>
    </w:p>
    <w:tbl>
      <w:tblPr>
        <w:tblW w:w="9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2689"/>
        <w:gridCol w:w="1134"/>
        <w:gridCol w:w="1134"/>
        <w:gridCol w:w="1417"/>
        <w:gridCol w:w="1559"/>
        <w:gridCol w:w="1568"/>
      </w:tblGrid>
      <w:tr w:rsidR="00FF340F" w:rsidRPr="00FF340F" w14:paraId="0AE7E8B5" w14:textId="77777777" w:rsidTr="001A0E28">
        <w:trPr>
          <w:trHeight w:val="419"/>
          <w:tblHeader/>
          <w:jc w:val="center"/>
        </w:trPr>
        <w:tc>
          <w:tcPr>
            <w:tcW w:w="2689" w:type="dxa"/>
            <w:shd w:val="clear" w:color="auto" w:fill="FFFFFF" w:themeFill="background1"/>
            <w:tcMar>
              <w:top w:w="223" w:type="dxa"/>
              <w:left w:w="168" w:type="dxa"/>
              <w:bottom w:w="223" w:type="dxa"/>
              <w:right w:w="168" w:type="dxa"/>
            </w:tcMar>
            <w:vAlign w:val="center"/>
            <w:hideMark/>
          </w:tcPr>
          <w:p w14:paraId="14377857" w14:textId="77777777" w:rsidR="00FF340F" w:rsidRPr="00FF340F" w:rsidRDefault="00FF340F" w:rsidP="00FF340F">
            <w:pPr>
              <w:rPr>
                <w:b/>
                <w:bCs/>
              </w:rPr>
            </w:pPr>
            <w:r w:rsidRPr="00FF340F">
              <w:rPr>
                <w:b/>
                <w:bCs/>
              </w:rPr>
              <w:t>ONLINE BANK</w:t>
            </w:r>
          </w:p>
        </w:tc>
        <w:tc>
          <w:tcPr>
            <w:tcW w:w="1134" w:type="dxa"/>
            <w:shd w:val="clear" w:color="auto" w:fill="FFFFFF" w:themeFill="background1"/>
            <w:tcMar>
              <w:top w:w="223" w:type="dxa"/>
              <w:left w:w="168" w:type="dxa"/>
              <w:bottom w:w="223" w:type="dxa"/>
              <w:right w:w="168" w:type="dxa"/>
            </w:tcMar>
            <w:vAlign w:val="center"/>
            <w:hideMark/>
          </w:tcPr>
          <w:p w14:paraId="2F104B44" w14:textId="77777777" w:rsidR="00FF340F" w:rsidRPr="00FF340F" w:rsidRDefault="00FF340F" w:rsidP="00FF340F">
            <w:pPr>
              <w:rPr>
                <w:b/>
                <w:bCs/>
              </w:rPr>
            </w:pPr>
            <w:r w:rsidRPr="00FF340F">
              <w:rPr>
                <w:b/>
                <w:bCs/>
              </w:rPr>
              <w:t>BEST FOR</w:t>
            </w:r>
          </w:p>
        </w:tc>
        <w:tc>
          <w:tcPr>
            <w:tcW w:w="1134" w:type="dxa"/>
            <w:shd w:val="clear" w:color="auto" w:fill="FFFFFF" w:themeFill="background1"/>
            <w:tcMar>
              <w:top w:w="223" w:type="dxa"/>
              <w:left w:w="168" w:type="dxa"/>
              <w:bottom w:w="223" w:type="dxa"/>
              <w:right w:w="168" w:type="dxa"/>
            </w:tcMar>
            <w:vAlign w:val="center"/>
            <w:hideMark/>
          </w:tcPr>
          <w:p w14:paraId="1F24493F" w14:textId="77777777" w:rsidR="00FF340F" w:rsidRPr="00FF340F" w:rsidRDefault="00FF340F" w:rsidP="00FF340F">
            <w:pPr>
              <w:rPr>
                <w:b/>
                <w:bCs/>
              </w:rPr>
            </w:pPr>
            <w:r w:rsidRPr="00FF340F">
              <w:rPr>
                <w:b/>
                <w:bCs/>
              </w:rPr>
              <w:t>STAR RATING</w:t>
            </w:r>
          </w:p>
        </w:tc>
        <w:tc>
          <w:tcPr>
            <w:tcW w:w="1417" w:type="dxa"/>
            <w:shd w:val="clear" w:color="auto" w:fill="FFFFFF" w:themeFill="background1"/>
            <w:tcMar>
              <w:top w:w="223" w:type="dxa"/>
              <w:left w:w="168" w:type="dxa"/>
              <w:bottom w:w="223" w:type="dxa"/>
              <w:right w:w="168" w:type="dxa"/>
            </w:tcMar>
            <w:vAlign w:val="center"/>
            <w:hideMark/>
          </w:tcPr>
          <w:p w14:paraId="4E1AABAF" w14:textId="77777777" w:rsidR="00FF340F" w:rsidRPr="00FF340F" w:rsidRDefault="00FF340F" w:rsidP="00FF340F">
            <w:pPr>
              <w:rPr>
                <w:b/>
                <w:bCs/>
              </w:rPr>
            </w:pPr>
            <w:r w:rsidRPr="00FF340F">
              <w:rPr>
                <w:b/>
                <w:bCs/>
              </w:rPr>
              <w:t>ATM NETWORK</w:t>
            </w:r>
          </w:p>
        </w:tc>
        <w:tc>
          <w:tcPr>
            <w:tcW w:w="1559" w:type="dxa"/>
            <w:shd w:val="clear" w:color="auto" w:fill="FFFFFF" w:themeFill="background1"/>
            <w:tcMar>
              <w:top w:w="223" w:type="dxa"/>
              <w:left w:w="168" w:type="dxa"/>
              <w:bottom w:w="223" w:type="dxa"/>
              <w:right w:w="168" w:type="dxa"/>
            </w:tcMar>
            <w:vAlign w:val="center"/>
            <w:hideMark/>
          </w:tcPr>
          <w:p w14:paraId="70394272" w14:textId="77777777" w:rsidR="00FF340F" w:rsidRPr="00FF340F" w:rsidRDefault="00FF340F" w:rsidP="00FF340F">
            <w:pPr>
              <w:rPr>
                <w:b/>
                <w:bCs/>
              </w:rPr>
            </w:pPr>
            <w:r w:rsidRPr="00FF340F">
              <w:rPr>
                <w:b/>
                <w:bCs/>
              </w:rPr>
              <w:t>HIGHEST SAVINGS ACCOUNT YIELD (APY)</w:t>
            </w:r>
          </w:p>
        </w:tc>
        <w:tc>
          <w:tcPr>
            <w:tcW w:w="1568" w:type="dxa"/>
            <w:shd w:val="clear" w:color="auto" w:fill="FFFFFF" w:themeFill="background1"/>
            <w:tcMar>
              <w:top w:w="223" w:type="dxa"/>
              <w:left w:w="168" w:type="dxa"/>
              <w:bottom w:w="223" w:type="dxa"/>
              <w:right w:w="168" w:type="dxa"/>
            </w:tcMar>
            <w:vAlign w:val="center"/>
            <w:hideMark/>
          </w:tcPr>
          <w:p w14:paraId="5FB70281" w14:textId="77777777" w:rsidR="00FF340F" w:rsidRPr="00FF340F" w:rsidRDefault="00FF340F" w:rsidP="00FF340F">
            <w:pPr>
              <w:rPr>
                <w:b/>
                <w:bCs/>
              </w:rPr>
            </w:pPr>
            <w:r w:rsidRPr="00FF340F">
              <w:rPr>
                <w:b/>
                <w:bCs/>
              </w:rPr>
              <w:t>PRODUCTS</w:t>
            </w:r>
          </w:p>
        </w:tc>
      </w:tr>
      <w:tr w:rsidR="00FF340F" w:rsidRPr="00FF340F" w14:paraId="0466A78B" w14:textId="77777777" w:rsidTr="001A0E28">
        <w:trPr>
          <w:trHeight w:val="216"/>
          <w:jc w:val="center"/>
        </w:trPr>
        <w:tc>
          <w:tcPr>
            <w:tcW w:w="2689" w:type="dxa"/>
            <w:shd w:val="clear" w:color="auto" w:fill="FFFFFF" w:themeFill="background1"/>
            <w:vAlign w:val="center"/>
            <w:hideMark/>
          </w:tcPr>
          <w:p w14:paraId="7DD7130F" w14:textId="7C45C876" w:rsidR="00FF340F" w:rsidRPr="00FF340F" w:rsidRDefault="00FF340F" w:rsidP="00FF340F">
            <w:r w:rsidRPr="00FF340F">
              <w:drawing>
                <wp:inline distT="0" distB="0" distL="0" distR="0" wp14:anchorId="27C292AE" wp14:editId="31D7775B">
                  <wp:extent cx="1591228" cy="706581"/>
                  <wp:effectExtent l="0" t="0" r="0" b="0"/>
                  <wp:docPr id="415866680" name="Picture 15" descr="Quontic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Quontic Ba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208" cy="715897"/>
                          </a:xfrm>
                          <a:prstGeom prst="rect">
                            <a:avLst/>
                          </a:prstGeom>
                          <a:noFill/>
                          <a:ln>
                            <a:noFill/>
                          </a:ln>
                        </pic:spPr>
                      </pic:pic>
                    </a:graphicData>
                  </a:graphic>
                </wp:inline>
              </w:drawing>
            </w:r>
          </w:p>
        </w:tc>
        <w:tc>
          <w:tcPr>
            <w:tcW w:w="1134" w:type="dxa"/>
            <w:shd w:val="clear" w:color="auto" w:fill="FFFFFF" w:themeFill="background1"/>
            <w:vAlign w:val="center"/>
            <w:hideMark/>
          </w:tcPr>
          <w:p w14:paraId="3F032634" w14:textId="77777777" w:rsidR="00FF340F" w:rsidRPr="00FF340F" w:rsidRDefault="00FF340F" w:rsidP="00FF340F">
            <w:r w:rsidRPr="00FF340F">
              <w:t>Interest checking</w:t>
            </w:r>
          </w:p>
        </w:tc>
        <w:tc>
          <w:tcPr>
            <w:tcW w:w="1134" w:type="dxa"/>
            <w:shd w:val="clear" w:color="auto" w:fill="FFFFFF" w:themeFill="background1"/>
            <w:vAlign w:val="center"/>
            <w:hideMark/>
          </w:tcPr>
          <w:p w14:paraId="76DD6730" w14:textId="77777777" w:rsidR="00FF340F" w:rsidRPr="00FF340F" w:rsidRDefault="00FF340F" w:rsidP="00FF340F">
            <w:r w:rsidRPr="00FF340F">
              <w:t>5.00</w:t>
            </w:r>
          </w:p>
        </w:tc>
        <w:tc>
          <w:tcPr>
            <w:tcW w:w="1417" w:type="dxa"/>
            <w:shd w:val="clear" w:color="auto" w:fill="FFFFFF" w:themeFill="background1"/>
            <w:vAlign w:val="center"/>
            <w:hideMark/>
          </w:tcPr>
          <w:p w14:paraId="26CC9586" w14:textId="77777777" w:rsidR="00FF340F" w:rsidRPr="00FF340F" w:rsidRDefault="00FF340F" w:rsidP="00FF340F">
            <w:r w:rsidRPr="00FF340F">
              <w:t>90,000+</w:t>
            </w:r>
          </w:p>
        </w:tc>
        <w:tc>
          <w:tcPr>
            <w:tcW w:w="1559" w:type="dxa"/>
            <w:shd w:val="clear" w:color="auto" w:fill="FFFFFF" w:themeFill="background1"/>
            <w:vAlign w:val="center"/>
            <w:hideMark/>
          </w:tcPr>
          <w:p w14:paraId="1190FD8A" w14:textId="77777777" w:rsidR="00FF340F" w:rsidRPr="00FF340F" w:rsidRDefault="00FF340F" w:rsidP="00FF340F">
            <w:r w:rsidRPr="00FF340F">
              <w:t>5.00%</w:t>
            </w:r>
          </w:p>
        </w:tc>
        <w:tc>
          <w:tcPr>
            <w:tcW w:w="1568" w:type="dxa"/>
            <w:shd w:val="clear" w:color="auto" w:fill="FFFFFF" w:themeFill="background1"/>
            <w:vAlign w:val="center"/>
            <w:hideMark/>
          </w:tcPr>
          <w:p w14:paraId="025B5208" w14:textId="77777777" w:rsidR="00FF340F" w:rsidRPr="00FF340F" w:rsidRDefault="00FF340F" w:rsidP="00FF340F">
            <w:r w:rsidRPr="00FF340F">
              <w:t>Checking, savings, MMAs and CDs</w:t>
            </w:r>
          </w:p>
        </w:tc>
      </w:tr>
      <w:tr w:rsidR="00FF340F" w:rsidRPr="00FF340F" w14:paraId="44EC0068" w14:textId="77777777" w:rsidTr="001A0E28">
        <w:trPr>
          <w:trHeight w:val="451"/>
          <w:jc w:val="center"/>
        </w:trPr>
        <w:tc>
          <w:tcPr>
            <w:tcW w:w="2689" w:type="dxa"/>
            <w:shd w:val="clear" w:color="auto" w:fill="FFFFFF" w:themeFill="background1"/>
            <w:vAlign w:val="center"/>
            <w:hideMark/>
          </w:tcPr>
          <w:p w14:paraId="71364089" w14:textId="595566E4" w:rsidR="00FF340F" w:rsidRPr="00FF340F" w:rsidRDefault="00FF340F" w:rsidP="00FF340F">
            <w:r w:rsidRPr="00FF340F">
              <w:drawing>
                <wp:anchor distT="0" distB="0" distL="114300" distR="114300" simplePos="0" relativeHeight="251658240" behindDoc="0" locked="0" layoutInCell="1" allowOverlap="1" wp14:anchorId="6E81F3D3" wp14:editId="4CAF96A1">
                  <wp:simplePos x="0" y="0"/>
                  <wp:positionH relativeFrom="column">
                    <wp:posOffset>-1807845</wp:posOffset>
                  </wp:positionH>
                  <wp:positionV relativeFrom="paragraph">
                    <wp:posOffset>-200025</wp:posOffset>
                  </wp:positionV>
                  <wp:extent cx="1699895" cy="893445"/>
                  <wp:effectExtent l="0" t="0" r="0" b="1905"/>
                  <wp:wrapSquare wrapText="bothSides"/>
                  <wp:docPr id="70976998" name="Picture 14" descr="Eve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verBan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9895" cy="8934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34" w:type="dxa"/>
            <w:shd w:val="clear" w:color="auto" w:fill="FFFFFF" w:themeFill="background1"/>
            <w:vAlign w:val="center"/>
            <w:hideMark/>
          </w:tcPr>
          <w:p w14:paraId="4956ABB7" w14:textId="77777777" w:rsidR="00FF340F" w:rsidRPr="00FF340F" w:rsidRDefault="00FF340F" w:rsidP="00FF340F">
            <w:r w:rsidRPr="00FF340F">
              <w:t>High yields</w:t>
            </w:r>
          </w:p>
        </w:tc>
        <w:tc>
          <w:tcPr>
            <w:tcW w:w="1134" w:type="dxa"/>
            <w:shd w:val="clear" w:color="auto" w:fill="FFFFFF" w:themeFill="background1"/>
            <w:vAlign w:val="center"/>
            <w:hideMark/>
          </w:tcPr>
          <w:p w14:paraId="1D066206" w14:textId="77777777" w:rsidR="00FF340F" w:rsidRPr="00FF340F" w:rsidRDefault="00FF340F" w:rsidP="00FF340F">
            <w:r w:rsidRPr="00FF340F">
              <w:t>4.70</w:t>
            </w:r>
          </w:p>
        </w:tc>
        <w:tc>
          <w:tcPr>
            <w:tcW w:w="1417" w:type="dxa"/>
            <w:shd w:val="clear" w:color="auto" w:fill="FFFFFF" w:themeFill="background1"/>
            <w:vAlign w:val="center"/>
            <w:hideMark/>
          </w:tcPr>
          <w:p w14:paraId="18EB5227" w14:textId="77777777" w:rsidR="00FF340F" w:rsidRPr="00FF340F" w:rsidRDefault="00FF340F" w:rsidP="00FF340F">
            <w:r w:rsidRPr="00FF340F">
              <w:t>100,000</w:t>
            </w:r>
          </w:p>
        </w:tc>
        <w:tc>
          <w:tcPr>
            <w:tcW w:w="1559" w:type="dxa"/>
            <w:shd w:val="clear" w:color="auto" w:fill="FFFFFF" w:themeFill="background1"/>
            <w:vAlign w:val="center"/>
            <w:hideMark/>
          </w:tcPr>
          <w:p w14:paraId="16BB7112" w14:textId="77777777" w:rsidR="00FF340F" w:rsidRPr="00FF340F" w:rsidRDefault="00FF340F" w:rsidP="00FF340F">
            <w:r w:rsidRPr="00FF340F">
              <w:t>5.15%</w:t>
            </w:r>
          </w:p>
        </w:tc>
        <w:tc>
          <w:tcPr>
            <w:tcW w:w="1568" w:type="dxa"/>
            <w:shd w:val="clear" w:color="auto" w:fill="FFFFFF" w:themeFill="background1"/>
            <w:vAlign w:val="center"/>
            <w:hideMark/>
          </w:tcPr>
          <w:p w14:paraId="2FED7D48" w14:textId="77777777" w:rsidR="00FF340F" w:rsidRPr="00FF340F" w:rsidRDefault="00FF340F" w:rsidP="00FF340F">
            <w:r w:rsidRPr="00FF340F">
              <w:t>Checking, Savings, MMAs, CDs</w:t>
            </w:r>
          </w:p>
        </w:tc>
      </w:tr>
      <w:tr w:rsidR="00FF340F" w:rsidRPr="00FF340F" w14:paraId="6D86743D" w14:textId="77777777" w:rsidTr="001A0E28">
        <w:trPr>
          <w:trHeight w:val="358"/>
          <w:jc w:val="center"/>
        </w:trPr>
        <w:tc>
          <w:tcPr>
            <w:tcW w:w="2689" w:type="dxa"/>
            <w:shd w:val="clear" w:color="auto" w:fill="FFFFFF" w:themeFill="background1"/>
            <w:vAlign w:val="center"/>
            <w:hideMark/>
          </w:tcPr>
          <w:p w14:paraId="2CD87A09" w14:textId="4EED880A" w:rsidR="00FF340F" w:rsidRPr="00FF340F" w:rsidRDefault="00FF340F" w:rsidP="00FF340F">
            <w:r w:rsidRPr="00FF340F">
              <w:drawing>
                <wp:inline distT="0" distB="0" distL="0" distR="0" wp14:anchorId="0A73E4F6" wp14:editId="07FE953A">
                  <wp:extent cx="1470728" cy="607942"/>
                  <wp:effectExtent l="0" t="0" r="0" b="1905"/>
                  <wp:docPr id="131160944" name="Picture 13" descr="Discover®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scover® Ba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1155" cy="628786"/>
                          </a:xfrm>
                          <a:prstGeom prst="rect">
                            <a:avLst/>
                          </a:prstGeom>
                          <a:noFill/>
                          <a:ln>
                            <a:noFill/>
                          </a:ln>
                        </pic:spPr>
                      </pic:pic>
                    </a:graphicData>
                  </a:graphic>
                </wp:inline>
              </w:drawing>
            </w:r>
          </w:p>
        </w:tc>
        <w:tc>
          <w:tcPr>
            <w:tcW w:w="1134" w:type="dxa"/>
            <w:shd w:val="clear" w:color="auto" w:fill="FFFFFF" w:themeFill="background1"/>
            <w:vAlign w:val="center"/>
            <w:hideMark/>
          </w:tcPr>
          <w:p w14:paraId="07CE8676" w14:textId="77777777" w:rsidR="00FF340F" w:rsidRPr="00FF340F" w:rsidRDefault="00FF340F" w:rsidP="00FF340F">
            <w:r w:rsidRPr="00FF340F">
              <w:t>High yields and low fees</w:t>
            </w:r>
          </w:p>
        </w:tc>
        <w:tc>
          <w:tcPr>
            <w:tcW w:w="1134" w:type="dxa"/>
            <w:shd w:val="clear" w:color="auto" w:fill="FFFFFF" w:themeFill="background1"/>
            <w:vAlign w:val="center"/>
            <w:hideMark/>
          </w:tcPr>
          <w:p w14:paraId="19091285" w14:textId="77777777" w:rsidR="00FF340F" w:rsidRPr="00FF340F" w:rsidRDefault="00FF340F" w:rsidP="00FF340F">
            <w:r w:rsidRPr="00FF340F">
              <w:t>4.65</w:t>
            </w:r>
          </w:p>
        </w:tc>
        <w:tc>
          <w:tcPr>
            <w:tcW w:w="1417" w:type="dxa"/>
            <w:shd w:val="clear" w:color="auto" w:fill="FFFFFF" w:themeFill="background1"/>
            <w:vAlign w:val="center"/>
            <w:hideMark/>
          </w:tcPr>
          <w:p w14:paraId="0C182DE5" w14:textId="77777777" w:rsidR="00FF340F" w:rsidRPr="00FF340F" w:rsidRDefault="00FF340F" w:rsidP="00FF340F">
            <w:r w:rsidRPr="00FF340F">
              <w:t>60,000+</w:t>
            </w:r>
          </w:p>
        </w:tc>
        <w:tc>
          <w:tcPr>
            <w:tcW w:w="1559" w:type="dxa"/>
            <w:shd w:val="clear" w:color="auto" w:fill="FFFFFF" w:themeFill="background1"/>
            <w:vAlign w:val="center"/>
            <w:hideMark/>
          </w:tcPr>
          <w:p w14:paraId="16A558CD" w14:textId="77777777" w:rsidR="00FF340F" w:rsidRPr="00FF340F" w:rsidRDefault="00FF340F" w:rsidP="00FF340F">
            <w:r w:rsidRPr="00FF340F">
              <w:t>4.25%</w:t>
            </w:r>
          </w:p>
        </w:tc>
        <w:tc>
          <w:tcPr>
            <w:tcW w:w="1568" w:type="dxa"/>
            <w:shd w:val="clear" w:color="auto" w:fill="FFFFFF" w:themeFill="background1"/>
            <w:vAlign w:val="center"/>
            <w:hideMark/>
          </w:tcPr>
          <w:p w14:paraId="604C6333" w14:textId="77777777" w:rsidR="00FF340F" w:rsidRPr="00FF340F" w:rsidRDefault="00FF340F" w:rsidP="00FF340F">
            <w:r w:rsidRPr="00FF340F">
              <w:br/>
              <w:t>Checking, Savings, MMAs, CDs</w:t>
            </w:r>
          </w:p>
        </w:tc>
      </w:tr>
      <w:tr w:rsidR="00FF340F" w:rsidRPr="00FF340F" w14:paraId="61F15B11" w14:textId="77777777" w:rsidTr="001A0E28">
        <w:trPr>
          <w:trHeight w:val="187"/>
          <w:jc w:val="center"/>
        </w:trPr>
        <w:tc>
          <w:tcPr>
            <w:tcW w:w="2689" w:type="dxa"/>
            <w:shd w:val="clear" w:color="auto" w:fill="FFFFFF" w:themeFill="background1"/>
            <w:vAlign w:val="center"/>
            <w:hideMark/>
          </w:tcPr>
          <w:p w14:paraId="5A264AC2" w14:textId="6BF1B7C2" w:rsidR="00FF340F" w:rsidRPr="00FF340F" w:rsidRDefault="00FF340F" w:rsidP="00FF340F">
            <w:r w:rsidRPr="00FF340F">
              <w:lastRenderedPageBreak/>
              <w:drawing>
                <wp:inline distT="0" distB="0" distL="0" distR="0" wp14:anchorId="1B2355DC" wp14:editId="202B4DB8">
                  <wp:extent cx="1325374" cy="588529"/>
                  <wp:effectExtent l="0" t="0" r="0" b="2540"/>
                  <wp:docPr id="810129821" name="Picture 12" descr="Ally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lly B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9038" cy="594596"/>
                          </a:xfrm>
                          <a:prstGeom prst="rect">
                            <a:avLst/>
                          </a:prstGeom>
                          <a:noFill/>
                          <a:ln>
                            <a:noFill/>
                          </a:ln>
                        </pic:spPr>
                      </pic:pic>
                    </a:graphicData>
                  </a:graphic>
                </wp:inline>
              </w:drawing>
            </w:r>
          </w:p>
        </w:tc>
        <w:tc>
          <w:tcPr>
            <w:tcW w:w="1134" w:type="dxa"/>
            <w:shd w:val="clear" w:color="auto" w:fill="FFFFFF" w:themeFill="background1"/>
            <w:vAlign w:val="center"/>
            <w:hideMark/>
          </w:tcPr>
          <w:p w14:paraId="0A0EE566" w14:textId="77777777" w:rsidR="00FF340F" w:rsidRPr="00FF340F" w:rsidRDefault="00FF340F" w:rsidP="00FF340F">
            <w:r w:rsidRPr="00FF340F">
              <w:t>Savings tools</w:t>
            </w:r>
          </w:p>
        </w:tc>
        <w:tc>
          <w:tcPr>
            <w:tcW w:w="1134" w:type="dxa"/>
            <w:shd w:val="clear" w:color="auto" w:fill="FFFFFF" w:themeFill="background1"/>
            <w:vAlign w:val="center"/>
            <w:hideMark/>
          </w:tcPr>
          <w:p w14:paraId="78832343" w14:textId="77777777" w:rsidR="00FF340F" w:rsidRPr="00FF340F" w:rsidRDefault="00FF340F" w:rsidP="00FF340F">
            <w:r w:rsidRPr="00FF340F">
              <w:t>4.58</w:t>
            </w:r>
          </w:p>
        </w:tc>
        <w:tc>
          <w:tcPr>
            <w:tcW w:w="1417" w:type="dxa"/>
            <w:shd w:val="clear" w:color="auto" w:fill="FFFFFF" w:themeFill="background1"/>
            <w:vAlign w:val="center"/>
            <w:hideMark/>
          </w:tcPr>
          <w:p w14:paraId="59ECBDCB" w14:textId="77777777" w:rsidR="00FF340F" w:rsidRPr="00FF340F" w:rsidRDefault="00FF340F" w:rsidP="00FF340F">
            <w:r w:rsidRPr="00FF340F">
              <w:t>43,000+</w:t>
            </w:r>
          </w:p>
        </w:tc>
        <w:tc>
          <w:tcPr>
            <w:tcW w:w="1559" w:type="dxa"/>
            <w:shd w:val="clear" w:color="auto" w:fill="FFFFFF" w:themeFill="background1"/>
            <w:vAlign w:val="center"/>
            <w:hideMark/>
          </w:tcPr>
          <w:p w14:paraId="6A3A09B5" w14:textId="77777777" w:rsidR="00FF340F" w:rsidRPr="00FF340F" w:rsidRDefault="00FF340F" w:rsidP="00FF340F">
            <w:r w:rsidRPr="00FF340F">
              <w:t>4.20%</w:t>
            </w:r>
          </w:p>
        </w:tc>
        <w:tc>
          <w:tcPr>
            <w:tcW w:w="1568" w:type="dxa"/>
            <w:shd w:val="clear" w:color="auto" w:fill="FFFFFF" w:themeFill="background1"/>
            <w:vAlign w:val="center"/>
            <w:hideMark/>
          </w:tcPr>
          <w:p w14:paraId="4F935359" w14:textId="77777777" w:rsidR="00FF340F" w:rsidRPr="00FF340F" w:rsidRDefault="00FF340F" w:rsidP="00FF340F">
            <w:r w:rsidRPr="00FF340F">
              <w:t>Checking, Savings, MMAs, CDs</w:t>
            </w:r>
          </w:p>
        </w:tc>
      </w:tr>
      <w:tr w:rsidR="00FF340F" w:rsidRPr="00FF340F" w14:paraId="32563644" w14:textId="77777777" w:rsidTr="001A0E28">
        <w:trPr>
          <w:trHeight w:val="187"/>
          <w:jc w:val="center"/>
        </w:trPr>
        <w:tc>
          <w:tcPr>
            <w:tcW w:w="2689" w:type="dxa"/>
            <w:shd w:val="clear" w:color="auto" w:fill="FFFFFF" w:themeFill="background1"/>
            <w:vAlign w:val="center"/>
            <w:hideMark/>
          </w:tcPr>
          <w:p w14:paraId="033F7DEF" w14:textId="13D4C0FD" w:rsidR="00FF340F" w:rsidRPr="00FF340F" w:rsidRDefault="00FF340F" w:rsidP="00FF340F">
            <w:r w:rsidRPr="00FF340F">
              <w:drawing>
                <wp:inline distT="0" distB="0" distL="0" distR="0" wp14:anchorId="35A19E02" wp14:editId="69848D1A">
                  <wp:extent cx="1294174" cy="574675"/>
                  <wp:effectExtent l="0" t="0" r="0" b="0"/>
                  <wp:docPr id="618878224" name="Picture 11" descr="Sallie Ma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allie Mae B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5192" cy="579568"/>
                          </a:xfrm>
                          <a:prstGeom prst="rect">
                            <a:avLst/>
                          </a:prstGeom>
                          <a:noFill/>
                          <a:ln>
                            <a:noFill/>
                          </a:ln>
                        </pic:spPr>
                      </pic:pic>
                    </a:graphicData>
                  </a:graphic>
                </wp:inline>
              </w:drawing>
            </w:r>
          </w:p>
        </w:tc>
        <w:tc>
          <w:tcPr>
            <w:tcW w:w="1134" w:type="dxa"/>
            <w:shd w:val="clear" w:color="auto" w:fill="FFFFFF" w:themeFill="background1"/>
            <w:vAlign w:val="center"/>
            <w:hideMark/>
          </w:tcPr>
          <w:p w14:paraId="35CEFCBC" w14:textId="77777777" w:rsidR="00FF340F" w:rsidRPr="00FF340F" w:rsidRDefault="00FF340F" w:rsidP="00FF340F">
            <w:r w:rsidRPr="00FF340F">
              <w:t>Savings options</w:t>
            </w:r>
          </w:p>
        </w:tc>
        <w:tc>
          <w:tcPr>
            <w:tcW w:w="1134" w:type="dxa"/>
            <w:shd w:val="clear" w:color="auto" w:fill="FFFFFF" w:themeFill="background1"/>
            <w:vAlign w:val="center"/>
            <w:hideMark/>
          </w:tcPr>
          <w:p w14:paraId="60C29A01" w14:textId="77777777" w:rsidR="00FF340F" w:rsidRPr="00FF340F" w:rsidRDefault="00FF340F" w:rsidP="00FF340F">
            <w:r w:rsidRPr="00FF340F">
              <w:t>4.19</w:t>
            </w:r>
          </w:p>
        </w:tc>
        <w:tc>
          <w:tcPr>
            <w:tcW w:w="1417" w:type="dxa"/>
            <w:shd w:val="clear" w:color="auto" w:fill="FFFFFF" w:themeFill="background1"/>
            <w:vAlign w:val="center"/>
            <w:hideMark/>
          </w:tcPr>
          <w:p w14:paraId="249B03D0" w14:textId="77777777" w:rsidR="00FF340F" w:rsidRPr="00FF340F" w:rsidRDefault="00FF340F" w:rsidP="00FF340F">
            <w:r w:rsidRPr="00FF340F">
              <w:t>0</w:t>
            </w:r>
          </w:p>
        </w:tc>
        <w:tc>
          <w:tcPr>
            <w:tcW w:w="1559" w:type="dxa"/>
            <w:shd w:val="clear" w:color="auto" w:fill="FFFFFF" w:themeFill="background1"/>
            <w:vAlign w:val="center"/>
            <w:hideMark/>
          </w:tcPr>
          <w:p w14:paraId="69EE082B" w14:textId="77777777" w:rsidR="00FF340F" w:rsidRPr="00FF340F" w:rsidRDefault="00FF340F" w:rsidP="00FF340F">
            <w:r w:rsidRPr="00FF340F">
              <w:t>4.50%</w:t>
            </w:r>
          </w:p>
        </w:tc>
        <w:tc>
          <w:tcPr>
            <w:tcW w:w="1568" w:type="dxa"/>
            <w:shd w:val="clear" w:color="auto" w:fill="FFFFFF" w:themeFill="background1"/>
            <w:vAlign w:val="center"/>
            <w:hideMark/>
          </w:tcPr>
          <w:p w14:paraId="6BBC5001" w14:textId="77777777" w:rsidR="00FF340F" w:rsidRPr="00FF340F" w:rsidRDefault="00FF340F" w:rsidP="00FF340F">
            <w:r w:rsidRPr="00FF340F">
              <w:t>Savings, MMAs, CDs</w:t>
            </w:r>
          </w:p>
        </w:tc>
      </w:tr>
    </w:tbl>
    <w:p w14:paraId="776F713D" w14:textId="77777777" w:rsidR="00FF340F" w:rsidRPr="00914922" w:rsidRDefault="00FF340F" w:rsidP="00914922">
      <w:pPr>
        <w:rPr>
          <w:sz w:val="28"/>
          <w:szCs w:val="28"/>
        </w:rPr>
      </w:pPr>
    </w:p>
    <w:p w14:paraId="6B29E01E" w14:textId="77777777" w:rsidR="00914922" w:rsidRPr="00914922" w:rsidRDefault="00914922" w:rsidP="00914922">
      <w:pPr>
        <w:rPr>
          <w:sz w:val="28"/>
          <w:szCs w:val="28"/>
        </w:rPr>
      </w:pPr>
    </w:p>
    <w:p w14:paraId="4087C89F" w14:textId="77777777" w:rsidR="00914922" w:rsidRPr="00914922" w:rsidRDefault="00914922" w:rsidP="00914922">
      <w:pPr>
        <w:rPr>
          <w:b/>
          <w:bCs/>
          <w:sz w:val="28"/>
          <w:szCs w:val="28"/>
        </w:rPr>
      </w:pPr>
      <w:r w:rsidRPr="00914922">
        <w:rPr>
          <w:b/>
          <w:bCs/>
          <w:sz w:val="28"/>
          <w:szCs w:val="28"/>
        </w:rPr>
        <w:t xml:space="preserve">Investment Banks </w:t>
      </w:r>
    </w:p>
    <w:p w14:paraId="3176C498" w14:textId="6B85CD18" w:rsidR="00FF340F" w:rsidRDefault="00914922" w:rsidP="00914922">
      <w:pPr>
        <w:rPr>
          <w:sz w:val="28"/>
          <w:szCs w:val="28"/>
        </w:rPr>
      </w:pPr>
      <w:r w:rsidRPr="00914922">
        <w:rPr>
          <w:sz w:val="28"/>
          <w:szCs w:val="28"/>
        </w:rPr>
        <w:t xml:space="preserve">Investment banks primarily cater to corporations and institutional clients rather than individual consumers. They specialize in providing financial advice, underwriting securities, facilitating mergers and acquisitions, and assisting with capital raising through stock and bond offerings. Investment banks play a crucial role in the capital markets and are involved in complex financial transactions. </w:t>
      </w:r>
    </w:p>
    <w:tbl>
      <w:tblPr>
        <w:tblW w:w="987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51"/>
        <w:gridCol w:w="3040"/>
        <w:gridCol w:w="2584"/>
        <w:gridCol w:w="3496"/>
      </w:tblGrid>
      <w:tr w:rsidR="001A0E28" w:rsidRPr="001A0E28" w14:paraId="786ECCD4" w14:textId="77777777" w:rsidTr="001A0E28">
        <w:trPr>
          <w:trHeight w:val="610"/>
        </w:trPr>
        <w:tc>
          <w:tcPr>
            <w:tcW w:w="75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E213A9"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w:t>
            </w:r>
          </w:p>
        </w:tc>
        <w:tc>
          <w:tcPr>
            <w:tcW w:w="304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31911B0"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Name</w:t>
            </w:r>
          </w:p>
        </w:tc>
        <w:tc>
          <w:tcPr>
            <w:tcW w:w="258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3C857DD"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b/>
                <w:bCs/>
                <w:kern w:val="0"/>
                <w:sz w:val="27"/>
                <w:szCs w:val="27"/>
                <w:lang w:eastAsia="en-IN"/>
                <w14:ligatures w14:val="none"/>
              </w:rPr>
              <w:t>Client EBITDA Range</w:t>
            </w:r>
          </w:p>
        </w:tc>
        <w:tc>
          <w:tcPr>
            <w:tcW w:w="349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7DFABB4"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b/>
                <w:bCs/>
                <w:kern w:val="0"/>
                <w:sz w:val="27"/>
                <w:szCs w:val="27"/>
                <w:lang w:eastAsia="en-IN"/>
                <w14:ligatures w14:val="none"/>
              </w:rPr>
              <w:t>Total Annual Deals (2023-Q1 ’24)</w:t>
            </w:r>
          </w:p>
        </w:tc>
      </w:tr>
      <w:tr w:rsidR="001A0E28" w:rsidRPr="001A0E28" w14:paraId="443F0EDB" w14:textId="77777777" w:rsidTr="001A0E28">
        <w:trPr>
          <w:trHeight w:val="610"/>
        </w:trPr>
        <w:tc>
          <w:tcPr>
            <w:tcW w:w="7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B4E93C"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1</w:t>
            </w:r>
          </w:p>
        </w:tc>
        <w:tc>
          <w:tcPr>
            <w:tcW w:w="304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648554"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hyperlink r:id="rId20" w:history="1">
              <w:r w:rsidRPr="00FF340F">
                <w:rPr>
                  <w:rFonts w:ascii="Inter" w:eastAsia="Times New Roman" w:hAnsi="Inter" w:cs="Times New Roman"/>
                  <w:b/>
                  <w:bCs/>
                  <w:kern w:val="0"/>
                  <w:sz w:val="27"/>
                  <w:szCs w:val="27"/>
                  <w:u w:val="single"/>
                  <w:lang w:eastAsia="en-IN"/>
                  <w14:ligatures w14:val="none"/>
                </w:rPr>
                <w:t>Goldman Sachs</w:t>
              </w:r>
            </w:hyperlink>
          </w:p>
        </w:tc>
        <w:tc>
          <w:tcPr>
            <w:tcW w:w="258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5BBBE3"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t>$100M+</w:t>
            </w:r>
          </w:p>
        </w:tc>
        <w:tc>
          <w:tcPr>
            <w:tcW w:w="349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43BB2C"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t>100+</w:t>
            </w:r>
          </w:p>
        </w:tc>
      </w:tr>
      <w:tr w:rsidR="001A0E28" w:rsidRPr="001A0E28" w14:paraId="402A3791" w14:textId="77777777" w:rsidTr="001A0E28">
        <w:trPr>
          <w:trHeight w:val="610"/>
        </w:trPr>
        <w:tc>
          <w:tcPr>
            <w:tcW w:w="75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229CF7C"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2</w:t>
            </w:r>
          </w:p>
        </w:tc>
        <w:tc>
          <w:tcPr>
            <w:tcW w:w="304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9099F69"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hyperlink r:id="rId21" w:history="1">
              <w:proofErr w:type="spellStart"/>
              <w:r w:rsidRPr="00FF340F">
                <w:rPr>
                  <w:rFonts w:ascii="Inter" w:eastAsia="Times New Roman" w:hAnsi="Inter" w:cs="Times New Roman"/>
                  <w:b/>
                  <w:bCs/>
                  <w:kern w:val="0"/>
                  <w:sz w:val="27"/>
                  <w:szCs w:val="27"/>
                  <w:u w:val="single"/>
                  <w:lang w:eastAsia="en-IN"/>
                  <w14:ligatures w14:val="none"/>
                </w:rPr>
                <w:t>Sica</w:t>
              </w:r>
              <w:proofErr w:type="spellEnd"/>
              <w:r w:rsidRPr="00FF340F">
                <w:rPr>
                  <w:rFonts w:ascii="Inter" w:eastAsia="Times New Roman" w:hAnsi="Inter" w:cs="Times New Roman"/>
                  <w:b/>
                  <w:bCs/>
                  <w:kern w:val="0"/>
                  <w:sz w:val="27"/>
                  <w:szCs w:val="27"/>
                  <w:u w:val="single"/>
                  <w:lang w:eastAsia="en-IN"/>
                  <w14:ligatures w14:val="none"/>
                </w:rPr>
                <w:t xml:space="preserve"> | Fletcher</w:t>
              </w:r>
            </w:hyperlink>
          </w:p>
        </w:tc>
        <w:tc>
          <w:tcPr>
            <w:tcW w:w="258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1357767"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kern w:val="0"/>
                <w:sz w:val="27"/>
                <w:szCs w:val="27"/>
                <w:lang w:eastAsia="en-IN"/>
                <w14:ligatures w14:val="none"/>
              </w:rPr>
              <w:br/>
              <w:t>$1-30M</w:t>
            </w:r>
          </w:p>
        </w:tc>
        <w:tc>
          <w:tcPr>
            <w:tcW w:w="349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B3298B6"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kern w:val="0"/>
                <w:sz w:val="27"/>
                <w:szCs w:val="27"/>
                <w:lang w:eastAsia="en-IN"/>
                <w14:ligatures w14:val="none"/>
              </w:rPr>
              <w:br/>
              <w:t>40-70</w:t>
            </w:r>
          </w:p>
        </w:tc>
      </w:tr>
      <w:tr w:rsidR="001A0E28" w:rsidRPr="001A0E28" w14:paraId="19E6E2C9" w14:textId="77777777" w:rsidTr="001A0E28">
        <w:trPr>
          <w:trHeight w:val="610"/>
        </w:trPr>
        <w:tc>
          <w:tcPr>
            <w:tcW w:w="7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A27CDC"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3</w:t>
            </w:r>
          </w:p>
        </w:tc>
        <w:tc>
          <w:tcPr>
            <w:tcW w:w="304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9CCCD4"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hyperlink r:id="rId22" w:history="1">
              <w:r w:rsidRPr="00FF340F">
                <w:rPr>
                  <w:rFonts w:ascii="Inter" w:eastAsia="Times New Roman" w:hAnsi="Inter" w:cs="Times New Roman"/>
                  <w:b/>
                  <w:bCs/>
                  <w:kern w:val="0"/>
                  <w:sz w:val="27"/>
                  <w:szCs w:val="27"/>
                  <w:u w:val="single"/>
                  <w:lang w:eastAsia="en-IN"/>
                  <w14:ligatures w14:val="none"/>
                </w:rPr>
                <w:t>JP Morgan </w:t>
              </w:r>
            </w:hyperlink>
          </w:p>
        </w:tc>
        <w:tc>
          <w:tcPr>
            <w:tcW w:w="258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6AB0BD"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t>$100M+</w:t>
            </w:r>
          </w:p>
        </w:tc>
        <w:tc>
          <w:tcPr>
            <w:tcW w:w="349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0B26B2"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t>100+</w:t>
            </w:r>
          </w:p>
        </w:tc>
      </w:tr>
      <w:tr w:rsidR="001A0E28" w:rsidRPr="001A0E28" w14:paraId="15FEDE7E" w14:textId="77777777" w:rsidTr="001A0E28">
        <w:trPr>
          <w:trHeight w:val="625"/>
        </w:trPr>
        <w:tc>
          <w:tcPr>
            <w:tcW w:w="75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996E5C0"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4</w:t>
            </w:r>
          </w:p>
        </w:tc>
        <w:tc>
          <w:tcPr>
            <w:tcW w:w="304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CF8E173"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hyperlink r:id="rId23" w:history="1">
              <w:r w:rsidRPr="00FF340F">
                <w:rPr>
                  <w:rFonts w:ascii="Inter" w:eastAsia="Times New Roman" w:hAnsi="Inter" w:cs="Times New Roman"/>
                  <w:b/>
                  <w:bCs/>
                  <w:kern w:val="0"/>
                  <w:sz w:val="27"/>
                  <w:szCs w:val="27"/>
                  <w:u w:val="single"/>
                  <w:lang w:eastAsia="en-IN"/>
                  <w14:ligatures w14:val="none"/>
                </w:rPr>
                <w:t>Morgan Stanley</w:t>
              </w:r>
            </w:hyperlink>
          </w:p>
        </w:tc>
        <w:tc>
          <w:tcPr>
            <w:tcW w:w="258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2EDC56E"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t>$100M+</w:t>
            </w:r>
          </w:p>
        </w:tc>
        <w:tc>
          <w:tcPr>
            <w:tcW w:w="349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6BBDFD4"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t>100+</w:t>
            </w:r>
          </w:p>
        </w:tc>
      </w:tr>
      <w:tr w:rsidR="001A0E28" w:rsidRPr="001A0E28" w14:paraId="2BD2FB30" w14:textId="77777777" w:rsidTr="001A0E28">
        <w:trPr>
          <w:trHeight w:val="390"/>
        </w:trPr>
        <w:tc>
          <w:tcPr>
            <w:tcW w:w="7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AA53E6"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r w:rsidRPr="00FF340F">
              <w:rPr>
                <w:rFonts w:ascii="Inter" w:eastAsia="Times New Roman" w:hAnsi="Inter" w:cs="Times New Roman"/>
                <w:b/>
                <w:bCs/>
                <w:kern w:val="0"/>
                <w:sz w:val="27"/>
                <w:szCs w:val="27"/>
                <w:lang w:eastAsia="en-IN"/>
                <w14:ligatures w14:val="none"/>
              </w:rPr>
              <w:t>5</w:t>
            </w:r>
          </w:p>
        </w:tc>
        <w:tc>
          <w:tcPr>
            <w:tcW w:w="304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618D60"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r>
            <w:hyperlink r:id="rId24" w:history="1">
              <w:r w:rsidRPr="00FF340F">
                <w:rPr>
                  <w:rFonts w:ascii="Inter" w:eastAsia="Times New Roman" w:hAnsi="Inter" w:cs="Times New Roman"/>
                  <w:b/>
                  <w:bCs/>
                  <w:kern w:val="0"/>
                  <w:sz w:val="27"/>
                  <w:szCs w:val="27"/>
                  <w:u w:val="single"/>
                  <w:lang w:eastAsia="en-IN"/>
                  <w14:ligatures w14:val="none"/>
                </w:rPr>
                <w:t>Jeffries</w:t>
              </w:r>
            </w:hyperlink>
          </w:p>
        </w:tc>
        <w:tc>
          <w:tcPr>
            <w:tcW w:w="258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79683A"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t>$5M-30M</w:t>
            </w:r>
          </w:p>
        </w:tc>
        <w:tc>
          <w:tcPr>
            <w:tcW w:w="349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A0566F" w14:textId="77777777" w:rsidR="00FF340F" w:rsidRPr="00FF340F" w:rsidRDefault="00FF340F" w:rsidP="00FF340F">
            <w:pPr>
              <w:spacing w:after="0" w:line="240" w:lineRule="auto"/>
              <w:jc w:val="center"/>
              <w:rPr>
                <w:rFonts w:ascii="Inter" w:eastAsia="Times New Roman" w:hAnsi="Inter" w:cs="Times New Roman"/>
                <w:kern w:val="0"/>
                <w:sz w:val="27"/>
                <w:szCs w:val="27"/>
                <w:lang w:eastAsia="en-IN"/>
                <w14:ligatures w14:val="none"/>
              </w:rPr>
            </w:pPr>
            <w:r w:rsidRPr="00FF340F">
              <w:rPr>
                <w:rFonts w:ascii="Inter" w:eastAsia="Times New Roman" w:hAnsi="Inter" w:cs="Times New Roman"/>
                <w:kern w:val="0"/>
                <w:sz w:val="27"/>
                <w:szCs w:val="27"/>
                <w:lang w:eastAsia="en-IN"/>
                <w14:ligatures w14:val="none"/>
              </w:rPr>
              <w:br/>
              <w:t>10-15</w:t>
            </w:r>
          </w:p>
        </w:tc>
      </w:tr>
    </w:tbl>
    <w:p w14:paraId="18FDDF46" w14:textId="77777777" w:rsidR="00FF340F" w:rsidRPr="00914922" w:rsidRDefault="00FF340F" w:rsidP="00914922">
      <w:pPr>
        <w:rPr>
          <w:sz w:val="28"/>
          <w:szCs w:val="28"/>
        </w:rPr>
      </w:pPr>
    </w:p>
    <w:p w14:paraId="0C1DB2F7" w14:textId="77777777" w:rsidR="00914922" w:rsidRPr="00914922" w:rsidRDefault="00914922" w:rsidP="00914922">
      <w:pPr>
        <w:rPr>
          <w:sz w:val="28"/>
          <w:szCs w:val="28"/>
        </w:rPr>
      </w:pPr>
    </w:p>
    <w:p w14:paraId="6A67542B" w14:textId="77777777" w:rsidR="00914922" w:rsidRPr="00914922" w:rsidRDefault="00914922" w:rsidP="00914922">
      <w:pPr>
        <w:rPr>
          <w:b/>
          <w:bCs/>
          <w:sz w:val="28"/>
          <w:szCs w:val="28"/>
        </w:rPr>
      </w:pPr>
      <w:r w:rsidRPr="00914922">
        <w:rPr>
          <w:b/>
          <w:bCs/>
          <w:sz w:val="28"/>
          <w:szCs w:val="28"/>
        </w:rPr>
        <w:t xml:space="preserve">Savings and Loan Associations </w:t>
      </w:r>
    </w:p>
    <w:p w14:paraId="6B35E67D" w14:textId="1914D66E" w:rsidR="00561F04" w:rsidRDefault="00914922" w:rsidP="00914922">
      <w:pPr>
        <w:rPr>
          <w:sz w:val="28"/>
          <w:szCs w:val="28"/>
        </w:rPr>
      </w:pPr>
      <w:r w:rsidRPr="00914922">
        <w:rPr>
          <w:sz w:val="28"/>
          <w:szCs w:val="28"/>
        </w:rPr>
        <w:t>Savings and Loan Associations (S&amp;Ls) focus on providing mortgage loans and other home financing options. They accept savings deposits and use the funds to provide mortgages to homebuyers. S&amp;Ls played a significant role in the U.S. housing market, but their prominence has decreased since the financial crisis of 2008.</w:t>
      </w:r>
    </w:p>
    <w:p w14:paraId="0B823B44" w14:textId="77777777" w:rsidR="001A0E28" w:rsidRDefault="001A0E28" w:rsidP="00914922">
      <w:pPr>
        <w:rPr>
          <w:sz w:val="28"/>
          <w:szCs w:val="28"/>
        </w:rPr>
      </w:pPr>
    </w:p>
    <w:p w14:paraId="0A87CED8" w14:textId="2667DFC0" w:rsidR="001A0E28" w:rsidRPr="001A0E28" w:rsidRDefault="001A0E28" w:rsidP="00914922">
      <w:pPr>
        <w:rPr>
          <w:b/>
          <w:bCs/>
          <w:sz w:val="28"/>
          <w:szCs w:val="28"/>
        </w:rPr>
      </w:pPr>
      <w:r w:rsidRPr="001A0E28">
        <w:rPr>
          <w:b/>
          <w:bCs/>
          <w:sz w:val="28"/>
          <w:szCs w:val="28"/>
        </w:rPr>
        <w:t>Need for different types of Banks:</w:t>
      </w:r>
    </w:p>
    <w:p w14:paraId="34972E5C" w14:textId="79FF8EF4" w:rsidR="001A0E28" w:rsidRPr="001A0E28" w:rsidRDefault="001A0E28" w:rsidP="001A0E28">
      <w:pPr>
        <w:rPr>
          <w:sz w:val="28"/>
          <w:szCs w:val="28"/>
        </w:rPr>
      </w:pPr>
      <w:r w:rsidRPr="001A0E28">
        <w:rPr>
          <w:sz w:val="28"/>
          <w:szCs w:val="28"/>
        </w:rPr>
        <w:t xml:space="preserve">Diverse Needs: Different individuals and businesses have unique banking requirements. For example, a small business owner may benefit from a bank that offers specialized business services, while a student may prefer a bank with low fees and convenient online banking options. The availability of various types of banks allows customers to find the one that best suits their needs. </w:t>
      </w:r>
    </w:p>
    <w:p w14:paraId="20C1DAF9" w14:textId="5C1C2E69" w:rsidR="001A0E28" w:rsidRPr="001A0E28" w:rsidRDefault="001A0E28" w:rsidP="001A0E28">
      <w:pPr>
        <w:rPr>
          <w:sz w:val="28"/>
          <w:szCs w:val="28"/>
        </w:rPr>
      </w:pPr>
      <w:r w:rsidRPr="001A0E28">
        <w:rPr>
          <w:sz w:val="28"/>
          <w:szCs w:val="28"/>
        </w:rPr>
        <w:t xml:space="preserve">Accessibility: The presence of different banks ensures broader access to banking services. Retail banks with physical branches are essential for those who prefer face-to-face interactions and require services like cash deposits or in-person customer support. Online banks, on the other hand, offer convenient services for those who prefer digital banking or lack access to physical branches. </w:t>
      </w:r>
    </w:p>
    <w:p w14:paraId="6672324B" w14:textId="402D5114" w:rsidR="001A0E28" w:rsidRPr="001A0E28" w:rsidRDefault="001A0E28" w:rsidP="001A0E28">
      <w:pPr>
        <w:rPr>
          <w:sz w:val="28"/>
          <w:szCs w:val="28"/>
        </w:rPr>
      </w:pPr>
      <w:r w:rsidRPr="001A0E28">
        <w:rPr>
          <w:sz w:val="28"/>
          <w:szCs w:val="28"/>
        </w:rPr>
        <w:t xml:space="preserve">Competitive Environment: Having a variety of banks fosters competition in the banking industry. Competition can lead to better interest rates, lower fees, improved services, and innovative products. It gives customers more options to choose from and encourages banks to strive for better customer satisfaction. </w:t>
      </w:r>
    </w:p>
    <w:p w14:paraId="679E801F" w14:textId="46005BFC" w:rsidR="001A0E28" w:rsidRPr="00914922" w:rsidRDefault="001A0E28" w:rsidP="001A0E28">
      <w:pPr>
        <w:rPr>
          <w:sz w:val="28"/>
          <w:szCs w:val="28"/>
        </w:rPr>
      </w:pPr>
      <w:r w:rsidRPr="001A0E28">
        <w:rPr>
          <w:sz w:val="28"/>
          <w:szCs w:val="28"/>
        </w:rPr>
        <w:t>Specialized Services: Different types of banks specialize in specific areas, such as mortgage lending, investment banking, or serving specific communities. This specialization allows customers to work with institutions that have expertise in their specific financial needs, ensuring tailored solutions and better support.</w:t>
      </w:r>
    </w:p>
    <w:sectPr w:rsidR="001A0E28" w:rsidRPr="0091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22"/>
    <w:rsid w:val="001A0E28"/>
    <w:rsid w:val="004657F6"/>
    <w:rsid w:val="00561F04"/>
    <w:rsid w:val="007E3B41"/>
    <w:rsid w:val="00914922"/>
    <w:rsid w:val="00FF3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5E91"/>
  <w15:chartTrackingRefBased/>
  <w15:docId w15:val="{6125E36A-E188-476C-ABA9-5450E34B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922"/>
    <w:rPr>
      <w:rFonts w:eastAsiaTheme="majorEastAsia" w:cstheme="majorBidi"/>
      <w:color w:val="272727" w:themeColor="text1" w:themeTint="D8"/>
    </w:rPr>
  </w:style>
  <w:style w:type="paragraph" w:styleId="Title">
    <w:name w:val="Title"/>
    <w:basedOn w:val="Normal"/>
    <w:next w:val="Normal"/>
    <w:link w:val="TitleChar"/>
    <w:uiPriority w:val="10"/>
    <w:qFormat/>
    <w:rsid w:val="00914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922"/>
    <w:pPr>
      <w:spacing w:before="160"/>
      <w:jc w:val="center"/>
    </w:pPr>
    <w:rPr>
      <w:i/>
      <w:iCs/>
      <w:color w:val="404040" w:themeColor="text1" w:themeTint="BF"/>
    </w:rPr>
  </w:style>
  <w:style w:type="character" w:customStyle="1" w:styleId="QuoteChar">
    <w:name w:val="Quote Char"/>
    <w:basedOn w:val="DefaultParagraphFont"/>
    <w:link w:val="Quote"/>
    <w:uiPriority w:val="29"/>
    <w:rsid w:val="00914922"/>
    <w:rPr>
      <w:i/>
      <w:iCs/>
      <w:color w:val="404040" w:themeColor="text1" w:themeTint="BF"/>
    </w:rPr>
  </w:style>
  <w:style w:type="paragraph" w:styleId="ListParagraph">
    <w:name w:val="List Paragraph"/>
    <w:basedOn w:val="Normal"/>
    <w:uiPriority w:val="34"/>
    <w:qFormat/>
    <w:rsid w:val="00914922"/>
    <w:pPr>
      <w:ind w:left="720"/>
      <w:contextualSpacing/>
    </w:pPr>
  </w:style>
  <w:style w:type="character" w:styleId="IntenseEmphasis">
    <w:name w:val="Intense Emphasis"/>
    <w:basedOn w:val="DefaultParagraphFont"/>
    <w:uiPriority w:val="21"/>
    <w:qFormat/>
    <w:rsid w:val="00914922"/>
    <w:rPr>
      <w:i/>
      <w:iCs/>
      <w:color w:val="0F4761" w:themeColor="accent1" w:themeShade="BF"/>
    </w:rPr>
  </w:style>
  <w:style w:type="paragraph" w:styleId="IntenseQuote">
    <w:name w:val="Intense Quote"/>
    <w:basedOn w:val="Normal"/>
    <w:next w:val="Normal"/>
    <w:link w:val="IntenseQuoteChar"/>
    <w:uiPriority w:val="30"/>
    <w:qFormat/>
    <w:rsid w:val="0091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922"/>
    <w:rPr>
      <w:i/>
      <w:iCs/>
      <w:color w:val="0F4761" w:themeColor="accent1" w:themeShade="BF"/>
    </w:rPr>
  </w:style>
  <w:style w:type="character" w:styleId="IntenseReference">
    <w:name w:val="Intense Reference"/>
    <w:basedOn w:val="DefaultParagraphFont"/>
    <w:uiPriority w:val="32"/>
    <w:qFormat/>
    <w:rsid w:val="00914922"/>
    <w:rPr>
      <w:b/>
      <w:bCs/>
      <w:smallCaps/>
      <w:color w:val="0F4761" w:themeColor="accent1" w:themeShade="BF"/>
      <w:spacing w:val="5"/>
    </w:rPr>
  </w:style>
  <w:style w:type="character" w:styleId="Hyperlink">
    <w:name w:val="Hyperlink"/>
    <w:basedOn w:val="DefaultParagraphFont"/>
    <w:uiPriority w:val="99"/>
    <w:semiHidden/>
    <w:unhideWhenUsed/>
    <w:rsid w:val="00914922"/>
    <w:rPr>
      <w:color w:val="0000FF"/>
      <w:u w:val="single"/>
    </w:rPr>
  </w:style>
  <w:style w:type="character" w:styleId="Strong">
    <w:name w:val="Strong"/>
    <w:basedOn w:val="DefaultParagraphFont"/>
    <w:uiPriority w:val="22"/>
    <w:qFormat/>
    <w:rsid w:val="00FF3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212367">
      <w:bodyDiv w:val="1"/>
      <w:marLeft w:val="0"/>
      <w:marRight w:val="0"/>
      <w:marTop w:val="0"/>
      <w:marBottom w:val="0"/>
      <w:divBdr>
        <w:top w:val="none" w:sz="0" w:space="0" w:color="auto"/>
        <w:left w:val="none" w:sz="0" w:space="0" w:color="auto"/>
        <w:bottom w:val="none" w:sz="0" w:space="0" w:color="auto"/>
        <w:right w:val="none" w:sz="0" w:space="0" w:color="auto"/>
      </w:divBdr>
    </w:div>
    <w:div w:id="413430133">
      <w:bodyDiv w:val="1"/>
      <w:marLeft w:val="0"/>
      <w:marRight w:val="0"/>
      <w:marTop w:val="0"/>
      <w:marBottom w:val="0"/>
      <w:divBdr>
        <w:top w:val="none" w:sz="0" w:space="0" w:color="auto"/>
        <w:left w:val="none" w:sz="0" w:space="0" w:color="auto"/>
        <w:bottom w:val="none" w:sz="0" w:space="0" w:color="auto"/>
        <w:right w:val="none" w:sz="0" w:space="0" w:color="auto"/>
      </w:divBdr>
    </w:div>
    <w:div w:id="448086338">
      <w:bodyDiv w:val="1"/>
      <w:marLeft w:val="0"/>
      <w:marRight w:val="0"/>
      <w:marTop w:val="0"/>
      <w:marBottom w:val="0"/>
      <w:divBdr>
        <w:top w:val="none" w:sz="0" w:space="0" w:color="auto"/>
        <w:left w:val="none" w:sz="0" w:space="0" w:color="auto"/>
        <w:bottom w:val="none" w:sz="0" w:space="0" w:color="auto"/>
        <w:right w:val="none" w:sz="0" w:space="0" w:color="auto"/>
      </w:divBdr>
    </w:div>
    <w:div w:id="631251494">
      <w:bodyDiv w:val="1"/>
      <w:marLeft w:val="0"/>
      <w:marRight w:val="0"/>
      <w:marTop w:val="0"/>
      <w:marBottom w:val="0"/>
      <w:divBdr>
        <w:top w:val="none" w:sz="0" w:space="0" w:color="auto"/>
        <w:left w:val="none" w:sz="0" w:space="0" w:color="auto"/>
        <w:bottom w:val="none" w:sz="0" w:space="0" w:color="auto"/>
        <w:right w:val="none" w:sz="0" w:space="0" w:color="auto"/>
      </w:divBdr>
    </w:div>
    <w:div w:id="1372458521">
      <w:bodyDiv w:val="1"/>
      <w:marLeft w:val="0"/>
      <w:marRight w:val="0"/>
      <w:marTop w:val="0"/>
      <w:marBottom w:val="0"/>
      <w:divBdr>
        <w:top w:val="none" w:sz="0" w:space="0" w:color="auto"/>
        <w:left w:val="none" w:sz="0" w:space="0" w:color="auto"/>
        <w:bottom w:val="none" w:sz="0" w:space="0" w:color="auto"/>
        <w:right w:val="none" w:sz="0" w:space="0" w:color="auto"/>
      </w:divBdr>
    </w:div>
    <w:div w:id="1481385126">
      <w:bodyDiv w:val="1"/>
      <w:marLeft w:val="0"/>
      <w:marRight w:val="0"/>
      <w:marTop w:val="0"/>
      <w:marBottom w:val="0"/>
      <w:divBdr>
        <w:top w:val="none" w:sz="0" w:space="0" w:color="auto"/>
        <w:left w:val="none" w:sz="0" w:space="0" w:color="auto"/>
        <w:bottom w:val="none" w:sz="0" w:space="0" w:color="auto"/>
        <w:right w:val="none" w:sz="0" w:space="0" w:color="auto"/>
      </w:divBdr>
    </w:div>
    <w:div w:id="1944069201">
      <w:bodyDiv w:val="1"/>
      <w:marLeft w:val="0"/>
      <w:marRight w:val="0"/>
      <w:marTop w:val="0"/>
      <w:marBottom w:val="0"/>
      <w:divBdr>
        <w:top w:val="none" w:sz="0" w:space="0" w:color="auto"/>
        <w:left w:val="none" w:sz="0" w:space="0" w:color="auto"/>
        <w:bottom w:val="none" w:sz="0" w:space="0" w:color="auto"/>
        <w:right w:val="none" w:sz="0" w:space="0" w:color="auto"/>
      </w:divBdr>
    </w:div>
    <w:div w:id="20865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otte,_North_Carolina" TargetMode="External"/><Relationship Id="rId13" Type="http://schemas.openxmlformats.org/officeDocument/2006/relationships/hyperlink" Target="https://en.wikipedia.org/wiki/Goldman_Sach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icafletcherpartners.com/" TargetMode="External"/><Relationship Id="rId7" Type="http://schemas.openxmlformats.org/officeDocument/2006/relationships/hyperlink" Target="https://en.wikipedia.org/wiki/Bank_of_America" TargetMode="External"/><Relationship Id="rId12" Type="http://schemas.openxmlformats.org/officeDocument/2006/relationships/hyperlink" Target="https://en.wikipedia.org/wiki/San_Francisco,_California"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ww.goldmansachs.com/careers/our-firm/investment-banking/" TargetMode="External"/><Relationship Id="rId1" Type="http://schemas.openxmlformats.org/officeDocument/2006/relationships/styles" Target="styles.xml"/><Relationship Id="rId6" Type="http://schemas.openxmlformats.org/officeDocument/2006/relationships/hyperlink" Target="https://en.wikipedia.org/wiki/New_York_City" TargetMode="External"/><Relationship Id="rId11" Type="http://schemas.openxmlformats.org/officeDocument/2006/relationships/hyperlink" Target="https://en.wikipedia.org/wiki/Wells_Fargo" TargetMode="External"/><Relationship Id="rId24" Type="http://schemas.openxmlformats.org/officeDocument/2006/relationships/hyperlink" Target="https://www.jefferies.com/" TargetMode="External"/><Relationship Id="rId5" Type="http://schemas.openxmlformats.org/officeDocument/2006/relationships/hyperlink" Target="https://en.wikipedia.org/wiki/JPMorgan_Chase" TargetMode="External"/><Relationship Id="rId15" Type="http://schemas.openxmlformats.org/officeDocument/2006/relationships/image" Target="media/image1.png"/><Relationship Id="rId23" Type="http://schemas.openxmlformats.org/officeDocument/2006/relationships/hyperlink" Target="https://www.morganstanley.com/what-we-do/investment-banking?cid=ppc-71700000088128311:700000002375621:58700007812107572:p71028332333&amp;gad=1&amp;gclid=CjwKCAjwxr2iBhBJEiwAdXECw7Ys4tC_7AzMDAZ4tEdNNytLQ1Cf5MX7ZvlAOzBMLDj1CU7TnZ7s_RoChNcQAvD_BwE&amp;gclsrc=aw.ds" TargetMode="External"/><Relationship Id="rId10" Type="http://schemas.openxmlformats.org/officeDocument/2006/relationships/hyperlink" Target="https://en.wikipedia.org/wiki/New_York_City" TargetMode="External"/><Relationship Id="rId19" Type="http://schemas.openxmlformats.org/officeDocument/2006/relationships/image" Target="media/image5.png"/><Relationship Id="rId4" Type="http://schemas.openxmlformats.org/officeDocument/2006/relationships/hyperlink" Target="https://en.wikipedia.org/wiki/List_of_largest_banks_in_the_United_States" TargetMode="External"/><Relationship Id="rId9" Type="http://schemas.openxmlformats.org/officeDocument/2006/relationships/hyperlink" Target="https://en.wikipedia.org/wiki/Citigroup" TargetMode="External"/><Relationship Id="rId14" Type="http://schemas.openxmlformats.org/officeDocument/2006/relationships/hyperlink" Target="https://en.wikipedia.org/wiki/New_York_City" TargetMode="External"/><Relationship Id="rId22" Type="http://schemas.openxmlformats.org/officeDocument/2006/relationships/hyperlink" Target="https://www.jpmorgan.com/solutions/cib/investment-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2024-06-06T13:30:00Z</dcterms:created>
  <dcterms:modified xsi:type="dcterms:W3CDTF">2024-06-06T13:56:00Z</dcterms:modified>
</cp:coreProperties>
</file>