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C3383C" w14:textId="100E5B99" w:rsidR="00AB4C15" w:rsidRPr="00AB4C15" w:rsidRDefault="00AB4C15">
      <w:pPr>
        <w:rPr>
          <w:rFonts w:ascii="Arial" w:hAnsi="Arial" w:cs="Arial"/>
          <w:b/>
          <w:bCs/>
          <w:color w:val="111111"/>
          <w:spacing w:val="1"/>
          <w:sz w:val="36"/>
          <w:szCs w:val="36"/>
          <w:shd w:val="clear" w:color="auto" w:fill="FFFFFF"/>
        </w:rPr>
      </w:pPr>
      <w:r w:rsidRPr="00AB4C15">
        <w:rPr>
          <w:rFonts w:ascii="Arial" w:hAnsi="Arial" w:cs="Arial"/>
          <w:b/>
          <w:bCs/>
          <w:color w:val="111111"/>
          <w:spacing w:val="1"/>
          <w:sz w:val="36"/>
          <w:szCs w:val="36"/>
          <w:shd w:val="clear" w:color="auto" w:fill="FFFFFF"/>
        </w:rPr>
        <w:t>Cashier's Check</w:t>
      </w:r>
    </w:p>
    <w:p w14:paraId="2206A9FA" w14:textId="024DCD22" w:rsidR="00561F04" w:rsidRPr="00AB4C15" w:rsidRDefault="00AB4C15">
      <w:pPr>
        <w:rPr>
          <w:rFonts w:ascii="Arial" w:hAnsi="Arial" w:cs="Arial"/>
          <w:color w:val="111111"/>
          <w:spacing w:val="1"/>
          <w:sz w:val="28"/>
          <w:szCs w:val="28"/>
          <w:shd w:val="clear" w:color="auto" w:fill="FFFFFF"/>
        </w:rPr>
      </w:pPr>
      <w:r w:rsidRPr="00AB4C15">
        <w:rPr>
          <w:rFonts w:ascii="Arial" w:hAnsi="Arial" w:cs="Arial"/>
          <w:color w:val="111111"/>
          <w:spacing w:val="1"/>
          <w:sz w:val="28"/>
          <w:szCs w:val="28"/>
          <w:shd w:val="clear" w:color="auto" w:fill="FFFFFF"/>
        </w:rPr>
        <w:t>The bank takes the money from your checking or savings account and puts it in its own account when you purchase a cashier's check. The bank then writes out a check to the person or business you want to pay. You’ll typically pay a fee to the bank for a cashier’s check to the bank, with the average fee at the nation’s largest banks hovering around $10.</w:t>
      </w:r>
    </w:p>
    <w:p w14:paraId="5AE21B0B" w14:textId="7DDBCCBB" w:rsidR="00AB4C15" w:rsidRDefault="00AB4C15">
      <w:pPr>
        <w:rPr>
          <w:rFonts w:ascii="Arial" w:hAnsi="Arial" w:cs="Arial"/>
          <w:color w:val="111111"/>
          <w:spacing w:val="1"/>
          <w:sz w:val="28"/>
          <w:szCs w:val="28"/>
          <w:shd w:val="clear" w:color="auto" w:fill="FFFFFF"/>
        </w:rPr>
      </w:pPr>
      <w:r w:rsidRPr="00AB4C15">
        <w:rPr>
          <w:rFonts w:ascii="Arial" w:hAnsi="Arial" w:cs="Arial"/>
          <w:color w:val="111111"/>
          <w:spacing w:val="1"/>
          <w:sz w:val="28"/>
          <w:szCs w:val="28"/>
          <w:shd w:val="clear" w:color="auto" w:fill="FFFFFF"/>
        </w:rPr>
        <w:t>The upside of using a cashier’s check to pay someone (or to receive payment) in place of a personal check or cash is that it's secure. The bank takes the money directly from your account and puts it into its own, so the check is guaranteed not to bounce. Whoever you want to pay is guaranteed to receive the money. And you don’t have to worry about any overdraft or non-sufficient funds (NSF) fees that can be charged when you don’t have enough money in your account to cover a check.</w:t>
      </w:r>
    </w:p>
    <w:p w14:paraId="2771F831" w14:textId="3A8340A5" w:rsidR="00334192" w:rsidRPr="00334192" w:rsidRDefault="00334192" w:rsidP="00334192">
      <w:pPr>
        <w:numPr>
          <w:ilvl w:val="0"/>
          <w:numId w:val="6"/>
        </w:numPr>
        <w:rPr>
          <w:rFonts w:ascii="Arial" w:hAnsi="Arial" w:cs="Arial"/>
          <w:color w:val="111111"/>
          <w:spacing w:val="1"/>
          <w:sz w:val="28"/>
          <w:szCs w:val="28"/>
          <w:shd w:val="clear" w:color="auto" w:fill="FFFFFF"/>
        </w:rPr>
      </w:pPr>
      <w:r w:rsidRPr="00334192">
        <w:rPr>
          <w:rFonts w:ascii="Arial" w:hAnsi="Arial" w:cs="Arial"/>
          <w:color w:val="111111"/>
          <w:spacing w:val="1"/>
          <w:sz w:val="28"/>
          <w:szCs w:val="28"/>
          <w:shd w:val="clear" w:color="auto" w:fill="FFFFFF"/>
        </w:rPr>
        <w:t xml:space="preserve">In 2021, over 1 billion cashier's checks were issued, </w:t>
      </w:r>
      <w:r w:rsidRPr="00334192">
        <w:rPr>
          <w:rFonts w:ascii="Arial" w:hAnsi="Arial" w:cs="Arial"/>
          <w:color w:val="111111"/>
          <w:spacing w:val="1"/>
          <w:sz w:val="28"/>
          <w:szCs w:val="28"/>
          <w:shd w:val="clear" w:color="auto" w:fill="FFFFFF"/>
        </w:rPr>
        <w:t>totalling</w:t>
      </w:r>
      <w:r w:rsidRPr="00334192">
        <w:rPr>
          <w:rFonts w:ascii="Arial" w:hAnsi="Arial" w:cs="Arial"/>
          <w:color w:val="111111"/>
          <w:spacing w:val="1"/>
          <w:sz w:val="28"/>
          <w:szCs w:val="28"/>
          <w:shd w:val="clear" w:color="auto" w:fill="FFFFFF"/>
        </w:rPr>
        <w:t xml:space="preserve"> $2.8 trillion in value</w:t>
      </w:r>
    </w:p>
    <w:p w14:paraId="5A4B41D9" w14:textId="77777777" w:rsidR="00334192" w:rsidRPr="00334192" w:rsidRDefault="00334192" w:rsidP="00334192">
      <w:pPr>
        <w:numPr>
          <w:ilvl w:val="0"/>
          <w:numId w:val="6"/>
        </w:numPr>
        <w:rPr>
          <w:rFonts w:ascii="Arial" w:hAnsi="Arial" w:cs="Arial"/>
          <w:color w:val="111111"/>
          <w:spacing w:val="1"/>
          <w:sz w:val="28"/>
          <w:szCs w:val="28"/>
          <w:shd w:val="clear" w:color="auto" w:fill="FFFFFF"/>
        </w:rPr>
      </w:pPr>
      <w:r w:rsidRPr="00334192">
        <w:rPr>
          <w:rFonts w:ascii="Arial" w:hAnsi="Arial" w:cs="Arial"/>
          <w:color w:val="111111"/>
          <w:spacing w:val="1"/>
          <w:sz w:val="28"/>
          <w:szCs w:val="28"/>
          <w:shd w:val="clear" w:color="auto" w:fill="FFFFFF"/>
        </w:rPr>
        <w:t>The average fee for a cashier's check is $10, generating over $10 billion in revenue for banks</w:t>
      </w:r>
    </w:p>
    <w:p w14:paraId="66EDD296" w14:textId="3852E485" w:rsidR="00AB4C15" w:rsidRPr="00334192" w:rsidRDefault="00334192" w:rsidP="00334192">
      <w:pPr>
        <w:numPr>
          <w:ilvl w:val="0"/>
          <w:numId w:val="6"/>
        </w:numPr>
        <w:rPr>
          <w:rFonts w:ascii="Arial" w:hAnsi="Arial" w:cs="Arial"/>
          <w:color w:val="111111"/>
          <w:spacing w:val="1"/>
          <w:sz w:val="28"/>
          <w:szCs w:val="28"/>
          <w:shd w:val="clear" w:color="auto" w:fill="FFFFFF"/>
        </w:rPr>
      </w:pPr>
      <w:r w:rsidRPr="00334192">
        <w:rPr>
          <w:rFonts w:ascii="Arial" w:hAnsi="Arial" w:cs="Arial"/>
          <w:color w:val="111111"/>
          <w:spacing w:val="1"/>
          <w:sz w:val="28"/>
          <w:szCs w:val="28"/>
          <w:shd w:val="clear" w:color="auto" w:fill="FFFFFF"/>
        </w:rPr>
        <w:t>Cashier's check fraud cost victims $85 million in 2021, with the average loss being $3,000</w:t>
      </w:r>
    </w:p>
    <w:p w14:paraId="2799AABA" w14:textId="77777777" w:rsidR="00AB4C15" w:rsidRPr="00AB4C15" w:rsidRDefault="00AB4C15" w:rsidP="00AB4C15">
      <w:pPr>
        <w:rPr>
          <w:rFonts w:ascii="Arial" w:hAnsi="Arial" w:cs="Arial"/>
          <w:b/>
          <w:bCs/>
          <w:color w:val="111111"/>
          <w:spacing w:val="1"/>
          <w:sz w:val="36"/>
          <w:szCs w:val="36"/>
          <w:shd w:val="clear" w:color="auto" w:fill="FFFFFF"/>
        </w:rPr>
      </w:pPr>
      <w:r w:rsidRPr="00AB4C15">
        <w:rPr>
          <w:rFonts w:ascii="Arial" w:hAnsi="Arial" w:cs="Arial"/>
          <w:b/>
          <w:bCs/>
          <w:color w:val="111111"/>
          <w:spacing w:val="1"/>
          <w:sz w:val="36"/>
          <w:szCs w:val="36"/>
          <w:shd w:val="clear" w:color="auto" w:fill="FFFFFF"/>
        </w:rPr>
        <w:t>Money Order</w:t>
      </w:r>
    </w:p>
    <w:p w14:paraId="4C91C1DB" w14:textId="6D17DC9B" w:rsidR="00AB4C15" w:rsidRDefault="00AB4C15">
      <w:pPr>
        <w:rPr>
          <w:rFonts w:ascii="Arial" w:hAnsi="Arial" w:cs="Arial"/>
          <w:color w:val="111111"/>
          <w:spacing w:val="1"/>
          <w:sz w:val="28"/>
          <w:szCs w:val="28"/>
          <w:shd w:val="clear" w:color="auto" w:fill="FFFFFF"/>
        </w:rPr>
      </w:pPr>
      <w:r w:rsidRPr="00AB4C15">
        <w:rPr>
          <w:rFonts w:ascii="Arial" w:hAnsi="Arial" w:cs="Arial"/>
          <w:color w:val="111111"/>
          <w:spacing w:val="1"/>
          <w:sz w:val="28"/>
          <w:szCs w:val="28"/>
          <w:shd w:val="clear" w:color="auto" w:fill="FFFFFF"/>
        </w:rPr>
        <w:t>Money orders are also a safer form of payment compared to personal checks. You can buy money orders at a bank, the U.S. Postal Service, convenience stores, drug stores, grocery stores and check-cashing companies. These places generally will also cash a money order they've issued, or you can deposit a money order into your bank account.</w:t>
      </w:r>
    </w:p>
    <w:p w14:paraId="18618518" w14:textId="1F174E09" w:rsidR="00AB4C15" w:rsidRDefault="00AB4C15">
      <w:pPr>
        <w:rPr>
          <w:rFonts w:ascii="Arial" w:hAnsi="Arial" w:cs="Arial"/>
          <w:color w:val="111111"/>
          <w:spacing w:val="1"/>
          <w:sz w:val="28"/>
          <w:szCs w:val="28"/>
          <w:shd w:val="clear" w:color="auto" w:fill="FFFFFF"/>
        </w:rPr>
      </w:pPr>
      <w:r w:rsidRPr="00AB4C15">
        <w:rPr>
          <w:rFonts w:ascii="Arial" w:hAnsi="Arial" w:cs="Arial"/>
          <w:color w:val="111111"/>
          <w:spacing w:val="1"/>
          <w:sz w:val="28"/>
          <w:szCs w:val="28"/>
          <w:shd w:val="clear" w:color="auto" w:fill="FFFFFF"/>
        </w:rPr>
        <w:t xml:space="preserve">You must pay for a money order with cash, a debit card or </w:t>
      </w:r>
      <w:r w:rsidRPr="00AB4C15">
        <w:rPr>
          <w:rFonts w:ascii="Arial" w:hAnsi="Arial" w:cs="Arial"/>
          <w:color w:val="111111"/>
          <w:spacing w:val="1"/>
          <w:sz w:val="28"/>
          <w:szCs w:val="28"/>
          <w:shd w:val="clear" w:color="auto" w:fill="FFFFFF"/>
        </w:rPr>
        <w:t>traveller’s</w:t>
      </w:r>
      <w:r w:rsidRPr="00AB4C15">
        <w:rPr>
          <w:rFonts w:ascii="Arial" w:hAnsi="Arial" w:cs="Arial"/>
          <w:color w:val="111111"/>
          <w:spacing w:val="1"/>
          <w:sz w:val="28"/>
          <w:szCs w:val="28"/>
          <w:shd w:val="clear" w:color="auto" w:fill="FFFFFF"/>
        </w:rPr>
        <w:t xml:space="preserve"> checks when you purchase one. You generally can’t use a credit card or write a personal check, and the transaction could be treated as a cash advance if you are able to use a credit card. Like cashier’s checks, you’ll pay a fee for a money order, but it's usually inexpensive. The fee may be less than $1 or as much as $5 depending on where you buy a money order and how much it's for.</w:t>
      </w:r>
    </w:p>
    <w:p w14:paraId="559A834C" w14:textId="1CDB4D3F" w:rsidR="00AB4C15" w:rsidRDefault="00AB4C15">
      <w:pPr>
        <w:rPr>
          <w:rFonts w:ascii="Arial" w:hAnsi="Arial" w:cs="Arial"/>
          <w:color w:val="111111"/>
          <w:spacing w:val="1"/>
          <w:sz w:val="28"/>
          <w:szCs w:val="28"/>
          <w:shd w:val="clear" w:color="auto" w:fill="FFFFFF"/>
        </w:rPr>
      </w:pPr>
      <w:r w:rsidRPr="00AB4C15">
        <w:rPr>
          <w:rFonts w:ascii="Arial" w:hAnsi="Arial" w:cs="Arial"/>
          <w:color w:val="111111"/>
          <w:spacing w:val="1"/>
          <w:sz w:val="28"/>
          <w:szCs w:val="28"/>
          <w:shd w:val="clear" w:color="auto" w:fill="FFFFFF"/>
        </w:rPr>
        <w:t>The maximum amount for a U.S. Postal Service, MoneyGram, or Western Union money order is $1,000 as of 2023. </w:t>
      </w:r>
    </w:p>
    <w:p w14:paraId="76D07803" w14:textId="77777777" w:rsidR="000413BE" w:rsidRDefault="000413BE" w:rsidP="00334192">
      <w:pPr>
        <w:rPr>
          <w:rFonts w:ascii="Arial" w:hAnsi="Arial" w:cs="Arial"/>
          <w:color w:val="111111"/>
          <w:spacing w:val="1"/>
          <w:sz w:val="28"/>
          <w:szCs w:val="28"/>
          <w:shd w:val="clear" w:color="auto" w:fill="FFFFFF"/>
        </w:rPr>
      </w:pPr>
    </w:p>
    <w:p w14:paraId="2647E588" w14:textId="460CBB41" w:rsidR="000413BE" w:rsidRPr="000413BE" w:rsidRDefault="000413BE" w:rsidP="000413BE">
      <w:pPr>
        <w:jc w:val="center"/>
        <w:rPr>
          <w:rFonts w:ascii="Arial" w:hAnsi="Arial" w:cs="Arial"/>
          <w:b/>
          <w:bCs/>
          <w:color w:val="111111"/>
          <w:spacing w:val="1"/>
          <w:sz w:val="32"/>
          <w:szCs w:val="32"/>
          <w:shd w:val="clear" w:color="auto" w:fill="FFFFFF"/>
        </w:rPr>
      </w:pPr>
      <w:r w:rsidRPr="000413BE">
        <w:rPr>
          <w:rFonts w:ascii="Arial" w:hAnsi="Arial" w:cs="Arial"/>
          <w:b/>
          <w:bCs/>
          <w:color w:val="111111"/>
          <w:spacing w:val="1"/>
          <w:sz w:val="32"/>
          <w:szCs w:val="32"/>
          <w:shd w:val="clear" w:color="auto" w:fill="FFFFFF"/>
        </w:rPr>
        <w:lastRenderedPageBreak/>
        <w:t>Postal Money Orders Processed by the Federal Reserve</w:t>
      </w:r>
    </w:p>
    <w:p w14:paraId="5FD3E709" w14:textId="498F47A5" w:rsidR="000413BE" w:rsidRDefault="000413BE" w:rsidP="000413BE">
      <w:pPr>
        <w:jc w:val="center"/>
        <w:rPr>
          <w:rFonts w:ascii="Arial" w:hAnsi="Arial" w:cs="Arial"/>
          <w:color w:val="111111"/>
          <w:spacing w:val="1"/>
          <w:sz w:val="28"/>
          <w:szCs w:val="28"/>
          <w:shd w:val="clear" w:color="auto" w:fill="FFFFFF"/>
        </w:rPr>
      </w:pPr>
      <w:r>
        <w:rPr>
          <w:noProof/>
        </w:rPr>
        <w:drawing>
          <wp:inline distT="0" distB="0" distL="0" distR="0" wp14:anchorId="006BF110" wp14:editId="6E0143AE">
            <wp:extent cx="4572000" cy="2743200"/>
            <wp:effectExtent l="0" t="0" r="0" b="0"/>
            <wp:docPr id="1953413289" name="Chart 1">
              <a:extLst xmlns:a="http://schemas.openxmlformats.org/drawingml/2006/main">
                <a:ext uri="{FF2B5EF4-FFF2-40B4-BE49-F238E27FC236}">
                  <a16:creationId xmlns:a16="http://schemas.microsoft.com/office/drawing/2014/main" id="{D2A12FA8-2B7E-1DE0-A9AF-D818469098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0AB0860B" w14:textId="77777777" w:rsidR="000413BE" w:rsidRPr="000413BE" w:rsidRDefault="000413BE" w:rsidP="000413BE">
      <w:pPr>
        <w:numPr>
          <w:ilvl w:val="0"/>
          <w:numId w:val="2"/>
        </w:numPr>
        <w:spacing w:line="240" w:lineRule="auto"/>
        <w:rPr>
          <w:rFonts w:ascii="Arial" w:hAnsi="Arial" w:cs="Arial"/>
          <w:color w:val="111111"/>
          <w:spacing w:val="1"/>
          <w:sz w:val="28"/>
          <w:szCs w:val="28"/>
          <w:shd w:val="clear" w:color="auto" w:fill="FFFFFF"/>
        </w:rPr>
      </w:pPr>
      <w:r w:rsidRPr="000413BE">
        <w:rPr>
          <w:rFonts w:ascii="Arial" w:hAnsi="Arial" w:cs="Arial"/>
          <w:b/>
          <w:bCs/>
          <w:color w:val="111111"/>
          <w:spacing w:val="1"/>
          <w:sz w:val="28"/>
          <w:szCs w:val="28"/>
          <w:shd w:val="clear" w:color="auto" w:fill="FFFFFF"/>
        </w:rPr>
        <w:t>Volume Trend Analysis</w:t>
      </w:r>
      <w:r w:rsidRPr="000413BE">
        <w:rPr>
          <w:rFonts w:ascii="Arial" w:hAnsi="Arial" w:cs="Arial"/>
          <w:color w:val="111111"/>
          <w:spacing w:val="1"/>
          <w:sz w:val="28"/>
          <w:szCs w:val="28"/>
          <w:shd w:val="clear" w:color="auto" w:fill="FFFFFF"/>
        </w:rPr>
        <w:t>:</w:t>
      </w:r>
    </w:p>
    <w:p w14:paraId="3113164F" w14:textId="77777777" w:rsidR="000413BE" w:rsidRPr="000413BE" w:rsidRDefault="000413BE" w:rsidP="000413BE">
      <w:pPr>
        <w:numPr>
          <w:ilvl w:val="1"/>
          <w:numId w:val="2"/>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The daily average volume of postal money orders exhibits a general declining trend over the years, indicating a shift in payment preferences and financial habits.</w:t>
      </w:r>
    </w:p>
    <w:p w14:paraId="444BA506" w14:textId="77777777" w:rsidR="000413BE" w:rsidRPr="000413BE" w:rsidRDefault="000413BE" w:rsidP="000413BE">
      <w:pPr>
        <w:numPr>
          <w:ilvl w:val="1"/>
          <w:numId w:val="2"/>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The volume peaked at 230 million items in 2000 and has gradually decreased since then.</w:t>
      </w:r>
    </w:p>
    <w:p w14:paraId="2506A63B" w14:textId="77777777" w:rsidR="000413BE" w:rsidRPr="000413BE" w:rsidRDefault="000413BE" w:rsidP="000413BE">
      <w:pPr>
        <w:numPr>
          <w:ilvl w:val="0"/>
          <w:numId w:val="2"/>
        </w:numPr>
        <w:spacing w:line="240" w:lineRule="auto"/>
        <w:rPr>
          <w:rFonts w:ascii="Arial" w:hAnsi="Arial" w:cs="Arial"/>
          <w:color w:val="111111"/>
          <w:spacing w:val="1"/>
          <w:sz w:val="28"/>
          <w:szCs w:val="28"/>
          <w:shd w:val="clear" w:color="auto" w:fill="FFFFFF"/>
        </w:rPr>
      </w:pPr>
      <w:r w:rsidRPr="000413BE">
        <w:rPr>
          <w:rFonts w:ascii="Arial" w:hAnsi="Arial" w:cs="Arial"/>
          <w:b/>
          <w:bCs/>
          <w:color w:val="111111"/>
          <w:spacing w:val="1"/>
          <w:sz w:val="28"/>
          <w:szCs w:val="28"/>
          <w:shd w:val="clear" w:color="auto" w:fill="FFFFFF"/>
        </w:rPr>
        <w:t>Consistent Decline</w:t>
      </w:r>
      <w:r w:rsidRPr="000413BE">
        <w:rPr>
          <w:rFonts w:ascii="Arial" w:hAnsi="Arial" w:cs="Arial"/>
          <w:color w:val="111111"/>
          <w:spacing w:val="1"/>
          <w:sz w:val="28"/>
          <w:szCs w:val="28"/>
          <w:shd w:val="clear" w:color="auto" w:fill="FFFFFF"/>
        </w:rPr>
        <w:t>:</w:t>
      </w:r>
    </w:p>
    <w:p w14:paraId="0B23F11D" w14:textId="77777777" w:rsidR="000413BE" w:rsidRPr="000413BE" w:rsidRDefault="000413BE" w:rsidP="000413BE">
      <w:pPr>
        <w:numPr>
          <w:ilvl w:val="1"/>
          <w:numId w:val="2"/>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From 2000 to 2019, there was a consistent decline in the daily average volume of postal money orders, reflecting a shift towards alternative payment methods.</w:t>
      </w:r>
    </w:p>
    <w:p w14:paraId="7CE5AA8A" w14:textId="77777777" w:rsidR="000413BE" w:rsidRPr="000413BE" w:rsidRDefault="000413BE" w:rsidP="000413BE">
      <w:pPr>
        <w:numPr>
          <w:ilvl w:val="1"/>
          <w:numId w:val="2"/>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The drop from 230 million items in 2000 to 80 million items in 2019 signifies a significant shift away from traditional postal money orders.</w:t>
      </w:r>
    </w:p>
    <w:p w14:paraId="11CC7B81" w14:textId="77777777" w:rsidR="000413BE" w:rsidRPr="000413BE" w:rsidRDefault="000413BE" w:rsidP="000413BE">
      <w:pPr>
        <w:numPr>
          <w:ilvl w:val="0"/>
          <w:numId w:val="2"/>
        </w:numPr>
        <w:spacing w:line="240" w:lineRule="auto"/>
        <w:rPr>
          <w:rFonts w:ascii="Arial" w:hAnsi="Arial" w:cs="Arial"/>
          <w:color w:val="111111"/>
          <w:spacing w:val="1"/>
          <w:sz w:val="28"/>
          <w:szCs w:val="28"/>
          <w:shd w:val="clear" w:color="auto" w:fill="FFFFFF"/>
        </w:rPr>
      </w:pPr>
      <w:r w:rsidRPr="000413BE">
        <w:rPr>
          <w:rFonts w:ascii="Arial" w:hAnsi="Arial" w:cs="Arial"/>
          <w:b/>
          <w:bCs/>
          <w:color w:val="111111"/>
          <w:spacing w:val="1"/>
          <w:sz w:val="28"/>
          <w:szCs w:val="28"/>
          <w:shd w:val="clear" w:color="auto" w:fill="FFFFFF"/>
        </w:rPr>
        <w:t>Economic Impact</w:t>
      </w:r>
      <w:r w:rsidRPr="000413BE">
        <w:rPr>
          <w:rFonts w:ascii="Arial" w:hAnsi="Arial" w:cs="Arial"/>
          <w:color w:val="111111"/>
          <w:spacing w:val="1"/>
          <w:sz w:val="28"/>
          <w:szCs w:val="28"/>
          <w:shd w:val="clear" w:color="auto" w:fill="FFFFFF"/>
        </w:rPr>
        <w:t>:</w:t>
      </w:r>
    </w:p>
    <w:p w14:paraId="6CAAB1A4" w14:textId="77777777" w:rsidR="000413BE" w:rsidRPr="000413BE" w:rsidRDefault="000413BE" w:rsidP="000413BE">
      <w:pPr>
        <w:numPr>
          <w:ilvl w:val="1"/>
          <w:numId w:val="2"/>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Economic factors, such as technological advancements, increased internet usage, and the popularity of electronic transfers, likely contributed to the decline in postal money order volume.</w:t>
      </w:r>
    </w:p>
    <w:p w14:paraId="6B6DE01B" w14:textId="77777777" w:rsidR="000413BE" w:rsidRPr="000413BE" w:rsidRDefault="000413BE" w:rsidP="000413BE">
      <w:pPr>
        <w:numPr>
          <w:ilvl w:val="1"/>
          <w:numId w:val="2"/>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The shift towards digital and online payment options may have made traditional money orders less appealing for many consumers.</w:t>
      </w:r>
    </w:p>
    <w:p w14:paraId="2403B1E4" w14:textId="77777777" w:rsidR="000413BE" w:rsidRDefault="000413BE">
      <w:pPr>
        <w:rPr>
          <w:rFonts w:ascii="Arial" w:hAnsi="Arial" w:cs="Arial"/>
          <w:color w:val="111111"/>
          <w:spacing w:val="1"/>
          <w:sz w:val="28"/>
          <w:szCs w:val="28"/>
          <w:shd w:val="clear" w:color="auto" w:fill="FFFFFF"/>
        </w:rPr>
      </w:pPr>
    </w:p>
    <w:p w14:paraId="1D1AF257" w14:textId="403ADE4B" w:rsidR="000413BE" w:rsidRDefault="000413BE" w:rsidP="000413BE">
      <w:pPr>
        <w:jc w:val="center"/>
        <w:rPr>
          <w:rFonts w:ascii="Arial" w:hAnsi="Arial" w:cs="Arial"/>
          <w:color w:val="111111"/>
          <w:spacing w:val="1"/>
          <w:sz w:val="28"/>
          <w:szCs w:val="28"/>
          <w:shd w:val="clear" w:color="auto" w:fill="FFFFFF"/>
        </w:rPr>
      </w:pPr>
      <w:r>
        <w:rPr>
          <w:noProof/>
        </w:rPr>
        <w:lastRenderedPageBreak/>
        <w:drawing>
          <wp:inline distT="0" distB="0" distL="0" distR="0" wp14:anchorId="2D6EC481" wp14:editId="418E51EA">
            <wp:extent cx="4572000" cy="2743200"/>
            <wp:effectExtent l="0" t="0" r="0" b="0"/>
            <wp:docPr id="1796868100" name="Chart 1">
              <a:extLst xmlns:a="http://schemas.openxmlformats.org/drawingml/2006/main">
                <a:ext uri="{FF2B5EF4-FFF2-40B4-BE49-F238E27FC236}">
                  <a16:creationId xmlns:a16="http://schemas.microsoft.com/office/drawing/2014/main" id="{8236DD4D-D5B2-B8FC-6A66-BDBA2FC8423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9EABB29" w14:textId="77777777" w:rsidR="000413BE" w:rsidRPr="000413BE" w:rsidRDefault="000413BE" w:rsidP="000413BE">
      <w:pPr>
        <w:numPr>
          <w:ilvl w:val="0"/>
          <w:numId w:val="1"/>
        </w:numPr>
        <w:spacing w:line="240" w:lineRule="auto"/>
        <w:rPr>
          <w:rFonts w:ascii="Arial" w:hAnsi="Arial" w:cs="Arial"/>
          <w:color w:val="111111"/>
          <w:spacing w:val="1"/>
          <w:sz w:val="28"/>
          <w:szCs w:val="28"/>
          <w:shd w:val="clear" w:color="auto" w:fill="FFFFFF"/>
        </w:rPr>
      </w:pPr>
      <w:r w:rsidRPr="000413BE">
        <w:rPr>
          <w:rFonts w:ascii="Arial" w:hAnsi="Arial" w:cs="Arial"/>
          <w:b/>
          <w:bCs/>
          <w:color w:val="111111"/>
          <w:spacing w:val="1"/>
          <w:sz w:val="28"/>
          <w:szCs w:val="28"/>
          <w:shd w:val="clear" w:color="auto" w:fill="FFFFFF"/>
        </w:rPr>
        <w:t>Trend Analysis</w:t>
      </w:r>
      <w:r w:rsidRPr="000413BE">
        <w:rPr>
          <w:rFonts w:ascii="Arial" w:hAnsi="Arial" w:cs="Arial"/>
          <w:color w:val="111111"/>
          <w:spacing w:val="1"/>
          <w:sz w:val="28"/>
          <w:szCs w:val="28"/>
          <w:shd w:val="clear" w:color="auto" w:fill="FFFFFF"/>
        </w:rPr>
        <w:t>:</w:t>
      </w:r>
    </w:p>
    <w:p w14:paraId="4D1B0243" w14:textId="77777777" w:rsidR="000413BE" w:rsidRPr="000413BE" w:rsidRDefault="000413BE" w:rsidP="000413BE">
      <w:pPr>
        <w:numPr>
          <w:ilvl w:val="1"/>
          <w:numId w:val="1"/>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The daily average value of postal money orders has generally shown fluctuations over the years.</w:t>
      </w:r>
    </w:p>
    <w:p w14:paraId="2032B389" w14:textId="77777777" w:rsidR="000413BE" w:rsidRPr="000413BE" w:rsidRDefault="000413BE" w:rsidP="000413BE">
      <w:pPr>
        <w:numPr>
          <w:ilvl w:val="1"/>
          <w:numId w:val="1"/>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There was a slight increase from the low of 14 billion dollars in 1989 to the peak of 32 billion dollars in 2007.</w:t>
      </w:r>
    </w:p>
    <w:p w14:paraId="541E5786" w14:textId="77777777" w:rsidR="000413BE" w:rsidRPr="000413BE" w:rsidRDefault="000413BE" w:rsidP="000413BE">
      <w:pPr>
        <w:numPr>
          <w:ilvl w:val="1"/>
          <w:numId w:val="1"/>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Since 2007, there has been a downward trend, with some variations, reaching 20 billion dollars in recent years.</w:t>
      </w:r>
    </w:p>
    <w:p w14:paraId="2B1097D5" w14:textId="77777777" w:rsidR="000413BE" w:rsidRPr="000413BE" w:rsidRDefault="000413BE" w:rsidP="000413BE">
      <w:pPr>
        <w:numPr>
          <w:ilvl w:val="0"/>
          <w:numId w:val="1"/>
        </w:numPr>
        <w:spacing w:line="240" w:lineRule="auto"/>
        <w:rPr>
          <w:rFonts w:ascii="Arial" w:hAnsi="Arial" w:cs="Arial"/>
          <w:color w:val="111111"/>
          <w:spacing w:val="1"/>
          <w:sz w:val="28"/>
          <w:szCs w:val="28"/>
          <w:shd w:val="clear" w:color="auto" w:fill="FFFFFF"/>
        </w:rPr>
      </w:pPr>
      <w:r w:rsidRPr="000413BE">
        <w:rPr>
          <w:rFonts w:ascii="Arial" w:hAnsi="Arial" w:cs="Arial"/>
          <w:b/>
          <w:bCs/>
          <w:color w:val="111111"/>
          <w:spacing w:val="1"/>
          <w:sz w:val="28"/>
          <w:szCs w:val="28"/>
          <w:shd w:val="clear" w:color="auto" w:fill="FFFFFF"/>
        </w:rPr>
        <w:t>Stability vs. Volatility</w:t>
      </w:r>
      <w:r w:rsidRPr="000413BE">
        <w:rPr>
          <w:rFonts w:ascii="Arial" w:hAnsi="Arial" w:cs="Arial"/>
          <w:color w:val="111111"/>
          <w:spacing w:val="1"/>
          <w:sz w:val="28"/>
          <w:szCs w:val="28"/>
          <w:shd w:val="clear" w:color="auto" w:fill="FFFFFF"/>
        </w:rPr>
        <w:t>:</w:t>
      </w:r>
    </w:p>
    <w:p w14:paraId="369D8C4A" w14:textId="77777777" w:rsidR="000413BE" w:rsidRPr="000413BE" w:rsidRDefault="000413BE" w:rsidP="000413BE">
      <w:pPr>
        <w:numPr>
          <w:ilvl w:val="1"/>
          <w:numId w:val="1"/>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From 1999 to 2014, the daily average value remained relatively stable around 20-22 billion dollars.</w:t>
      </w:r>
    </w:p>
    <w:p w14:paraId="551BB86A" w14:textId="77777777" w:rsidR="000413BE" w:rsidRPr="000413BE" w:rsidRDefault="000413BE" w:rsidP="000413BE">
      <w:pPr>
        <w:numPr>
          <w:ilvl w:val="1"/>
          <w:numId w:val="1"/>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However, a more significant fluctuation occurred in the period of 2007-2009, with a peak and subsequent drop.</w:t>
      </w:r>
    </w:p>
    <w:p w14:paraId="12C0E3BD" w14:textId="77777777" w:rsidR="000413BE" w:rsidRPr="000413BE" w:rsidRDefault="000413BE" w:rsidP="000413BE">
      <w:pPr>
        <w:numPr>
          <w:ilvl w:val="0"/>
          <w:numId w:val="1"/>
        </w:numPr>
        <w:spacing w:line="240" w:lineRule="auto"/>
        <w:rPr>
          <w:rFonts w:ascii="Arial" w:hAnsi="Arial" w:cs="Arial"/>
          <w:color w:val="111111"/>
          <w:spacing w:val="1"/>
          <w:sz w:val="28"/>
          <w:szCs w:val="28"/>
          <w:shd w:val="clear" w:color="auto" w:fill="FFFFFF"/>
        </w:rPr>
      </w:pPr>
      <w:r w:rsidRPr="000413BE">
        <w:rPr>
          <w:rFonts w:ascii="Arial" w:hAnsi="Arial" w:cs="Arial"/>
          <w:b/>
          <w:bCs/>
          <w:color w:val="111111"/>
          <w:spacing w:val="1"/>
          <w:sz w:val="28"/>
          <w:szCs w:val="28"/>
          <w:shd w:val="clear" w:color="auto" w:fill="FFFFFF"/>
        </w:rPr>
        <w:t>Influence of Technological Shifts</w:t>
      </w:r>
      <w:r w:rsidRPr="000413BE">
        <w:rPr>
          <w:rFonts w:ascii="Arial" w:hAnsi="Arial" w:cs="Arial"/>
          <w:color w:val="111111"/>
          <w:spacing w:val="1"/>
          <w:sz w:val="28"/>
          <w:szCs w:val="28"/>
          <w:shd w:val="clear" w:color="auto" w:fill="FFFFFF"/>
        </w:rPr>
        <w:t>:</w:t>
      </w:r>
    </w:p>
    <w:p w14:paraId="0CED84A2" w14:textId="77777777" w:rsidR="000413BE" w:rsidRPr="000413BE" w:rsidRDefault="000413BE" w:rsidP="000413BE">
      <w:pPr>
        <w:numPr>
          <w:ilvl w:val="1"/>
          <w:numId w:val="1"/>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The shift towards digital payment methods and online banking services could have contributed to the decline in daily average value post-2007.</w:t>
      </w:r>
    </w:p>
    <w:p w14:paraId="0F05EC75" w14:textId="77777777" w:rsidR="000413BE" w:rsidRPr="000413BE" w:rsidRDefault="000413BE" w:rsidP="000413BE">
      <w:pPr>
        <w:numPr>
          <w:ilvl w:val="1"/>
          <w:numId w:val="1"/>
        </w:numPr>
        <w:spacing w:line="240" w:lineRule="auto"/>
        <w:rPr>
          <w:rFonts w:ascii="Arial" w:hAnsi="Arial" w:cs="Arial"/>
          <w:color w:val="111111"/>
          <w:spacing w:val="1"/>
          <w:sz w:val="28"/>
          <w:szCs w:val="28"/>
          <w:shd w:val="clear" w:color="auto" w:fill="FFFFFF"/>
        </w:rPr>
      </w:pPr>
      <w:r w:rsidRPr="000413BE">
        <w:rPr>
          <w:rFonts w:ascii="Arial" w:hAnsi="Arial" w:cs="Arial"/>
          <w:color w:val="111111"/>
          <w:spacing w:val="1"/>
          <w:sz w:val="28"/>
          <w:szCs w:val="28"/>
          <w:shd w:val="clear" w:color="auto" w:fill="FFFFFF"/>
        </w:rPr>
        <w:t>Increased use of electronic transfers and online payment platforms might have reduced reliance on traditional postal money orders.</w:t>
      </w:r>
    </w:p>
    <w:p w14:paraId="5A3D0A1C" w14:textId="77777777" w:rsidR="000413BE" w:rsidRDefault="000413BE" w:rsidP="000413BE">
      <w:pPr>
        <w:spacing w:line="240" w:lineRule="auto"/>
        <w:rPr>
          <w:rFonts w:ascii="Arial" w:hAnsi="Arial" w:cs="Arial"/>
          <w:color w:val="111111"/>
          <w:spacing w:val="1"/>
          <w:sz w:val="28"/>
          <w:szCs w:val="28"/>
          <w:shd w:val="clear" w:color="auto" w:fill="FFFFFF"/>
        </w:rPr>
      </w:pPr>
    </w:p>
    <w:p w14:paraId="2C89109A" w14:textId="77777777" w:rsidR="004C759D" w:rsidRDefault="004C759D" w:rsidP="000413BE">
      <w:pPr>
        <w:spacing w:line="240" w:lineRule="auto"/>
        <w:rPr>
          <w:rFonts w:ascii="Arial" w:hAnsi="Arial" w:cs="Arial"/>
          <w:color w:val="111111"/>
          <w:spacing w:val="1"/>
          <w:sz w:val="28"/>
          <w:szCs w:val="28"/>
          <w:shd w:val="clear" w:color="auto" w:fill="FFFFFF"/>
        </w:rPr>
      </w:pPr>
    </w:p>
    <w:p w14:paraId="6457FF40" w14:textId="77777777" w:rsidR="004C759D" w:rsidRDefault="004C759D" w:rsidP="000413BE">
      <w:pPr>
        <w:spacing w:line="240" w:lineRule="auto"/>
        <w:rPr>
          <w:rFonts w:ascii="Arial" w:hAnsi="Arial" w:cs="Arial"/>
          <w:color w:val="111111"/>
          <w:spacing w:val="1"/>
          <w:sz w:val="28"/>
          <w:szCs w:val="28"/>
          <w:shd w:val="clear" w:color="auto" w:fill="FFFFFF"/>
        </w:rPr>
      </w:pPr>
    </w:p>
    <w:p w14:paraId="4BD57FCE" w14:textId="61D9A393" w:rsidR="004C759D" w:rsidRPr="004C759D" w:rsidRDefault="004C759D" w:rsidP="000413BE">
      <w:pPr>
        <w:spacing w:line="240" w:lineRule="auto"/>
        <w:rPr>
          <w:rFonts w:ascii="Arial" w:hAnsi="Arial" w:cs="Arial"/>
          <w:b/>
          <w:bCs/>
          <w:color w:val="111111"/>
          <w:spacing w:val="1"/>
          <w:sz w:val="36"/>
          <w:szCs w:val="36"/>
          <w:shd w:val="clear" w:color="auto" w:fill="FFFFFF"/>
        </w:rPr>
      </w:pPr>
      <w:r w:rsidRPr="004C759D">
        <w:rPr>
          <w:rFonts w:ascii="Arial" w:hAnsi="Arial" w:cs="Arial"/>
          <w:b/>
          <w:bCs/>
          <w:color w:val="111111"/>
          <w:spacing w:val="1"/>
          <w:sz w:val="36"/>
          <w:szCs w:val="36"/>
          <w:shd w:val="clear" w:color="auto" w:fill="FFFFFF"/>
        </w:rPr>
        <w:lastRenderedPageBreak/>
        <w:t>Safe deposit boxes</w:t>
      </w:r>
    </w:p>
    <w:p w14:paraId="02A5760B"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A safe deposit box is a secure container, usually made of metal, that’s used to store valuables at a bank or credit union. These boxes are often kept in vaults and can be rented by bank customers for a fee.</w:t>
      </w:r>
    </w:p>
    <w:p w14:paraId="20AE2591" w14:textId="224DDC51"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Modern safe deposit boxes have been around since the mid-1800s. Some banks today consider them an outdated service and have stopped offering them. But there’s still a demand for them</w:t>
      </w:r>
      <w:r>
        <w:rPr>
          <w:rFonts w:ascii="Arial" w:hAnsi="Arial" w:cs="Arial"/>
          <w:color w:val="111111"/>
          <w:spacing w:val="1"/>
          <w:sz w:val="28"/>
          <w:szCs w:val="28"/>
          <w:shd w:val="clear" w:color="auto" w:fill="FFFFFF"/>
        </w:rPr>
        <w:t>.</w:t>
      </w:r>
    </w:p>
    <w:p w14:paraId="53E3ED8A"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Recently, some financial institutions have started offering virtual safe deposit boxes, where customers can securely store digital copies of important documents, such as birth certificates, last wills and tax records.</w:t>
      </w:r>
    </w:p>
    <w:p w14:paraId="3B6D16A6" w14:textId="1C7CE367" w:rsidR="00334192" w:rsidRDefault="00334192" w:rsidP="000413BE">
      <w:pPr>
        <w:numPr>
          <w:ilvl w:val="0"/>
          <w:numId w:val="5"/>
        </w:numPr>
        <w:spacing w:line="240" w:lineRule="auto"/>
        <w:rPr>
          <w:rFonts w:ascii="Arial" w:hAnsi="Arial" w:cs="Arial"/>
          <w:color w:val="111111"/>
          <w:spacing w:val="1"/>
          <w:sz w:val="28"/>
          <w:szCs w:val="28"/>
          <w:shd w:val="clear" w:color="auto" w:fill="FFFFFF"/>
        </w:rPr>
      </w:pPr>
      <w:r w:rsidRPr="00334192">
        <w:rPr>
          <w:rFonts w:ascii="Arial" w:hAnsi="Arial" w:cs="Arial"/>
          <w:color w:val="111111"/>
          <w:spacing w:val="1"/>
          <w:sz w:val="28"/>
          <w:szCs w:val="28"/>
          <w:shd w:val="clear" w:color="auto" w:fill="FFFFFF"/>
        </w:rPr>
        <w:t>Approximately 25 million safe deposit boxes are currently in use in the United States.</w:t>
      </w:r>
    </w:p>
    <w:p w14:paraId="740D5765" w14:textId="62DF12B0" w:rsidR="00334192" w:rsidRPr="00334192" w:rsidRDefault="00334192" w:rsidP="00334192">
      <w:pPr>
        <w:pStyle w:val="ListParagraph"/>
        <w:numPr>
          <w:ilvl w:val="0"/>
          <w:numId w:val="5"/>
        </w:numPr>
        <w:rPr>
          <w:rFonts w:ascii="Arial" w:hAnsi="Arial" w:cs="Arial"/>
          <w:color w:val="111111"/>
          <w:spacing w:val="1"/>
          <w:sz w:val="28"/>
          <w:szCs w:val="28"/>
          <w:shd w:val="clear" w:color="auto" w:fill="FFFFFF"/>
        </w:rPr>
      </w:pPr>
      <w:r w:rsidRPr="00334192">
        <w:rPr>
          <w:rFonts w:ascii="Arial" w:hAnsi="Arial" w:cs="Arial"/>
          <w:color w:val="111111"/>
          <w:spacing w:val="1"/>
          <w:sz w:val="28"/>
          <w:szCs w:val="28"/>
          <w:shd w:val="clear" w:color="auto" w:fill="FFFFFF"/>
        </w:rPr>
        <w:t>30 million - Peak number of safe deposit boxes in the 1960s</w:t>
      </w:r>
    </w:p>
    <w:p w14:paraId="14A7C35C" w14:textId="77777777" w:rsidR="00334192" w:rsidRPr="00334192" w:rsidRDefault="00334192" w:rsidP="00334192">
      <w:pPr>
        <w:spacing w:line="240" w:lineRule="auto"/>
        <w:ind w:left="720"/>
        <w:rPr>
          <w:rFonts w:ascii="Arial" w:hAnsi="Arial" w:cs="Arial"/>
          <w:color w:val="111111"/>
          <w:spacing w:val="1"/>
          <w:sz w:val="28"/>
          <w:szCs w:val="28"/>
          <w:shd w:val="clear" w:color="auto" w:fill="FFFFFF"/>
        </w:rPr>
      </w:pPr>
    </w:p>
    <w:tbl>
      <w:tblPr>
        <w:tblStyle w:val="GridTable1Light"/>
        <w:tblpPr w:leftFromText="180" w:rightFromText="180" w:vertAnchor="page" w:horzAnchor="margin" w:tblpY="7966"/>
        <w:tblW w:w="10052" w:type="dxa"/>
        <w:tblLook w:val="04A0" w:firstRow="1" w:lastRow="0" w:firstColumn="1" w:lastColumn="0" w:noHBand="0" w:noVBand="1"/>
      </w:tblPr>
      <w:tblGrid>
        <w:gridCol w:w="2547"/>
        <w:gridCol w:w="1559"/>
        <w:gridCol w:w="2693"/>
        <w:gridCol w:w="3253"/>
      </w:tblGrid>
      <w:tr w:rsidR="00334192" w:rsidRPr="004C759D" w14:paraId="23D61A7E" w14:textId="77777777" w:rsidTr="00334192">
        <w:trPr>
          <w:cnfStyle w:val="100000000000" w:firstRow="1" w:lastRow="0" w:firstColumn="0" w:lastColumn="0" w:oddVBand="0" w:evenVBand="0" w:oddHBand="0" w:evenHBand="0" w:firstRowFirstColumn="0" w:firstRowLastColumn="0" w:lastRowFirstColumn="0" w:lastRowLastColumn="0"/>
          <w:trHeight w:val="830"/>
        </w:trPr>
        <w:tc>
          <w:tcPr>
            <w:cnfStyle w:val="001000000000" w:firstRow="0" w:lastRow="0" w:firstColumn="1" w:lastColumn="0" w:oddVBand="0" w:evenVBand="0" w:oddHBand="0" w:evenHBand="0" w:firstRowFirstColumn="0" w:firstRowLastColumn="0" w:lastRowFirstColumn="0" w:lastRowLastColumn="0"/>
            <w:tcW w:w="2547" w:type="dxa"/>
            <w:hideMark/>
          </w:tcPr>
          <w:p w14:paraId="3FE88CC1" w14:textId="77777777" w:rsidR="00334192" w:rsidRPr="004C759D" w:rsidRDefault="00334192" w:rsidP="00334192">
            <w:pPr>
              <w:spacing w:after="160"/>
              <w:jc w:val="center"/>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Bank name</w:t>
            </w:r>
          </w:p>
        </w:tc>
        <w:tc>
          <w:tcPr>
            <w:tcW w:w="1559" w:type="dxa"/>
            <w:hideMark/>
          </w:tcPr>
          <w:p w14:paraId="576C9DE8" w14:textId="77777777" w:rsidR="00334192" w:rsidRPr="004C759D" w:rsidRDefault="00334192" w:rsidP="00334192">
            <w:pPr>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State</w:t>
            </w:r>
          </w:p>
        </w:tc>
        <w:tc>
          <w:tcPr>
            <w:tcW w:w="2693" w:type="dxa"/>
            <w:hideMark/>
          </w:tcPr>
          <w:p w14:paraId="7CF2A64B" w14:textId="77777777" w:rsidR="00334192" w:rsidRPr="004C759D" w:rsidRDefault="00334192" w:rsidP="00334192">
            <w:pPr>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Annual cost of safe deposit box</w:t>
            </w:r>
          </w:p>
        </w:tc>
        <w:tc>
          <w:tcPr>
            <w:tcW w:w="3253" w:type="dxa"/>
            <w:hideMark/>
          </w:tcPr>
          <w:p w14:paraId="03E2835C" w14:textId="77777777" w:rsidR="00334192" w:rsidRPr="004C759D" w:rsidRDefault="00334192" w:rsidP="00334192">
            <w:pPr>
              <w:spacing w:after="160"/>
              <w:jc w:val="center"/>
              <w:cnfStyle w:val="100000000000" w:firstRow="1"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Box size</w:t>
            </w:r>
          </w:p>
        </w:tc>
      </w:tr>
      <w:tr w:rsidR="00334192" w:rsidRPr="004C759D" w14:paraId="10A448B4" w14:textId="77777777" w:rsidTr="00334192">
        <w:trPr>
          <w:trHeight w:val="846"/>
        </w:trPr>
        <w:tc>
          <w:tcPr>
            <w:cnfStyle w:val="001000000000" w:firstRow="0" w:lastRow="0" w:firstColumn="1" w:lastColumn="0" w:oddVBand="0" w:evenVBand="0" w:oddHBand="0" w:evenHBand="0" w:firstRowFirstColumn="0" w:firstRowLastColumn="0" w:lastRowFirstColumn="0" w:lastRowLastColumn="0"/>
            <w:tcW w:w="2547" w:type="dxa"/>
            <w:hideMark/>
          </w:tcPr>
          <w:p w14:paraId="67C324D8" w14:textId="77777777" w:rsidR="00334192" w:rsidRPr="004C759D" w:rsidRDefault="00334192" w:rsidP="00334192">
            <w:pPr>
              <w:spacing w:after="16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Community First National Bank</w:t>
            </w:r>
          </w:p>
        </w:tc>
        <w:tc>
          <w:tcPr>
            <w:tcW w:w="1559" w:type="dxa"/>
            <w:hideMark/>
          </w:tcPr>
          <w:p w14:paraId="446960D7"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Kansas</w:t>
            </w:r>
          </w:p>
        </w:tc>
        <w:tc>
          <w:tcPr>
            <w:tcW w:w="2693" w:type="dxa"/>
            <w:hideMark/>
          </w:tcPr>
          <w:p w14:paraId="19B4E0F0"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$35-$100</w:t>
            </w:r>
          </w:p>
        </w:tc>
        <w:tc>
          <w:tcPr>
            <w:tcW w:w="3253" w:type="dxa"/>
            <w:hideMark/>
          </w:tcPr>
          <w:p w14:paraId="4B261FF1"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Ranging from 3-by-10 inches to 10-by-10 inches.</w:t>
            </w:r>
          </w:p>
        </w:tc>
      </w:tr>
      <w:tr w:rsidR="00334192" w:rsidRPr="004C759D" w14:paraId="788E3E95" w14:textId="77777777" w:rsidTr="00334192">
        <w:trPr>
          <w:trHeight w:val="830"/>
        </w:trPr>
        <w:tc>
          <w:tcPr>
            <w:cnfStyle w:val="001000000000" w:firstRow="0" w:lastRow="0" w:firstColumn="1" w:lastColumn="0" w:oddVBand="0" w:evenVBand="0" w:oddHBand="0" w:evenHBand="0" w:firstRowFirstColumn="0" w:firstRowLastColumn="0" w:lastRowFirstColumn="0" w:lastRowLastColumn="0"/>
            <w:tcW w:w="2547" w:type="dxa"/>
            <w:hideMark/>
          </w:tcPr>
          <w:p w14:paraId="0985E74D" w14:textId="77777777" w:rsidR="00334192" w:rsidRPr="004C759D" w:rsidRDefault="00334192" w:rsidP="00334192">
            <w:pPr>
              <w:spacing w:after="16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First Service Federal Credit Union</w:t>
            </w:r>
          </w:p>
        </w:tc>
        <w:tc>
          <w:tcPr>
            <w:tcW w:w="1559" w:type="dxa"/>
            <w:hideMark/>
          </w:tcPr>
          <w:p w14:paraId="71073A81"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Ohio</w:t>
            </w:r>
          </w:p>
        </w:tc>
        <w:tc>
          <w:tcPr>
            <w:tcW w:w="2693" w:type="dxa"/>
            <w:hideMark/>
          </w:tcPr>
          <w:p w14:paraId="3D5C5648"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$25-$75</w:t>
            </w:r>
          </w:p>
        </w:tc>
        <w:tc>
          <w:tcPr>
            <w:tcW w:w="3253" w:type="dxa"/>
            <w:hideMark/>
          </w:tcPr>
          <w:p w14:paraId="1A66E5E5"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Ranging from 3-by-5 inches to 10-by-10 inches.</w:t>
            </w:r>
          </w:p>
        </w:tc>
      </w:tr>
      <w:tr w:rsidR="00334192" w:rsidRPr="004C759D" w14:paraId="787CA261" w14:textId="77777777" w:rsidTr="00334192">
        <w:trPr>
          <w:trHeight w:val="830"/>
        </w:trPr>
        <w:tc>
          <w:tcPr>
            <w:cnfStyle w:val="001000000000" w:firstRow="0" w:lastRow="0" w:firstColumn="1" w:lastColumn="0" w:oddVBand="0" w:evenVBand="0" w:oddHBand="0" w:evenHBand="0" w:firstRowFirstColumn="0" w:firstRowLastColumn="0" w:lastRowFirstColumn="0" w:lastRowLastColumn="0"/>
            <w:tcW w:w="2547" w:type="dxa"/>
            <w:hideMark/>
          </w:tcPr>
          <w:p w14:paraId="0403C368" w14:textId="77777777" w:rsidR="00334192" w:rsidRPr="004C759D" w:rsidRDefault="00334192" w:rsidP="00334192">
            <w:pPr>
              <w:spacing w:after="16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First Bank &amp; Trust Co.</w:t>
            </w:r>
          </w:p>
        </w:tc>
        <w:tc>
          <w:tcPr>
            <w:tcW w:w="1559" w:type="dxa"/>
            <w:hideMark/>
          </w:tcPr>
          <w:p w14:paraId="1F6C2834"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Oklahoma</w:t>
            </w:r>
          </w:p>
        </w:tc>
        <w:tc>
          <w:tcPr>
            <w:tcW w:w="2693" w:type="dxa"/>
            <w:hideMark/>
          </w:tcPr>
          <w:p w14:paraId="134F07F1"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$15-$150</w:t>
            </w:r>
          </w:p>
        </w:tc>
        <w:tc>
          <w:tcPr>
            <w:tcW w:w="3253" w:type="dxa"/>
            <w:hideMark/>
          </w:tcPr>
          <w:p w14:paraId="59F0731A"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 xml:space="preserve">Ranging </w:t>
            </w:r>
            <w:proofErr w:type="gramStart"/>
            <w:r w:rsidRPr="004C759D">
              <w:rPr>
                <w:rFonts w:ascii="Arial" w:hAnsi="Arial" w:cs="Arial"/>
                <w:color w:val="111111"/>
                <w:spacing w:val="1"/>
                <w:sz w:val="28"/>
                <w:szCs w:val="28"/>
                <w:shd w:val="clear" w:color="auto" w:fill="FFFFFF"/>
              </w:rPr>
              <w:t>from  2</w:t>
            </w:r>
            <w:proofErr w:type="gramEnd"/>
            <w:r w:rsidRPr="004C759D">
              <w:rPr>
                <w:rFonts w:ascii="Arial" w:hAnsi="Arial" w:cs="Arial"/>
                <w:color w:val="111111"/>
                <w:spacing w:val="1"/>
                <w:sz w:val="28"/>
                <w:szCs w:val="28"/>
                <w:shd w:val="clear" w:color="auto" w:fill="FFFFFF"/>
              </w:rPr>
              <w:t>-by-5 inches to 10-by-14 inches.</w:t>
            </w:r>
          </w:p>
        </w:tc>
      </w:tr>
      <w:tr w:rsidR="00334192" w:rsidRPr="004C759D" w14:paraId="3AF834B5" w14:textId="77777777" w:rsidTr="00334192">
        <w:trPr>
          <w:trHeight w:val="830"/>
        </w:trPr>
        <w:tc>
          <w:tcPr>
            <w:cnfStyle w:val="001000000000" w:firstRow="0" w:lastRow="0" w:firstColumn="1" w:lastColumn="0" w:oddVBand="0" w:evenVBand="0" w:oddHBand="0" w:evenHBand="0" w:firstRowFirstColumn="0" w:firstRowLastColumn="0" w:lastRowFirstColumn="0" w:lastRowLastColumn="0"/>
            <w:tcW w:w="2547" w:type="dxa"/>
            <w:hideMark/>
          </w:tcPr>
          <w:p w14:paraId="606E5FB1" w14:textId="77777777" w:rsidR="00334192" w:rsidRPr="004C759D" w:rsidRDefault="00334192" w:rsidP="00334192">
            <w:pPr>
              <w:spacing w:after="16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Lake City Federal Bank</w:t>
            </w:r>
          </w:p>
        </w:tc>
        <w:tc>
          <w:tcPr>
            <w:tcW w:w="1559" w:type="dxa"/>
            <w:hideMark/>
          </w:tcPr>
          <w:p w14:paraId="0559FE45"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Minnesota</w:t>
            </w:r>
          </w:p>
        </w:tc>
        <w:tc>
          <w:tcPr>
            <w:tcW w:w="2693" w:type="dxa"/>
            <w:hideMark/>
          </w:tcPr>
          <w:p w14:paraId="687C3EEF"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$25-$70</w:t>
            </w:r>
          </w:p>
        </w:tc>
        <w:tc>
          <w:tcPr>
            <w:tcW w:w="3253" w:type="dxa"/>
            <w:hideMark/>
          </w:tcPr>
          <w:p w14:paraId="01873490" w14:textId="77777777" w:rsidR="00334192" w:rsidRPr="004C759D" w:rsidRDefault="00334192" w:rsidP="00334192">
            <w:pPr>
              <w:spacing w:after="160"/>
              <w:cnfStyle w:val="000000000000" w:firstRow="0" w:lastRow="0" w:firstColumn="0" w:lastColumn="0" w:oddVBand="0" w:evenVBand="0" w:oddHBand="0" w:evenHBand="0" w:firstRowFirstColumn="0" w:firstRowLastColumn="0" w:lastRowFirstColumn="0" w:lastRowLastColumn="0"/>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Ranging from 3-by-5 inches to 10-by-</w:t>
            </w:r>
            <w:proofErr w:type="gramStart"/>
            <w:r w:rsidRPr="004C759D">
              <w:rPr>
                <w:rFonts w:ascii="Arial" w:hAnsi="Arial" w:cs="Arial"/>
                <w:color w:val="111111"/>
                <w:spacing w:val="1"/>
                <w:sz w:val="28"/>
                <w:szCs w:val="28"/>
                <w:shd w:val="clear" w:color="auto" w:fill="FFFFFF"/>
              </w:rPr>
              <w:t>10  inches</w:t>
            </w:r>
            <w:proofErr w:type="gramEnd"/>
            <w:r w:rsidRPr="004C759D">
              <w:rPr>
                <w:rFonts w:ascii="Arial" w:hAnsi="Arial" w:cs="Arial"/>
                <w:color w:val="111111"/>
                <w:spacing w:val="1"/>
                <w:sz w:val="28"/>
                <w:szCs w:val="28"/>
                <w:shd w:val="clear" w:color="auto" w:fill="FFFFFF"/>
              </w:rPr>
              <w:t>.</w:t>
            </w:r>
          </w:p>
        </w:tc>
      </w:tr>
    </w:tbl>
    <w:p w14:paraId="263D08E8" w14:textId="5B8F55CD" w:rsidR="004C759D" w:rsidRDefault="004C759D" w:rsidP="000413BE">
      <w:pPr>
        <w:spacing w:line="240" w:lineRule="auto"/>
        <w:rPr>
          <w:rFonts w:ascii="Arial" w:hAnsi="Arial" w:cs="Arial"/>
          <w:b/>
          <w:bCs/>
          <w:color w:val="111111"/>
          <w:spacing w:val="1"/>
          <w:sz w:val="28"/>
          <w:szCs w:val="28"/>
          <w:shd w:val="clear" w:color="auto" w:fill="FFFFFF"/>
        </w:rPr>
      </w:pPr>
      <w:r>
        <w:rPr>
          <w:rFonts w:ascii="Arial" w:hAnsi="Arial" w:cs="Arial"/>
          <w:b/>
          <w:bCs/>
          <w:color w:val="111111"/>
          <w:spacing w:val="1"/>
          <w:sz w:val="28"/>
          <w:szCs w:val="28"/>
          <w:shd w:val="clear" w:color="auto" w:fill="FFFFFF"/>
        </w:rPr>
        <w:t>C</w:t>
      </w:r>
      <w:r w:rsidRPr="004C759D">
        <w:rPr>
          <w:rFonts w:ascii="Arial" w:hAnsi="Arial" w:cs="Arial"/>
          <w:b/>
          <w:bCs/>
          <w:color w:val="111111"/>
          <w:spacing w:val="1"/>
          <w:sz w:val="28"/>
          <w:szCs w:val="28"/>
          <w:shd w:val="clear" w:color="auto" w:fill="FFFFFF"/>
        </w:rPr>
        <w:t>ost of a safe deposit box</w:t>
      </w:r>
    </w:p>
    <w:p w14:paraId="1167FB4C" w14:textId="77777777" w:rsidR="004C759D" w:rsidRDefault="004C759D" w:rsidP="000413BE">
      <w:pPr>
        <w:spacing w:line="240" w:lineRule="auto"/>
        <w:rPr>
          <w:rFonts w:ascii="Arial" w:hAnsi="Arial" w:cs="Arial"/>
          <w:b/>
          <w:bCs/>
          <w:color w:val="111111"/>
          <w:spacing w:val="1"/>
          <w:sz w:val="28"/>
          <w:szCs w:val="28"/>
          <w:shd w:val="clear" w:color="auto" w:fill="FFFFFF"/>
        </w:rPr>
      </w:pPr>
    </w:p>
    <w:p w14:paraId="3DAB8372" w14:textId="77777777" w:rsidR="004C759D" w:rsidRDefault="004C759D" w:rsidP="000413BE">
      <w:pPr>
        <w:spacing w:line="240" w:lineRule="auto"/>
        <w:rPr>
          <w:rFonts w:ascii="Arial" w:hAnsi="Arial" w:cs="Arial"/>
          <w:b/>
          <w:bCs/>
          <w:color w:val="111111"/>
          <w:spacing w:val="1"/>
          <w:sz w:val="28"/>
          <w:szCs w:val="28"/>
          <w:shd w:val="clear" w:color="auto" w:fill="FFFFFF"/>
        </w:rPr>
      </w:pPr>
    </w:p>
    <w:p w14:paraId="781F447D" w14:textId="77777777" w:rsidR="004C759D" w:rsidRDefault="004C759D" w:rsidP="000413BE">
      <w:pPr>
        <w:spacing w:line="240" w:lineRule="auto"/>
        <w:rPr>
          <w:rFonts w:ascii="Arial" w:hAnsi="Arial" w:cs="Arial"/>
          <w:b/>
          <w:bCs/>
          <w:color w:val="111111"/>
          <w:spacing w:val="1"/>
          <w:sz w:val="28"/>
          <w:szCs w:val="28"/>
          <w:shd w:val="clear" w:color="auto" w:fill="FFFFFF"/>
        </w:rPr>
      </w:pPr>
    </w:p>
    <w:p w14:paraId="0DB953A7" w14:textId="77777777" w:rsidR="00334192" w:rsidRDefault="00334192" w:rsidP="000413BE">
      <w:pPr>
        <w:spacing w:line="240" w:lineRule="auto"/>
        <w:rPr>
          <w:rFonts w:ascii="Arial" w:hAnsi="Arial" w:cs="Arial"/>
          <w:b/>
          <w:bCs/>
          <w:color w:val="111111"/>
          <w:spacing w:val="1"/>
          <w:sz w:val="28"/>
          <w:szCs w:val="28"/>
          <w:shd w:val="clear" w:color="auto" w:fill="FFFFFF"/>
        </w:rPr>
      </w:pPr>
    </w:p>
    <w:p w14:paraId="4E447F29" w14:textId="707CBA6B" w:rsidR="004C759D" w:rsidRPr="004C759D" w:rsidRDefault="004C759D" w:rsidP="000413BE">
      <w:pPr>
        <w:spacing w:line="240" w:lineRule="auto"/>
        <w:rPr>
          <w:rFonts w:ascii="Arial" w:hAnsi="Arial" w:cs="Arial"/>
          <w:b/>
          <w:bCs/>
          <w:color w:val="111111"/>
          <w:spacing w:val="1"/>
          <w:sz w:val="32"/>
          <w:szCs w:val="32"/>
          <w:shd w:val="clear" w:color="auto" w:fill="FFFFFF"/>
        </w:rPr>
      </w:pPr>
      <w:r w:rsidRPr="004C759D">
        <w:rPr>
          <w:rFonts w:ascii="Arial" w:hAnsi="Arial" w:cs="Arial"/>
          <w:b/>
          <w:bCs/>
          <w:color w:val="111111"/>
          <w:spacing w:val="1"/>
          <w:sz w:val="32"/>
          <w:szCs w:val="32"/>
          <w:shd w:val="clear" w:color="auto" w:fill="FFFFFF"/>
        </w:rPr>
        <w:lastRenderedPageBreak/>
        <w:t>Pros and cons of using a safe deposit box</w:t>
      </w:r>
    </w:p>
    <w:p w14:paraId="00BED0C4" w14:textId="77777777" w:rsidR="004C759D" w:rsidRPr="004C759D" w:rsidRDefault="004C759D" w:rsidP="004C759D">
      <w:pPr>
        <w:spacing w:line="240" w:lineRule="auto"/>
        <w:rPr>
          <w:rFonts w:ascii="Arial" w:hAnsi="Arial" w:cs="Arial"/>
          <w:b/>
          <w:bCs/>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Pros</w:t>
      </w:r>
    </w:p>
    <w:p w14:paraId="335BA394"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High level of security: </w:t>
      </w:r>
      <w:r w:rsidRPr="004C759D">
        <w:rPr>
          <w:rFonts w:ascii="Arial" w:hAnsi="Arial" w:cs="Arial"/>
          <w:color w:val="111111"/>
          <w:spacing w:val="1"/>
          <w:sz w:val="28"/>
          <w:szCs w:val="28"/>
          <w:shd w:val="clear" w:color="auto" w:fill="FFFFFF"/>
        </w:rPr>
        <w:t>Safe deposit boxes are highly secure, stored in closed off areas of financial institutions with advanced surveillance.</w:t>
      </w:r>
    </w:p>
    <w:p w14:paraId="5D9F3D55"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Environmental protection: </w:t>
      </w:r>
      <w:r w:rsidRPr="004C759D">
        <w:rPr>
          <w:rFonts w:ascii="Arial" w:hAnsi="Arial" w:cs="Arial"/>
          <w:color w:val="111111"/>
          <w:spacing w:val="1"/>
          <w:sz w:val="28"/>
          <w:szCs w:val="28"/>
          <w:shd w:val="clear" w:color="auto" w:fill="FFFFFF"/>
        </w:rPr>
        <w:t>They can protect your valuables from environmental damage, such as a flood or fire.</w:t>
      </w:r>
    </w:p>
    <w:p w14:paraId="4100BFAE"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Privacy: </w:t>
      </w:r>
      <w:r w:rsidRPr="004C759D">
        <w:rPr>
          <w:rFonts w:ascii="Arial" w:hAnsi="Arial" w:cs="Arial"/>
          <w:color w:val="111111"/>
          <w:spacing w:val="1"/>
          <w:sz w:val="28"/>
          <w:szCs w:val="28"/>
          <w:shd w:val="clear" w:color="auto" w:fill="FFFFFF"/>
        </w:rPr>
        <w:t>Only you and anyone you authorize have access to the contents of your box.</w:t>
      </w:r>
    </w:p>
    <w:p w14:paraId="54C6579E" w14:textId="77777777" w:rsidR="004C759D" w:rsidRPr="004C759D" w:rsidRDefault="004C759D" w:rsidP="004C759D">
      <w:pPr>
        <w:spacing w:line="240" w:lineRule="auto"/>
        <w:rPr>
          <w:rFonts w:ascii="Arial" w:hAnsi="Arial" w:cs="Arial"/>
          <w:b/>
          <w:bCs/>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Cons</w:t>
      </w:r>
    </w:p>
    <w:p w14:paraId="581C2755"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Limited access: </w:t>
      </w:r>
      <w:r w:rsidRPr="004C759D">
        <w:rPr>
          <w:rFonts w:ascii="Arial" w:hAnsi="Arial" w:cs="Arial"/>
          <w:color w:val="111111"/>
          <w:spacing w:val="1"/>
          <w:sz w:val="28"/>
          <w:szCs w:val="28"/>
          <w:shd w:val="clear" w:color="auto" w:fill="FFFFFF"/>
        </w:rPr>
        <w:t>You can only access your safe deposit box during the institution’s business hours.</w:t>
      </w:r>
    </w:p>
    <w:p w14:paraId="4B1DC70A"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Fees:</w:t>
      </w:r>
      <w:r w:rsidRPr="004C759D">
        <w:rPr>
          <w:rFonts w:ascii="Arial" w:hAnsi="Arial" w:cs="Arial"/>
          <w:color w:val="111111"/>
          <w:spacing w:val="1"/>
          <w:sz w:val="28"/>
          <w:szCs w:val="28"/>
          <w:shd w:val="clear" w:color="auto" w:fill="FFFFFF"/>
        </w:rPr>
        <w:t> There’s a yearly fee associated with maintaining a box. Other options, such as home safes, have only a one-time cost.</w:t>
      </w:r>
    </w:p>
    <w:p w14:paraId="50699855"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Potential legal complications: </w:t>
      </w:r>
      <w:r w:rsidRPr="004C759D">
        <w:rPr>
          <w:rFonts w:ascii="Arial" w:hAnsi="Arial" w:cs="Arial"/>
          <w:color w:val="111111"/>
          <w:spacing w:val="1"/>
          <w:sz w:val="28"/>
          <w:szCs w:val="28"/>
          <w:shd w:val="clear" w:color="auto" w:fill="FFFFFF"/>
        </w:rPr>
        <w:t>If not handled correctly, there could be legal issues in accessing the box, particularly after the death of the owner.</w:t>
      </w:r>
    </w:p>
    <w:p w14:paraId="7E05DC94" w14:textId="77777777"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Not insured by the bank: </w:t>
      </w:r>
      <w:r w:rsidRPr="004C759D">
        <w:rPr>
          <w:rFonts w:ascii="Arial" w:hAnsi="Arial" w:cs="Arial"/>
          <w:color w:val="111111"/>
          <w:spacing w:val="1"/>
          <w:sz w:val="28"/>
          <w:szCs w:val="28"/>
          <w:shd w:val="clear" w:color="auto" w:fill="FFFFFF"/>
        </w:rPr>
        <w:t>Banks offer deposit account insurance but usually not insurance for safe deposit boxes. You may need to purchase separate insurance if the items in the box are highly valuable.</w:t>
      </w:r>
    </w:p>
    <w:p w14:paraId="41EC0297" w14:textId="77777777" w:rsid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b/>
          <w:bCs/>
          <w:color w:val="111111"/>
          <w:spacing w:val="1"/>
          <w:sz w:val="28"/>
          <w:szCs w:val="28"/>
          <w:shd w:val="clear" w:color="auto" w:fill="FFFFFF"/>
        </w:rPr>
        <w:t>Extra fees for lost keys. </w:t>
      </w:r>
      <w:r w:rsidRPr="004C759D">
        <w:rPr>
          <w:rFonts w:ascii="Arial" w:hAnsi="Arial" w:cs="Arial"/>
          <w:color w:val="111111"/>
          <w:spacing w:val="1"/>
          <w:sz w:val="28"/>
          <w:szCs w:val="28"/>
          <w:shd w:val="clear" w:color="auto" w:fill="FFFFFF"/>
        </w:rPr>
        <w:t>If you lose a key, you may have to pay an extra fee for replacement.</w:t>
      </w:r>
    </w:p>
    <w:p w14:paraId="0035DB7A" w14:textId="77777777" w:rsidR="00334192" w:rsidRPr="004C759D" w:rsidRDefault="00334192" w:rsidP="004C759D">
      <w:pPr>
        <w:spacing w:line="240" w:lineRule="auto"/>
        <w:rPr>
          <w:rFonts w:ascii="Arial" w:hAnsi="Arial" w:cs="Arial"/>
          <w:color w:val="111111"/>
          <w:spacing w:val="1"/>
          <w:sz w:val="28"/>
          <w:szCs w:val="28"/>
          <w:shd w:val="clear" w:color="auto" w:fill="FFFFFF"/>
        </w:rPr>
      </w:pPr>
    </w:p>
    <w:p w14:paraId="180457B0" w14:textId="36461A06" w:rsidR="004C759D" w:rsidRPr="00334192" w:rsidRDefault="00334192" w:rsidP="000413BE">
      <w:pPr>
        <w:spacing w:line="240" w:lineRule="auto"/>
        <w:rPr>
          <w:rFonts w:ascii="Arial" w:hAnsi="Arial" w:cs="Arial"/>
          <w:b/>
          <w:bCs/>
          <w:color w:val="111111"/>
          <w:spacing w:val="1"/>
          <w:sz w:val="28"/>
          <w:szCs w:val="28"/>
          <w:shd w:val="clear" w:color="auto" w:fill="FFFFFF"/>
        </w:rPr>
      </w:pPr>
      <w:r w:rsidRPr="00334192">
        <w:rPr>
          <w:rFonts w:ascii="Arial" w:hAnsi="Arial" w:cs="Arial"/>
          <w:b/>
          <w:bCs/>
          <w:color w:val="111111"/>
          <w:spacing w:val="1"/>
          <w:sz w:val="28"/>
          <w:szCs w:val="28"/>
          <w:shd w:val="clear" w:color="auto" w:fill="FFFFFF"/>
        </w:rPr>
        <w:t xml:space="preserve">Are </w:t>
      </w:r>
      <w:r>
        <w:rPr>
          <w:rFonts w:ascii="Arial" w:hAnsi="Arial" w:cs="Arial"/>
          <w:b/>
          <w:bCs/>
          <w:color w:val="111111"/>
          <w:spacing w:val="1"/>
          <w:sz w:val="28"/>
          <w:szCs w:val="28"/>
          <w:shd w:val="clear" w:color="auto" w:fill="FFFFFF"/>
        </w:rPr>
        <w:t>The</w:t>
      </w:r>
      <w:r w:rsidRPr="00334192">
        <w:rPr>
          <w:rFonts w:ascii="Arial" w:hAnsi="Arial" w:cs="Arial"/>
          <w:b/>
          <w:bCs/>
          <w:color w:val="111111"/>
          <w:spacing w:val="1"/>
          <w:sz w:val="28"/>
          <w:szCs w:val="28"/>
          <w:shd w:val="clear" w:color="auto" w:fill="FFFFFF"/>
        </w:rPr>
        <w:t xml:space="preserve"> </w:t>
      </w:r>
      <w:r>
        <w:rPr>
          <w:rFonts w:ascii="Arial" w:hAnsi="Arial" w:cs="Arial"/>
          <w:b/>
          <w:bCs/>
          <w:color w:val="111111"/>
          <w:spacing w:val="1"/>
          <w:sz w:val="28"/>
          <w:szCs w:val="28"/>
          <w:shd w:val="clear" w:color="auto" w:fill="FFFFFF"/>
        </w:rPr>
        <w:t>B</w:t>
      </w:r>
      <w:r w:rsidRPr="00334192">
        <w:rPr>
          <w:rFonts w:ascii="Arial" w:hAnsi="Arial" w:cs="Arial"/>
          <w:b/>
          <w:bCs/>
          <w:color w:val="111111"/>
          <w:spacing w:val="1"/>
          <w:sz w:val="28"/>
          <w:szCs w:val="28"/>
          <w:shd w:val="clear" w:color="auto" w:fill="FFFFFF"/>
        </w:rPr>
        <w:t xml:space="preserve">elongings insured like </w:t>
      </w:r>
      <w:r>
        <w:rPr>
          <w:rFonts w:ascii="Arial" w:hAnsi="Arial" w:cs="Arial"/>
          <w:b/>
          <w:bCs/>
          <w:color w:val="111111"/>
          <w:spacing w:val="1"/>
          <w:sz w:val="28"/>
          <w:szCs w:val="28"/>
          <w:shd w:val="clear" w:color="auto" w:fill="FFFFFF"/>
        </w:rPr>
        <w:t>a</w:t>
      </w:r>
      <w:r w:rsidRPr="00334192">
        <w:rPr>
          <w:rFonts w:ascii="Arial" w:hAnsi="Arial" w:cs="Arial"/>
          <w:b/>
          <w:bCs/>
          <w:color w:val="111111"/>
          <w:spacing w:val="1"/>
          <w:sz w:val="28"/>
          <w:szCs w:val="28"/>
          <w:shd w:val="clear" w:color="auto" w:fill="FFFFFF"/>
        </w:rPr>
        <w:t xml:space="preserve"> bank account?</w:t>
      </w:r>
    </w:p>
    <w:p w14:paraId="0433AC3B" w14:textId="0D73E6B6" w:rsidR="004C759D" w:rsidRPr="004C759D"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A safe deposit box lives within the vault of a federally insured bank or credit union. But whatever you put inside that box isn’t insured by the institution or the government.</w:t>
      </w:r>
    </w:p>
    <w:p w14:paraId="7096C0A1" w14:textId="4D631645" w:rsidR="004C759D" w:rsidRPr="00AB4C15" w:rsidRDefault="004C759D" w:rsidP="004C759D">
      <w:pPr>
        <w:spacing w:line="240" w:lineRule="auto"/>
        <w:rPr>
          <w:rFonts w:ascii="Arial" w:hAnsi="Arial" w:cs="Arial"/>
          <w:color w:val="111111"/>
          <w:spacing w:val="1"/>
          <w:sz w:val="28"/>
          <w:szCs w:val="28"/>
          <w:shd w:val="clear" w:color="auto" w:fill="FFFFFF"/>
        </w:rPr>
      </w:pPr>
      <w:r w:rsidRPr="004C759D">
        <w:rPr>
          <w:rFonts w:ascii="Arial" w:hAnsi="Arial" w:cs="Arial"/>
          <w:color w:val="111111"/>
          <w:spacing w:val="1"/>
          <w:sz w:val="28"/>
          <w:szCs w:val="28"/>
          <w:shd w:val="clear" w:color="auto" w:fill="FFFFFF"/>
        </w:rPr>
        <w:t>The Federal Deposit Insurance Corp. (FDIC), for example, protects only the money in FDIC-insured checking, money market and savings accounts, and certificates of deposit. Furthermore, there are no federal laws stating that customers must receive any form of payment when an item is damaged or stolen.</w:t>
      </w:r>
    </w:p>
    <w:sectPr w:rsidR="004C759D" w:rsidRPr="00AB4C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A384B"/>
    <w:multiLevelType w:val="multilevel"/>
    <w:tmpl w:val="94B2D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580B36"/>
    <w:multiLevelType w:val="multilevel"/>
    <w:tmpl w:val="8C7C09E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E86241"/>
    <w:multiLevelType w:val="multilevel"/>
    <w:tmpl w:val="5950A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A34AA0"/>
    <w:multiLevelType w:val="multilevel"/>
    <w:tmpl w:val="5AA28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0164E"/>
    <w:multiLevelType w:val="multilevel"/>
    <w:tmpl w:val="E560566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EE0025"/>
    <w:multiLevelType w:val="multilevel"/>
    <w:tmpl w:val="5EF2E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1478037">
    <w:abstractNumId w:val="1"/>
  </w:num>
  <w:num w:numId="2" w16cid:durableId="1775517910">
    <w:abstractNumId w:val="4"/>
  </w:num>
  <w:num w:numId="3" w16cid:durableId="244147160">
    <w:abstractNumId w:val="0"/>
  </w:num>
  <w:num w:numId="4" w16cid:durableId="408306908">
    <w:abstractNumId w:val="3"/>
  </w:num>
  <w:num w:numId="5" w16cid:durableId="1114328681">
    <w:abstractNumId w:val="2"/>
  </w:num>
  <w:num w:numId="6" w16cid:durableId="199363786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C15"/>
    <w:rsid w:val="000413BE"/>
    <w:rsid w:val="00334192"/>
    <w:rsid w:val="003E7573"/>
    <w:rsid w:val="004C759D"/>
    <w:rsid w:val="00561F04"/>
    <w:rsid w:val="006235AB"/>
    <w:rsid w:val="007E3B41"/>
    <w:rsid w:val="00AB4C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BEDF3"/>
  <w15:chartTrackingRefBased/>
  <w15:docId w15:val="{0E467AF5-5816-486C-B855-486C977279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4C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B4C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B4C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B4C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B4C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B4C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4C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4C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4C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4C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B4C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B4C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B4C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B4C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B4C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4C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4C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4C15"/>
    <w:rPr>
      <w:rFonts w:eastAsiaTheme="majorEastAsia" w:cstheme="majorBidi"/>
      <w:color w:val="272727" w:themeColor="text1" w:themeTint="D8"/>
    </w:rPr>
  </w:style>
  <w:style w:type="paragraph" w:styleId="Title">
    <w:name w:val="Title"/>
    <w:basedOn w:val="Normal"/>
    <w:next w:val="Normal"/>
    <w:link w:val="TitleChar"/>
    <w:uiPriority w:val="10"/>
    <w:qFormat/>
    <w:rsid w:val="00AB4C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4C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4C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4C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4C15"/>
    <w:pPr>
      <w:spacing w:before="160"/>
      <w:jc w:val="center"/>
    </w:pPr>
    <w:rPr>
      <w:i/>
      <w:iCs/>
      <w:color w:val="404040" w:themeColor="text1" w:themeTint="BF"/>
    </w:rPr>
  </w:style>
  <w:style w:type="character" w:customStyle="1" w:styleId="QuoteChar">
    <w:name w:val="Quote Char"/>
    <w:basedOn w:val="DefaultParagraphFont"/>
    <w:link w:val="Quote"/>
    <w:uiPriority w:val="29"/>
    <w:rsid w:val="00AB4C15"/>
    <w:rPr>
      <w:i/>
      <w:iCs/>
      <w:color w:val="404040" w:themeColor="text1" w:themeTint="BF"/>
    </w:rPr>
  </w:style>
  <w:style w:type="paragraph" w:styleId="ListParagraph">
    <w:name w:val="List Paragraph"/>
    <w:basedOn w:val="Normal"/>
    <w:uiPriority w:val="34"/>
    <w:qFormat/>
    <w:rsid w:val="00AB4C15"/>
    <w:pPr>
      <w:ind w:left="720"/>
      <w:contextualSpacing/>
    </w:pPr>
  </w:style>
  <w:style w:type="character" w:styleId="IntenseEmphasis">
    <w:name w:val="Intense Emphasis"/>
    <w:basedOn w:val="DefaultParagraphFont"/>
    <w:uiPriority w:val="21"/>
    <w:qFormat/>
    <w:rsid w:val="00AB4C15"/>
    <w:rPr>
      <w:i/>
      <w:iCs/>
      <w:color w:val="0F4761" w:themeColor="accent1" w:themeShade="BF"/>
    </w:rPr>
  </w:style>
  <w:style w:type="paragraph" w:styleId="IntenseQuote">
    <w:name w:val="Intense Quote"/>
    <w:basedOn w:val="Normal"/>
    <w:next w:val="Normal"/>
    <w:link w:val="IntenseQuoteChar"/>
    <w:uiPriority w:val="30"/>
    <w:qFormat/>
    <w:rsid w:val="00AB4C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B4C15"/>
    <w:rPr>
      <w:i/>
      <w:iCs/>
      <w:color w:val="0F4761" w:themeColor="accent1" w:themeShade="BF"/>
    </w:rPr>
  </w:style>
  <w:style w:type="character" w:styleId="IntenseReference">
    <w:name w:val="Intense Reference"/>
    <w:basedOn w:val="DefaultParagraphFont"/>
    <w:uiPriority w:val="32"/>
    <w:qFormat/>
    <w:rsid w:val="00AB4C15"/>
    <w:rPr>
      <w:b/>
      <w:bCs/>
      <w:smallCaps/>
      <w:color w:val="0F4761" w:themeColor="accent1" w:themeShade="BF"/>
      <w:spacing w:val="5"/>
    </w:rPr>
  </w:style>
  <w:style w:type="character" w:customStyle="1" w:styleId="mntl-sc-block-headingtext">
    <w:name w:val="mntl-sc-block-heading__text"/>
    <w:basedOn w:val="DefaultParagraphFont"/>
    <w:rsid w:val="00AB4C15"/>
  </w:style>
  <w:style w:type="table" w:styleId="TableGrid">
    <w:name w:val="Table Grid"/>
    <w:basedOn w:val="TableNormal"/>
    <w:uiPriority w:val="39"/>
    <w:rsid w:val="004C75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3419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4052667">
      <w:bodyDiv w:val="1"/>
      <w:marLeft w:val="0"/>
      <w:marRight w:val="0"/>
      <w:marTop w:val="0"/>
      <w:marBottom w:val="0"/>
      <w:divBdr>
        <w:top w:val="none" w:sz="0" w:space="0" w:color="auto"/>
        <w:left w:val="none" w:sz="0" w:space="0" w:color="auto"/>
        <w:bottom w:val="none" w:sz="0" w:space="0" w:color="auto"/>
        <w:right w:val="none" w:sz="0" w:space="0" w:color="auto"/>
      </w:divBdr>
    </w:div>
    <w:div w:id="278221459">
      <w:bodyDiv w:val="1"/>
      <w:marLeft w:val="0"/>
      <w:marRight w:val="0"/>
      <w:marTop w:val="0"/>
      <w:marBottom w:val="0"/>
      <w:divBdr>
        <w:top w:val="none" w:sz="0" w:space="0" w:color="auto"/>
        <w:left w:val="none" w:sz="0" w:space="0" w:color="auto"/>
        <w:bottom w:val="none" w:sz="0" w:space="0" w:color="auto"/>
        <w:right w:val="none" w:sz="0" w:space="0" w:color="auto"/>
      </w:divBdr>
    </w:div>
    <w:div w:id="326785365">
      <w:bodyDiv w:val="1"/>
      <w:marLeft w:val="0"/>
      <w:marRight w:val="0"/>
      <w:marTop w:val="0"/>
      <w:marBottom w:val="0"/>
      <w:divBdr>
        <w:top w:val="none" w:sz="0" w:space="0" w:color="auto"/>
        <w:left w:val="none" w:sz="0" w:space="0" w:color="auto"/>
        <w:bottom w:val="none" w:sz="0" w:space="0" w:color="auto"/>
        <w:right w:val="none" w:sz="0" w:space="0" w:color="auto"/>
      </w:divBdr>
    </w:div>
    <w:div w:id="350687665">
      <w:bodyDiv w:val="1"/>
      <w:marLeft w:val="0"/>
      <w:marRight w:val="0"/>
      <w:marTop w:val="0"/>
      <w:marBottom w:val="0"/>
      <w:divBdr>
        <w:top w:val="none" w:sz="0" w:space="0" w:color="auto"/>
        <w:left w:val="none" w:sz="0" w:space="0" w:color="auto"/>
        <w:bottom w:val="none" w:sz="0" w:space="0" w:color="auto"/>
        <w:right w:val="none" w:sz="0" w:space="0" w:color="auto"/>
      </w:divBdr>
    </w:div>
    <w:div w:id="424112065">
      <w:bodyDiv w:val="1"/>
      <w:marLeft w:val="0"/>
      <w:marRight w:val="0"/>
      <w:marTop w:val="0"/>
      <w:marBottom w:val="0"/>
      <w:divBdr>
        <w:top w:val="none" w:sz="0" w:space="0" w:color="auto"/>
        <w:left w:val="none" w:sz="0" w:space="0" w:color="auto"/>
        <w:bottom w:val="none" w:sz="0" w:space="0" w:color="auto"/>
        <w:right w:val="none" w:sz="0" w:space="0" w:color="auto"/>
      </w:divBdr>
    </w:div>
    <w:div w:id="472060155">
      <w:bodyDiv w:val="1"/>
      <w:marLeft w:val="0"/>
      <w:marRight w:val="0"/>
      <w:marTop w:val="0"/>
      <w:marBottom w:val="0"/>
      <w:divBdr>
        <w:top w:val="none" w:sz="0" w:space="0" w:color="auto"/>
        <w:left w:val="none" w:sz="0" w:space="0" w:color="auto"/>
        <w:bottom w:val="none" w:sz="0" w:space="0" w:color="auto"/>
        <w:right w:val="none" w:sz="0" w:space="0" w:color="auto"/>
      </w:divBdr>
    </w:div>
    <w:div w:id="573978629">
      <w:bodyDiv w:val="1"/>
      <w:marLeft w:val="0"/>
      <w:marRight w:val="0"/>
      <w:marTop w:val="0"/>
      <w:marBottom w:val="0"/>
      <w:divBdr>
        <w:top w:val="none" w:sz="0" w:space="0" w:color="auto"/>
        <w:left w:val="none" w:sz="0" w:space="0" w:color="auto"/>
        <w:bottom w:val="none" w:sz="0" w:space="0" w:color="auto"/>
        <w:right w:val="none" w:sz="0" w:space="0" w:color="auto"/>
      </w:divBdr>
    </w:div>
    <w:div w:id="765689235">
      <w:bodyDiv w:val="1"/>
      <w:marLeft w:val="0"/>
      <w:marRight w:val="0"/>
      <w:marTop w:val="0"/>
      <w:marBottom w:val="0"/>
      <w:divBdr>
        <w:top w:val="none" w:sz="0" w:space="0" w:color="auto"/>
        <w:left w:val="none" w:sz="0" w:space="0" w:color="auto"/>
        <w:bottom w:val="none" w:sz="0" w:space="0" w:color="auto"/>
        <w:right w:val="none" w:sz="0" w:space="0" w:color="auto"/>
      </w:divBdr>
    </w:div>
    <w:div w:id="785656534">
      <w:bodyDiv w:val="1"/>
      <w:marLeft w:val="0"/>
      <w:marRight w:val="0"/>
      <w:marTop w:val="0"/>
      <w:marBottom w:val="0"/>
      <w:divBdr>
        <w:top w:val="none" w:sz="0" w:space="0" w:color="auto"/>
        <w:left w:val="none" w:sz="0" w:space="0" w:color="auto"/>
        <w:bottom w:val="none" w:sz="0" w:space="0" w:color="auto"/>
        <w:right w:val="none" w:sz="0" w:space="0" w:color="auto"/>
      </w:divBdr>
    </w:div>
    <w:div w:id="869152322">
      <w:bodyDiv w:val="1"/>
      <w:marLeft w:val="0"/>
      <w:marRight w:val="0"/>
      <w:marTop w:val="0"/>
      <w:marBottom w:val="0"/>
      <w:divBdr>
        <w:top w:val="none" w:sz="0" w:space="0" w:color="auto"/>
        <w:left w:val="none" w:sz="0" w:space="0" w:color="auto"/>
        <w:bottom w:val="none" w:sz="0" w:space="0" w:color="auto"/>
        <w:right w:val="none" w:sz="0" w:space="0" w:color="auto"/>
      </w:divBdr>
    </w:div>
    <w:div w:id="910309091">
      <w:bodyDiv w:val="1"/>
      <w:marLeft w:val="0"/>
      <w:marRight w:val="0"/>
      <w:marTop w:val="0"/>
      <w:marBottom w:val="0"/>
      <w:divBdr>
        <w:top w:val="none" w:sz="0" w:space="0" w:color="auto"/>
        <w:left w:val="none" w:sz="0" w:space="0" w:color="auto"/>
        <w:bottom w:val="none" w:sz="0" w:space="0" w:color="auto"/>
        <w:right w:val="none" w:sz="0" w:space="0" w:color="auto"/>
      </w:divBdr>
    </w:div>
    <w:div w:id="921568961">
      <w:bodyDiv w:val="1"/>
      <w:marLeft w:val="0"/>
      <w:marRight w:val="0"/>
      <w:marTop w:val="0"/>
      <w:marBottom w:val="0"/>
      <w:divBdr>
        <w:top w:val="none" w:sz="0" w:space="0" w:color="auto"/>
        <w:left w:val="none" w:sz="0" w:space="0" w:color="auto"/>
        <w:bottom w:val="none" w:sz="0" w:space="0" w:color="auto"/>
        <w:right w:val="none" w:sz="0" w:space="0" w:color="auto"/>
      </w:divBdr>
    </w:div>
    <w:div w:id="948199255">
      <w:bodyDiv w:val="1"/>
      <w:marLeft w:val="0"/>
      <w:marRight w:val="0"/>
      <w:marTop w:val="0"/>
      <w:marBottom w:val="0"/>
      <w:divBdr>
        <w:top w:val="none" w:sz="0" w:space="0" w:color="auto"/>
        <w:left w:val="none" w:sz="0" w:space="0" w:color="auto"/>
        <w:bottom w:val="none" w:sz="0" w:space="0" w:color="auto"/>
        <w:right w:val="none" w:sz="0" w:space="0" w:color="auto"/>
      </w:divBdr>
    </w:div>
    <w:div w:id="949895673">
      <w:bodyDiv w:val="1"/>
      <w:marLeft w:val="0"/>
      <w:marRight w:val="0"/>
      <w:marTop w:val="0"/>
      <w:marBottom w:val="0"/>
      <w:divBdr>
        <w:top w:val="none" w:sz="0" w:space="0" w:color="auto"/>
        <w:left w:val="none" w:sz="0" w:space="0" w:color="auto"/>
        <w:bottom w:val="none" w:sz="0" w:space="0" w:color="auto"/>
        <w:right w:val="none" w:sz="0" w:space="0" w:color="auto"/>
      </w:divBdr>
    </w:div>
    <w:div w:id="1154106702">
      <w:bodyDiv w:val="1"/>
      <w:marLeft w:val="0"/>
      <w:marRight w:val="0"/>
      <w:marTop w:val="0"/>
      <w:marBottom w:val="0"/>
      <w:divBdr>
        <w:top w:val="none" w:sz="0" w:space="0" w:color="auto"/>
        <w:left w:val="none" w:sz="0" w:space="0" w:color="auto"/>
        <w:bottom w:val="none" w:sz="0" w:space="0" w:color="auto"/>
        <w:right w:val="none" w:sz="0" w:space="0" w:color="auto"/>
      </w:divBdr>
    </w:div>
    <w:div w:id="1189678020">
      <w:bodyDiv w:val="1"/>
      <w:marLeft w:val="0"/>
      <w:marRight w:val="0"/>
      <w:marTop w:val="0"/>
      <w:marBottom w:val="0"/>
      <w:divBdr>
        <w:top w:val="none" w:sz="0" w:space="0" w:color="auto"/>
        <w:left w:val="none" w:sz="0" w:space="0" w:color="auto"/>
        <w:bottom w:val="none" w:sz="0" w:space="0" w:color="auto"/>
        <w:right w:val="none" w:sz="0" w:space="0" w:color="auto"/>
      </w:divBdr>
    </w:div>
    <w:div w:id="1255286850">
      <w:bodyDiv w:val="1"/>
      <w:marLeft w:val="0"/>
      <w:marRight w:val="0"/>
      <w:marTop w:val="0"/>
      <w:marBottom w:val="0"/>
      <w:divBdr>
        <w:top w:val="none" w:sz="0" w:space="0" w:color="auto"/>
        <w:left w:val="none" w:sz="0" w:space="0" w:color="auto"/>
        <w:bottom w:val="none" w:sz="0" w:space="0" w:color="auto"/>
        <w:right w:val="none" w:sz="0" w:space="0" w:color="auto"/>
      </w:divBdr>
      <w:divsChild>
        <w:div w:id="1452476758">
          <w:marLeft w:val="0"/>
          <w:marRight w:val="0"/>
          <w:marTop w:val="0"/>
          <w:marBottom w:val="0"/>
          <w:divBdr>
            <w:top w:val="single" w:sz="2" w:space="0" w:color="B1B7C5"/>
            <w:left w:val="single" w:sz="2" w:space="0" w:color="B1B7C5"/>
            <w:bottom w:val="single" w:sz="2" w:space="0" w:color="B1B7C5"/>
            <w:right w:val="single" w:sz="2" w:space="0" w:color="B1B7C5"/>
          </w:divBdr>
        </w:div>
        <w:div w:id="1145121093">
          <w:marLeft w:val="0"/>
          <w:marRight w:val="0"/>
          <w:marTop w:val="0"/>
          <w:marBottom w:val="0"/>
          <w:divBdr>
            <w:top w:val="single" w:sz="2" w:space="0" w:color="B1B7C5"/>
            <w:left w:val="single" w:sz="2" w:space="0" w:color="B1B7C5"/>
            <w:bottom w:val="single" w:sz="2" w:space="0" w:color="B1B7C5"/>
            <w:right w:val="single" w:sz="2" w:space="0" w:color="B1B7C5"/>
          </w:divBdr>
        </w:div>
      </w:divsChild>
    </w:div>
    <w:div w:id="1558123803">
      <w:bodyDiv w:val="1"/>
      <w:marLeft w:val="0"/>
      <w:marRight w:val="0"/>
      <w:marTop w:val="0"/>
      <w:marBottom w:val="0"/>
      <w:divBdr>
        <w:top w:val="none" w:sz="0" w:space="0" w:color="auto"/>
        <w:left w:val="none" w:sz="0" w:space="0" w:color="auto"/>
        <w:bottom w:val="none" w:sz="0" w:space="0" w:color="auto"/>
        <w:right w:val="none" w:sz="0" w:space="0" w:color="auto"/>
      </w:divBdr>
    </w:div>
    <w:div w:id="1599633234">
      <w:bodyDiv w:val="1"/>
      <w:marLeft w:val="0"/>
      <w:marRight w:val="0"/>
      <w:marTop w:val="0"/>
      <w:marBottom w:val="0"/>
      <w:divBdr>
        <w:top w:val="none" w:sz="0" w:space="0" w:color="auto"/>
        <w:left w:val="none" w:sz="0" w:space="0" w:color="auto"/>
        <w:bottom w:val="none" w:sz="0" w:space="0" w:color="auto"/>
        <w:right w:val="none" w:sz="0" w:space="0" w:color="auto"/>
      </w:divBdr>
    </w:div>
    <w:div w:id="1677922999">
      <w:bodyDiv w:val="1"/>
      <w:marLeft w:val="0"/>
      <w:marRight w:val="0"/>
      <w:marTop w:val="0"/>
      <w:marBottom w:val="0"/>
      <w:divBdr>
        <w:top w:val="none" w:sz="0" w:space="0" w:color="auto"/>
        <w:left w:val="none" w:sz="0" w:space="0" w:color="auto"/>
        <w:bottom w:val="none" w:sz="0" w:space="0" w:color="auto"/>
        <w:right w:val="none" w:sz="0" w:space="0" w:color="auto"/>
      </w:divBdr>
    </w:div>
    <w:div w:id="1772817991">
      <w:bodyDiv w:val="1"/>
      <w:marLeft w:val="0"/>
      <w:marRight w:val="0"/>
      <w:marTop w:val="0"/>
      <w:marBottom w:val="0"/>
      <w:divBdr>
        <w:top w:val="none" w:sz="0" w:space="0" w:color="auto"/>
        <w:left w:val="none" w:sz="0" w:space="0" w:color="auto"/>
        <w:bottom w:val="none" w:sz="0" w:space="0" w:color="auto"/>
        <w:right w:val="none" w:sz="0" w:space="0" w:color="auto"/>
      </w:divBdr>
    </w:div>
    <w:div w:id="1804735814">
      <w:bodyDiv w:val="1"/>
      <w:marLeft w:val="0"/>
      <w:marRight w:val="0"/>
      <w:marTop w:val="0"/>
      <w:marBottom w:val="0"/>
      <w:divBdr>
        <w:top w:val="none" w:sz="0" w:space="0" w:color="auto"/>
        <w:left w:val="none" w:sz="0" w:space="0" w:color="auto"/>
        <w:bottom w:val="none" w:sz="0" w:space="0" w:color="auto"/>
        <w:right w:val="none" w:sz="0" w:space="0" w:color="auto"/>
      </w:divBdr>
      <w:divsChild>
        <w:div w:id="878862298">
          <w:marLeft w:val="0"/>
          <w:marRight w:val="0"/>
          <w:marTop w:val="0"/>
          <w:marBottom w:val="0"/>
          <w:divBdr>
            <w:top w:val="single" w:sz="2" w:space="0" w:color="B1B7C5"/>
            <w:left w:val="single" w:sz="2" w:space="0" w:color="B1B7C5"/>
            <w:bottom w:val="single" w:sz="2" w:space="0" w:color="B1B7C5"/>
            <w:right w:val="single" w:sz="2" w:space="0" w:color="B1B7C5"/>
          </w:divBdr>
        </w:div>
        <w:div w:id="1686861121">
          <w:marLeft w:val="0"/>
          <w:marRight w:val="0"/>
          <w:marTop w:val="0"/>
          <w:marBottom w:val="0"/>
          <w:divBdr>
            <w:top w:val="single" w:sz="2" w:space="0" w:color="B1B7C5"/>
            <w:left w:val="single" w:sz="2" w:space="0" w:color="B1B7C5"/>
            <w:bottom w:val="single" w:sz="2" w:space="0" w:color="B1B7C5"/>
            <w:right w:val="single" w:sz="2" w:space="0" w:color="B1B7C5"/>
          </w:divBdr>
        </w:div>
      </w:divsChild>
    </w:div>
    <w:div w:id="1913005893">
      <w:bodyDiv w:val="1"/>
      <w:marLeft w:val="0"/>
      <w:marRight w:val="0"/>
      <w:marTop w:val="0"/>
      <w:marBottom w:val="0"/>
      <w:divBdr>
        <w:top w:val="none" w:sz="0" w:space="0" w:color="auto"/>
        <w:left w:val="none" w:sz="0" w:space="0" w:color="auto"/>
        <w:bottom w:val="none" w:sz="0" w:space="0" w:color="auto"/>
        <w:right w:val="none" w:sz="0" w:space="0" w:color="auto"/>
      </w:divBdr>
    </w:div>
    <w:div w:id="1919290482">
      <w:bodyDiv w:val="1"/>
      <w:marLeft w:val="0"/>
      <w:marRight w:val="0"/>
      <w:marTop w:val="0"/>
      <w:marBottom w:val="0"/>
      <w:divBdr>
        <w:top w:val="none" w:sz="0" w:space="0" w:color="auto"/>
        <w:left w:val="none" w:sz="0" w:space="0" w:color="auto"/>
        <w:bottom w:val="none" w:sz="0" w:space="0" w:color="auto"/>
        <w:right w:val="none" w:sz="0" w:space="0" w:color="auto"/>
      </w:divBdr>
    </w:div>
    <w:div w:id="2129007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Sheet1!$B$2</c:f>
              <c:strCache>
                <c:ptCount val="1"/>
                <c:pt idx="0">
                  <c:v>Daily Average Volume (millions of items)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Sheet1!$A$3:$A$37</c:f>
              <c:numCache>
                <c:formatCode>General</c:formatCode>
                <c:ptCount val="35"/>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pt idx="23">
                  <c:v>2000</c:v>
                </c:pt>
                <c:pt idx="24">
                  <c:v>1999</c:v>
                </c:pt>
                <c:pt idx="25">
                  <c:v>1998</c:v>
                </c:pt>
                <c:pt idx="26">
                  <c:v>1997</c:v>
                </c:pt>
                <c:pt idx="27">
                  <c:v>1996</c:v>
                </c:pt>
                <c:pt idx="28">
                  <c:v>1995</c:v>
                </c:pt>
                <c:pt idx="29">
                  <c:v>1994</c:v>
                </c:pt>
                <c:pt idx="30">
                  <c:v>1993</c:v>
                </c:pt>
                <c:pt idx="31">
                  <c:v>1992</c:v>
                </c:pt>
                <c:pt idx="32">
                  <c:v>1991</c:v>
                </c:pt>
                <c:pt idx="33">
                  <c:v>1990</c:v>
                </c:pt>
                <c:pt idx="34">
                  <c:v>1989</c:v>
                </c:pt>
              </c:numCache>
            </c:numRef>
          </c:cat>
          <c:val>
            <c:numRef>
              <c:f>Sheet1!$B$3:$B$37</c:f>
              <c:numCache>
                <c:formatCode>General</c:formatCode>
                <c:ptCount val="35"/>
                <c:pt idx="0">
                  <c:v>62</c:v>
                </c:pt>
                <c:pt idx="1">
                  <c:v>65</c:v>
                </c:pt>
                <c:pt idx="2">
                  <c:v>70</c:v>
                </c:pt>
                <c:pt idx="3">
                  <c:v>74</c:v>
                </c:pt>
                <c:pt idx="4">
                  <c:v>80</c:v>
                </c:pt>
                <c:pt idx="5">
                  <c:v>83</c:v>
                </c:pt>
                <c:pt idx="6">
                  <c:v>85</c:v>
                </c:pt>
                <c:pt idx="7">
                  <c:v>88</c:v>
                </c:pt>
                <c:pt idx="8">
                  <c:v>92</c:v>
                </c:pt>
                <c:pt idx="9">
                  <c:v>95</c:v>
                </c:pt>
                <c:pt idx="10">
                  <c:v>101</c:v>
                </c:pt>
                <c:pt idx="11">
                  <c:v>108</c:v>
                </c:pt>
                <c:pt idx="12">
                  <c:v>113</c:v>
                </c:pt>
                <c:pt idx="13">
                  <c:v>121</c:v>
                </c:pt>
                <c:pt idx="14">
                  <c:v>131</c:v>
                </c:pt>
                <c:pt idx="15">
                  <c:v>146</c:v>
                </c:pt>
                <c:pt idx="16">
                  <c:v>164</c:v>
                </c:pt>
                <c:pt idx="17">
                  <c:v>171</c:v>
                </c:pt>
                <c:pt idx="18">
                  <c:v>176</c:v>
                </c:pt>
                <c:pt idx="19">
                  <c:v>187</c:v>
                </c:pt>
                <c:pt idx="20">
                  <c:v>198</c:v>
                </c:pt>
                <c:pt idx="21">
                  <c:v>216</c:v>
                </c:pt>
                <c:pt idx="22">
                  <c:v>229</c:v>
                </c:pt>
                <c:pt idx="23">
                  <c:v>230</c:v>
                </c:pt>
                <c:pt idx="24">
                  <c:v>226</c:v>
                </c:pt>
                <c:pt idx="25">
                  <c:v>213</c:v>
                </c:pt>
                <c:pt idx="26">
                  <c:v>204</c:v>
                </c:pt>
                <c:pt idx="27">
                  <c:v>206</c:v>
                </c:pt>
                <c:pt idx="28">
                  <c:v>203</c:v>
                </c:pt>
                <c:pt idx="29">
                  <c:v>200</c:v>
                </c:pt>
                <c:pt idx="30">
                  <c:v>192</c:v>
                </c:pt>
                <c:pt idx="31">
                  <c:v>181</c:v>
                </c:pt>
                <c:pt idx="32">
                  <c:v>166</c:v>
                </c:pt>
                <c:pt idx="33">
                  <c:v>162</c:v>
                </c:pt>
                <c:pt idx="34">
                  <c:v>147</c:v>
                </c:pt>
              </c:numCache>
            </c:numRef>
          </c:val>
          <c:smooth val="0"/>
          <c:extLst>
            <c:ext xmlns:c16="http://schemas.microsoft.com/office/drawing/2014/chart" uri="{C3380CC4-5D6E-409C-BE32-E72D297353CC}">
              <c16:uniqueId val="{00000000-15F6-4E7A-9D1D-9C349E80776B}"/>
            </c:ext>
          </c:extLst>
        </c:ser>
        <c:dLbls>
          <c:showLegendKey val="0"/>
          <c:showVal val="0"/>
          <c:showCatName val="0"/>
          <c:showSerName val="0"/>
          <c:showPercent val="0"/>
          <c:showBubbleSize val="0"/>
        </c:dLbls>
        <c:smooth val="0"/>
        <c:axId val="47474271"/>
        <c:axId val="47474751"/>
      </c:lineChart>
      <c:catAx>
        <c:axId val="474742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474751"/>
        <c:crosses val="autoZero"/>
        <c:auto val="1"/>
        <c:lblAlgn val="ctr"/>
        <c:lblOffset val="100"/>
        <c:noMultiLvlLbl val="0"/>
      </c:catAx>
      <c:valAx>
        <c:axId val="4747475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47474271"/>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ndard"/>
        <c:varyColors val="0"/>
        <c:ser>
          <c:idx val="0"/>
          <c:order val="0"/>
          <c:tx>
            <c:strRef>
              <c:f>Sheet1!$C$2</c:f>
              <c:strCache>
                <c:ptCount val="1"/>
                <c:pt idx="0">
                  <c:v>Daily Average Value (billions of dollars)</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Sheet1!$A$3:$A$37</c:f>
              <c:numCache>
                <c:formatCode>General</c:formatCode>
                <c:ptCount val="35"/>
                <c:pt idx="0">
                  <c:v>2023</c:v>
                </c:pt>
                <c:pt idx="1">
                  <c:v>2022</c:v>
                </c:pt>
                <c:pt idx="2">
                  <c:v>2021</c:v>
                </c:pt>
                <c:pt idx="3">
                  <c:v>2020</c:v>
                </c:pt>
                <c:pt idx="4">
                  <c:v>2019</c:v>
                </c:pt>
                <c:pt idx="5">
                  <c:v>2018</c:v>
                </c:pt>
                <c:pt idx="6">
                  <c:v>2017</c:v>
                </c:pt>
                <c:pt idx="7">
                  <c:v>2016</c:v>
                </c:pt>
                <c:pt idx="8">
                  <c:v>2015</c:v>
                </c:pt>
                <c:pt idx="9">
                  <c:v>2014</c:v>
                </c:pt>
                <c:pt idx="10">
                  <c:v>2013</c:v>
                </c:pt>
                <c:pt idx="11">
                  <c:v>2012</c:v>
                </c:pt>
                <c:pt idx="12">
                  <c:v>2011</c:v>
                </c:pt>
                <c:pt idx="13">
                  <c:v>2010</c:v>
                </c:pt>
                <c:pt idx="14">
                  <c:v>2009</c:v>
                </c:pt>
                <c:pt idx="15">
                  <c:v>2008</c:v>
                </c:pt>
                <c:pt idx="16">
                  <c:v>2007</c:v>
                </c:pt>
                <c:pt idx="17">
                  <c:v>2006</c:v>
                </c:pt>
                <c:pt idx="18">
                  <c:v>2005</c:v>
                </c:pt>
                <c:pt idx="19">
                  <c:v>2004</c:v>
                </c:pt>
                <c:pt idx="20">
                  <c:v>2003</c:v>
                </c:pt>
                <c:pt idx="21">
                  <c:v>2002</c:v>
                </c:pt>
                <c:pt idx="22">
                  <c:v>2001</c:v>
                </c:pt>
                <c:pt idx="23">
                  <c:v>2000</c:v>
                </c:pt>
                <c:pt idx="24">
                  <c:v>1999</c:v>
                </c:pt>
                <c:pt idx="25">
                  <c:v>1998</c:v>
                </c:pt>
                <c:pt idx="26">
                  <c:v>1997</c:v>
                </c:pt>
                <c:pt idx="27">
                  <c:v>1996</c:v>
                </c:pt>
                <c:pt idx="28">
                  <c:v>1995</c:v>
                </c:pt>
                <c:pt idx="29">
                  <c:v>1994</c:v>
                </c:pt>
                <c:pt idx="30">
                  <c:v>1993</c:v>
                </c:pt>
                <c:pt idx="31">
                  <c:v>1992</c:v>
                </c:pt>
                <c:pt idx="32">
                  <c:v>1991</c:v>
                </c:pt>
                <c:pt idx="33">
                  <c:v>1990</c:v>
                </c:pt>
                <c:pt idx="34">
                  <c:v>1989</c:v>
                </c:pt>
              </c:numCache>
            </c:numRef>
          </c:cat>
          <c:val>
            <c:numRef>
              <c:f>Sheet1!$C$3:$C$37</c:f>
              <c:numCache>
                <c:formatCode>General</c:formatCode>
                <c:ptCount val="35"/>
                <c:pt idx="0">
                  <c:v>20</c:v>
                </c:pt>
                <c:pt idx="1">
                  <c:v>19</c:v>
                </c:pt>
                <c:pt idx="2">
                  <c:v>20</c:v>
                </c:pt>
                <c:pt idx="3">
                  <c:v>21</c:v>
                </c:pt>
                <c:pt idx="4">
                  <c:v>21</c:v>
                </c:pt>
                <c:pt idx="5">
                  <c:v>21</c:v>
                </c:pt>
                <c:pt idx="6">
                  <c:v>21</c:v>
                </c:pt>
                <c:pt idx="7">
                  <c:v>21</c:v>
                </c:pt>
                <c:pt idx="8">
                  <c:v>21</c:v>
                </c:pt>
                <c:pt idx="9">
                  <c:v>21</c:v>
                </c:pt>
                <c:pt idx="10">
                  <c:v>22</c:v>
                </c:pt>
                <c:pt idx="11">
                  <c:v>22</c:v>
                </c:pt>
                <c:pt idx="12">
                  <c:v>22</c:v>
                </c:pt>
                <c:pt idx="13">
                  <c:v>23</c:v>
                </c:pt>
                <c:pt idx="14">
                  <c:v>24</c:v>
                </c:pt>
                <c:pt idx="15">
                  <c:v>26</c:v>
                </c:pt>
                <c:pt idx="16">
                  <c:v>32</c:v>
                </c:pt>
                <c:pt idx="17">
                  <c:v>28</c:v>
                </c:pt>
                <c:pt idx="18">
                  <c:v>28</c:v>
                </c:pt>
                <c:pt idx="19">
                  <c:v>29</c:v>
                </c:pt>
                <c:pt idx="20">
                  <c:v>29</c:v>
                </c:pt>
                <c:pt idx="21">
                  <c:v>30</c:v>
                </c:pt>
                <c:pt idx="22">
                  <c:v>30</c:v>
                </c:pt>
                <c:pt idx="23">
                  <c:v>30</c:v>
                </c:pt>
                <c:pt idx="24">
                  <c:v>29</c:v>
                </c:pt>
                <c:pt idx="25">
                  <c:v>28</c:v>
                </c:pt>
                <c:pt idx="26">
                  <c:v>26</c:v>
                </c:pt>
                <c:pt idx="27">
                  <c:v>26</c:v>
                </c:pt>
                <c:pt idx="28">
                  <c:v>25</c:v>
                </c:pt>
                <c:pt idx="29">
                  <c:v>24</c:v>
                </c:pt>
                <c:pt idx="30">
                  <c:v>22</c:v>
                </c:pt>
                <c:pt idx="31">
                  <c:v>20</c:v>
                </c:pt>
                <c:pt idx="32">
                  <c:v>18</c:v>
                </c:pt>
                <c:pt idx="33">
                  <c:v>16</c:v>
                </c:pt>
                <c:pt idx="34">
                  <c:v>14</c:v>
                </c:pt>
              </c:numCache>
            </c:numRef>
          </c:val>
          <c:smooth val="0"/>
          <c:extLst>
            <c:ext xmlns:c16="http://schemas.microsoft.com/office/drawing/2014/chart" uri="{C3380CC4-5D6E-409C-BE32-E72D297353CC}">
              <c16:uniqueId val="{00000000-0CD0-4CFA-A036-70E6D215A81E}"/>
            </c:ext>
          </c:extLst>
        </c:ser>
        <c:dLbls>
          <c:showLegendKey val="0"/>
          <c:showVal val="0"/>
          <c:showCatName val="0"/>
          <c:showSerName val="0"/>
          <c:showPercent val="0"/>
          <c:showBubbleSize val="0"/>
        </c:dLbls>
        <c:smooth val="0"/>
        <c:axId val="1082249823"/>
        <c:axId val="1082261823"/>
      </c:lineChart>
      <c:catAx>
        <c:axId val="108224982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2261823"/>
        <c:crosses val="autoZero"/>
        <c:auto val="1"/>
        <c:lblAlgn val="ctr"/>
        <c:lblOffset val="100"/>
        <c:noMultiLvlLbl val="0"/>
      </c:catAx>
      <c:valAx>
        <c:axId val="1082261823"/>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082249823"/>
        <c:crosses val="autoZero"/>
        <c:crossBetween val="between"/>
      </c:valAx>
      <c:spPr>
        <a:noFill/>
        <a:ln>
          <a:noFill/>
        </a:ln>
        <a:effectLst/>
      </c:spPr>
    </c:plotArea>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BF619D-BA83-4305-BDA0-6803A076C6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5</Pages>
  <Words>1004</Words>
  <Characters>5727</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RANCE DCRUZ</dc:creator>
  <cp:keywords/>
  <dc:description/>
  <cp:lastModifiedBy>VIVIAN RANCE DCRUZ</cp:lastModifiedBy>
  <cp:revision>1</cp:revision>
  <dcterms:created xsi:type="dcterms:W3CDTF">2024-07-02T12:30:00Z</dcterms:created>
  <dcterms:modified xsi:type="dcterms:W3CDTF">2024-07-02T13:28:00Z</dcterms:modified>
</cp:coreProperties>
</file>