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D12A" w14:textId="77777777" w:rsidR="005E05A7" w:rsidRPr="005E05A7" w:rsidRDefault="005E05A7" w:rsidP="00426FC6">
      <w:pPr>
        <w:ind w:left="720"/>
        <w:rPr>
          <w:sz w:val="28"/>
          <w:szCs w:val="28"/>
        </w:rPr>
      </w:pPr>
      <w:r w:rsidRPr="005E05A7">
        <w:rPr>
          <w:b/>
          <w:bCs/>
          <w:sz w:val="28"/>
          <w:szCs w:val="28"/>
        </w:rPr>
        <w:t>Retail Banking Operations:</w:t>
      </w:r>
    </w:p>
    <w:p w14:paraId="4E9A098E" w14:textId="77777777" w:rsidR="005E05A7" w:rsidRPr="005E05A7" w:rsidRDefault="005E05A7" w:rsidP="005E05A7">
      <w:pPr>
        <w:numPr>
          <w:ilvl w:val="1"/>
          <w:numId w:val="1"/>
        </w:numPr>
        <w:rPr>
          <w:sz w:val="28"/>
          <w:szCs w:val="28"/>
        </w:rPr>
      </w:pPr>
      <w:r w:rsidRPr="005E05A7">
        <w:rPr>
          <w:b/>
          <w:bCs/>
          <w:sz w:val="28"/>
          <w:szCs w:val="28"/>
        </w:rPr>
        <w:t>Focus:</w:t>
      </w:r>
      <w:r w:rsidRPr="005E05A7">
        <w:rPr>
          <w:sz w:val="28"/>
          <w:szCs w:val="28"/>
        </w:rPr>
        <w:t> Retail banks primarily serve individuals and small businesses, providing a broad range of financial products and services tailored to meet their day-to-day banking needs.</w:t>
      </w:r>
    </w:p>
    <w:p w14:paraId="066D6980" w14:textId="77777777" w:rsidR="005E05A7" w:rsidRPr="005E05A7" w:rsidRDefault="005E05A7" w:rsidP="005E05A7">
      <w:pPr>
        <w:numPr>
          <w:ilvl w:val="1"/>
          <w:numId w:val="1"/>
        </w:numPr>
        <w:rPr>
          <w:sz w:val="28"/>
          <w:szCs w:val="28"/>
        </w:rPr>
      </w:pPr>
      <w:r w:rsidRPr="005E05A7">
        <w:rPr>
          <w:b/>
          <w:bCs/>
          <w:sz w:val="28"/>
          <w:szCs w:val="28"/>
        </w:rPr>
        <w:t>Services:</w:t>
      </w:r>
      <w:r w:rsidRPr="005E05A7">
        <w:rPr>
          <w:sz w:val="28"/>
          <w:szCs w:val="28"/>
        </w:rPr>
        <w:t> The key services offered by retail banks include:</w:t>
      </w:r>
    </w:p>
    <w:p w14:paraId="2E750FF8" w14:textId="77777777" w:rsidR="005E05A7" w:rsidRPr="005E05A7" w:rsidRDefault="005E05A7" w:rsidP="005E05A7">
      <w:pPr>
        <w:numPr>
          <w:ilvl w:val="2"/>
          <w:numId w:val="1"/>
        </w:numPr>
        <w:rPr>
          <w:sz w:val="28"/>
          <w:szCs w:val="28"/>
        </w:rPr>
      </w:pPr>
      <w:r w:rsidRPr="005E05A7">
        <w:rPr>
          <w:b/>
          <w:bCs/>
          <w:sz w:val="28"/>
          <w:szCs w:val="28"/>
        </w:rPr>
        <w:t>Deposit Accounts:</w:t>
      </w:r>
      <w:r w:rsidRPr="005E05A7">
        <w:rPr>
          <w:sz w:val="28"/>
          <w:szCs w:val="28"/>
        </w:rPr>
        <w:t> Such as savings accounts, checking accounts, and fixed deposits (certificates of deposit) which provide customers with a safe place to store their money while earning interest.</w:t>
      </w:r>
    </w:p>
    <w:p w14:paraId="5BF266F9" w14:textId="77777777" w:rsidR="005E05A7" w:rsidRPr="005E05A7" w:rsidRDefault="005E05A7" w:rsidP="005E05A7">
      <w:pPr>
        <w:numPr>
          <w:ilvl w:val="2"/>
          <w:numId w:val="1"/>
        </w:numPr>
        <w:rPr>
          <w:sz w:val="28"/>
          <w:szCs w:val="28"/>
        </w:rPr>
      </w:pPr>
      <w:r w:rsidRPr="005E05A7">
        <w:rPr>
          <w:b/>
          <w:bCs/>
          <w:sz w:val="28"/>
          <w:szCs w:val="28"/>
        </w:rPr>
        <w:t>Consumer Lending:</w:t>
      </w:r>
      <w:r w:rsidRPr="005E05A7">
        <w:rPr>
          <w:sz w:val="28"/>
          <w:szCs w:val="28"/>
        </w:rPr>
        <w:t> Retail banks offer personal loans, auto loans, home loans (mortgages), and credit cards to help individuals finance their purchases and achieve their goals.</w:t>
      </w:r>
    </w:p>
    <w:p w14:paraId="7D653C0A" w14:textId="77777777" w:rsidR="005E05A7" w:rsidRPr="005E05A7" w:rsidRDefault="005E05A7" w:rsidP="005E05A7">
      <w:pPr>
        <w:numPr>
          <w:ilvl w:val="2"/>
          <w:numId w:val="1"/>
        </w:numPr>
        <w:rPr>
          <w:sz w:val="28"/>
          <w:szCs w:val="28"/>
        </w:rPr>
      </w:pPr>
      <w:r w:rsidRPr="005E05A7">
        <w:rPr>
          <w:b/>
          <w:bCs/>
          <w:sz w:val="28"/>
          <w:szCs w:val="28"/>
        </w:rPr>
        <w:t>Basic Investment Products:</w:t>
      </w:r>
      <w:r w:rsidRPr="005E05A7">
        <w:rPr>
          <w:sz w:val="28"/>
          <w:szCs w:val="28"/>
        </w:rPr>
        <w:t> Through retail banks, customers can access basic investment products like mutual funds, individual retirement accounts (IRAs), and annuities to help them save for the future and plan for retirement.</w:t>
      </w:r>
    </w:p>
    <w:p w14:paraId="2FBD46D1" w14:textId="77777777" w:rsidR="005E05A7" w:rsidRPr="005E05A7" w:rsidRDefault="005E05A7" w:rsidP="005E05A7">
      <w:pPr>
        <w:numPr>
          <w:ilvl w:val="2"/>
          <w:numId w:val="1"/>
        </w:numPr>
        <w:rPr>
          <w:sz w:val="28"/>
          <w:szCs w:val="28"/>
        </w:rPr>
      </w:pPr>
      <w:r w:rsidRPr="005E05A7">
        <w:rPr>
          <w:b/>
          <w:bCs/>
          <w:sz w:val="28"/>
          <w:szCs w:val="28"/>
        </w:rPr>
        <w:t>Payment Services:</w:t>
      </w:r>
      <w:r w:rsidRPr="005E05A7">
        <w:rPr>
          <w:sz w:val="28"/>
          <w:szCs w:val="28"/>
        </w:rPr>
        <w:t> This includes debit cards, online banking, bill payment services, and wire transfers to facilitate everyday transactions for individuals and small businesses.</w:t>
      </w:r>
    </w:p>
    <w:p w14:paraId="0B528B15" w14:textId="77777777" w:rsidR="005E05A7" w:rsidRPr="005E05A7" w:rsidRDefault="005E05A7" w:rsidP="005E05A7">
      <w:pPr>
        <w:numPr>
          <w:ilvl w:val="1"/>
          <w:numId w:val="1"/>
        </w:numPr>
        <w:rPr>
          <w:sz w:val="28"/>
          <w:szCs w:val="28"/>
        </w:rPr>
      </w:pPr>
      <w:r w:rsidRPr="005E05A7">
        <w:rPr>
          <w:b/>
          <w:bCs/>
          <w:sz w:val="28"/>
          <w:szCs w:val="28"/>
        </w:rPr>
        <w:t>Clientele:</w:t>
      </w:r>
      <w:r w:rsidRPr="005E05A7">
        <w:rPr>
          <w:sz w:val="28"/>
          <w:szCs w:val="28"/>
        </w:rPr>
        <w:t> Retail banks serve a broad customer base, including individuals, families, students, and small businesses. These customers typically seek basic financial services to manage their savings, make payments, and access credit facilities.</w:t>
      </w:r>
    </w:p>
    <w:p w14:paraId="78AE5F38" w14:textId="77777777" w:rsidR="005E05A7" w:rsidRPr="005E05A7" w:rsidRDefault="005E05A7" w:rsidP="005E05A7">
      <w:pPr>
        <w:numPr>
          <w:ilvl w:val="1"/>
          <w:numId w:val="1"/>
        </w:numPr>
        <w:rPr>
          <w:sz w:val="28"/>
          <w:szCs w:val="28"/>
        </w:rPr>
      </w:pPr>
      <w:r w:rsidRPr="005E05A7">
        <w:rPr>
          <w:b/>
          <w:bCs/>
          <w:sz w:val="28"/>
          <w:szCs w:val="28"/>
        </w:rPr>
        <w:t>Revenue:</w:t>
      </w:r>
      <w:r w:rsidRPr="005E05A7">
        <w:rPr>
          <w:sz w:val="28"/>
          <w:szCs w:val="28"/>
        </w:rPr>
        <w:t> Retail banks generate revenue through various channels such as interest income from loans, fees from checking account services, credit card fees, overdraft charges, and fees for other financial services.</w:t>
      </w:r>
    </w:p>
    <w:p w14:paraId="4DDB9187" w14:textId="77777777" w:rsidR="00426FC6" w:rsidRDefault="00426FC6" w:rsidP="00426FC6">
      <w:pPr>
        <w:ind w:left="720"/>
        <w:rPr>
          <w:b/>
          <w:bCs/>
          <w:sz w:val="28"/>
          <w:szCs w:val="28"/>
        </w:rPr>
      </w:pPr>
    </w:p>
    <w:p w14:paraId="4CCD280B" w14:textId="77777777" w:rsidR="00426FC6" w:rsidRDefault="00426FC6" w:rsidP="00426FC6">
      <w:pPr>
        <w:ind w:left="720"/>
        <w:rPr>
          <w:b/>
          <w:bCs/>
          <w:sz w:val="28"/>
          <w:szCs w:val="28"/>
        </w:rPr>
      </w:pPr>
    </w:p>
    <w:p w14:paraId="34B04E58" w14:textId="77777777" w:rsidR="00426FC6" w:rsidRDefault="00426FC6" w:rsidP="00426FC6">
      <w:pPr>
        <w:ind w:left="720"/>
        <w:rPr>
          <w:b/>
          <w:bCs/>
          <w:sz w:val="28"/>
          <w:szCs w:val="28"/>
        </w:rPr>
      </w:pPr>
    </w:p>
    <w:p w14:paraId="5487E932" w14:textId="75861A6A" w:rsidR="005E05A7" w:rsidRPr="005E05A7" w:rsidRDefault="005E05A7" w:rsidP="00426FC6">
      <w:pPr>
        <w:ind w:left="720"/>
        <w:rPr>
          <w:sz w:val="28"/>
          <w:szCs w:val="28"/>
        </w:rPr>
      </w:pPr>
      <w:r w:rsidRPr="005E05A7">
        <w:rPr>
          <w:b/>
          <w:bCs/>
          <w:sz w:val="28"/>
          <w:szCs w:val="28"/>
        </w:rPr>
        <w:lastRenderedPageBreak/>
        <w:t>Commercial Banking Operations:</w:t>
      </w:r>
    </w:p>
    <w:p w14:paraId="7D09F4C2" w14:textId="77777777" w:rsidR="005E05A7" w:rsidRPr="005E05A7" w:rsidRDefault="005E05A7" w:rsidP="005E05A7">
      <w:pPr>
        <w:numPr>
          <w:ilvl w:val="1"/>
          <w:numId w:val="1"/>
        </w:numPr>
        <w:rPr>
          <w:sz w:val="28"/>
          <w:szCs w:val="28"/>
        </w:rPr>
      </w:pPr>
      <w:r w:rsidRPr="005E05A7">
        <w:rPr>
          <w:b/>
          <w:bCs/>
          <w:sz w:val="28"/>
          <w:szCs w:val="28"/>
        </w:rPr>
        <w:t>Focus:</w:t>
      </w:r>
      <w:r w:rsidRPr="005E05A7">
        <w:rPr>
          <w:sz w:val="28"/>
          <w:szCs w:val="28"/>
        </w:rPr>
        <w:t> Commercial banking operations are designed to meet the financial needs of businesses, ranging from small enterprises to large corporations.</w:t>
      </w:r>
    </w:p>
    <w:p w14:paraId="01FFAF44" w14:textId="77777777" w:rsidR="005E05A7" w:rsidRPr="005E05A7" w:rsidRDefault="005E05A7" w:rsidP="005E05A7">
      <w:pPr>
        <w:numPr>
          <w:ilvl w:val="1"/>
          <w:numId w:val="1"/>
        </w:numPr>
        <w:rPr>
          <w:sz w:val="28"/>
          <w:szCs w:val="28"/>
        </w:rPr>
      </w:pPr>
      <w:r w:rsidRPr="005E05A7">
        <w:rPr>
          <w:b/>
          <w:bCs/>
          <w:sz w:val="28"/>
          <w:szCs w:val="28"/>
        </w:rPr>
        <w:t>Services:</w:t>
      </w:r>
      <w:r w:rsidRPr="005E05A7">
        <w:rPr>
          <w:sz w:val="28"/>
          <w:szCs w:val="28"/>
        </w:rPr>
        <w:t> Commercial banks offer a wide array of financial products and services tailored to the needs of businesses, including:</w:t>
      </w:r>
    </w:p>
    <w:p w14:paraId="48F36FB0" w14:textId="77777777" w:rsidR="005E05A7" w:rsidRPr="005E05A7" w:rsidRDefault="005E05A7" w:rsidP="005E05A7">
      <w:pPr>
        <w:numPr>
          <w:ilvl w:val="2"/>
          <w:numId w:val="1"/>
        </w:numPr>
        <w:rPr>
          <w:sz w:val="28"/>
          <w:szCs w:val="28"/>
        </w:rPr>
      </w:pPr>
      <w:r w:rsidRPr="005E05A7">
        <w:rPr>
          <w:b/>
          <w:bCs/>
          <w:sz w:val="28"/>
          <w:szCs w:val="28"/>
        </w:rPr>
        <w:t>Business Loans:</w:t>
      </w:r>
      <w:r w:rsidRPr="005E05A7">
        <w:rPr>
          <w:sz w:val="28"/>
          <w:szCs w:val="28"/>
        </w:rPr>
        <w:t> This encompasses term loans, lines of credit, equipment financing, and other lending products to support the working capital and expansion needs of businesses.</w:t>
      </w:r>
    </w:p>
    <w:p w14:paraId="3E107E51" w14:textId="77777777" w:rsidR="005E05A7" w:rsidRPr="005E05A7" w:rsidRDefault="005E05A7" w:rsidP="005E05A7">
      <w:pPr>
        <w:numPr>
          <w:ilvl w:val="2"/>
          <w:numId w:val="1"/>
        </w:numPr>
        <w:rPr>
          <w:sz w:val="28"/>
          <w:szCs w:val="28"/>
        </w:rPr>
      </w:pPr>
      <w:r w:rsidRPr="005E05A7">
        <w:rPr>
          <w:b/>
          <w:bCs/>
          <w:sz w:val="28"/>
          <w:szCs w:val="28"/>
        </w:rPr>
        <w:t>Commercial Real Estate Financing:</w:t>
      </w:r>
      <w:r w:rsidRPr="005E05A7">
        <w:rPr>
          <w:sz w:val="28"/>
          <w:szCs w:val="28"/>
        </w:rPr>
        <w:t> Commercial banks provide financing for purchasing, refinancing, or developing commercial properties and real estate projects.</w:t>
      </w:r>
    </w:p>
    <w:p w14:paraId="19CACFEE" w14:textId="77777777" w:rsidR="005E05A7" w:rsidRPr="005E05A7" w:rsidRDefault="005E05A7" w:rsidP="005E05A7">
      <w:pPr>
        <w:numPr>
          <w:ilvl w:val="2"/>
          <w:numId w:val="1"/>
        </w:numPr>
        <w:rPr>
          <w:sz w:val="28"/>
          <w:szCs w:val="28"/>
        </w:rPr>
      </w:pPr>
      <w:r w:rsidRPr="005E05A7">
        <w:rPr>
          <w:b/>
          <w:bCs/>
          <w:sz w:val="28"/>
          <w:szCs w:val="28"/>
        </w:rPr>
        <w:t>Cash Management Services:</w:t>
      </w:r>
      <w:r w:rsidRPr="005E05A7">
        <w:rPr>
          <w:sz w:val="28"/>
          <w:szCs w:val="28"/>
        </w:rPr>
        <w:t> These services help businesses optimize their cash flow, manage payments, and collections efficiently.</w:t>
      </w:r>
    </w:p>
    <w:p w14:paraId="1497A386" w14:textId="77777777" w:rsidR="005E05A7" w:rsidRPr="005E05A7" w:rsidRDefault="005E05A7" w:rsidP="005E05A7">
      <w:pPr>
        <w:numPr>
          <w:ilvl w:val="2"/>
          <w:numId w:val="1"/>
        </w:numPr>
        <w:rPr>
          <w:sz w:val="28"/>
          <w:szCs w:val="28"/>
        </w:rPr>
      </w:pPr>
      <w:r w:rsidRPr="005E05A7">
        <w:rPr>
          <w:b/>
          <w:bCs/>
          <w:sz w:val="28"/>
          <w:szCs w:val="28"/>
        </w:rPr>
        <w:t>Trade Finance:</w:t>
      </w:r>
      <w:r w:rsidRPr="005E05A7">
        <w:rPr>
          <w:sz w:val="28"/>
          <w:szCs w:val="28"/>
        </w:rPr>
        <w:t> Commercial banks facilitate international trade through services like letters of credit, trade finance facilities, and foreign exchange services.</w:t>
      </w:r>
    </w:p>
    <w:p w14:paraId="1868F8CA" w14:textId="77777777" w:rsidR="005E05A7" w:rsidRPr="005E05A7" w:rsidRDefault="005E05A7" w:rsidP="005E05A7">
      <w:pPr>
        <w:numPr>
          <w:ilvl w:val="2"/>
          <w:numId w:val="1"/>
        </w:numPr>
        <w:rPr>
          <w:sz w:val="28"/>
          <w:szCs w:val="28"/>
        </w:rPr>
      </w:pPr>
      <w:r w:rsidRPr="005E05A7">
        <w:rPr>
          <w:b/>
          <w:bCs/>
          <w:sz w:val="28"/>
          <w:szCs w:val="28"/>
        </w:rPr>
        <w:t>Treasury Services:</w:t>
      </w:r>
      <w:r w:rsidRPr="005E05A7">
        <w:rPr>
          <w:sz w:val="28"/>
          <w:szCs w:val="28"/>
        </w:rPr>
        <w:t> Commercial banks offer treasury management solutions to help businesses manage their liquidity, mitigate risks, and optimize their cash positions.</w:t>
      </w:r>
    </w:p>
    <w:p w14:paraId="0E1D1E33" w14:textId="77777777" w:rsidR="005E05A7" w:rsidRPr="005E05A7" w:rsidRDefault="005E05A7" w:rsidP="005E05A7">
      <w:pPr>
        <w:numPr>
          <w:ilvl w:val="1"/>
          <w:numId w:val="1"/>
        </w:numPr>
        <w:rPr>
          <w:sz w:val="28"/>
          <w:szCs w:val="28"/>
        </w:rPr>
      </w:pPr>
      <w:r w:rsidRPr="005E05A7">
        <w:rPr>
          <w:b/>
          <w:bCs/>
          <w:sz w:val="28"/>
          <w:szCs w:val="28"/>
        </w:rPr>
        <w:t>Clientele:</w:t>
      </w:r>
      <w:r w:rsidRPr="005E05A7">
        <w:rPr>
          <w:sz w:val="28"/>
          <w:szCs w:val="28"/>
        </w:rPr>
        <w:t> Commercial banks serve business clients across various industries and sectors, providing financial solutions to meet their operational, investment, and financing needs.</w:t>
      </w:r>
    </w:p>
    <w:p w14:paraId="0E1C4294" w14:textId="77777777" w:rsidR="005E05A7" w:rsidRPr="005E05A7" w:rsidRDefault="005E05A7" w:rsidP="005E05A7">
      <w:pPr>
        <w:numPr>
          <w:ilvl w:val="1"/>
          <w:numId w:val="1"/>
        </w:numPr>
        <w:rPr>
          <w:sz w:val="28"/>
          <w:szCs w:val="28"/>
        </w:rPr>
      </w:pPr>
      <w:r w:rsidRPr="005E05A7">
        <w:rPr>
          <w:b/>
          <w:bCs/>
          <w:sz w:val="28"/>
          <w:szCs w:val="28"/>
        </w:rPr>
        <w:t>Revenue:</w:t>
      </w:r>
      <w:r w:rsidRPr="005E05A7">
        <w:rPr>
          <w:sz w:val="28"/>
          <w:szCs w:val="28"/>
        </w:rPr>
        <w:t> Revenue for commercial banks is generated through interest income from business loans, fees for cash management services, income from trade finance activities, and other banking services tailored to businesses.</w:t>
      </w:r>
    </w:p>
    <w:p w14:paraId="71914D5C" w14:textId="77777777" w:rsidR="00426FC6" w:rsidRDefault="00426FC6" w:rsidP="00426FC6">
      <w:pPr>
        <w:ind w:left="720"/>
        <w:rPr>
          <w:b/>
          <w:bCs/>
          <w:sz w:val="28"/>
          <w:szCs w:val="28"/>
        </w:rPr>
      </w:pPr>
    </w:p>
    <w:p w14:paraId="6D32D625" w14:textId="4DE8A867" w:rsidR="005E05A7" w:rsidRPr="005E05A7" w:rsidRDefault="005E05A7" w:rsidP="00426FC6">
      <w:pPr>
        <w:ind w:left="720"/>
        <w:rPr>
          <w:sz w:val="28"/>
          <w:szCs w:val="28"/>
        </w:rPr>
      </w:pPr>
      <w:r w:rsidRPr="005E05A7">
        <w:rPr>
          <w:b/>
          <w:bCs/>
          <w:sz w:val="28"/>
          <w:szCs w:val="28"/>
        </w:rPr>
        <w:lastRenderedPageBreak/>
        <w:t>Investment Banking Operations:</w:t>
      </w:r>
    </w:p>
    <w:p w14:paraId="524E33FD" w14:textId="77777777" w:rsidR="005E05A7" w:rsidRPr="005E05A7" w:rsidRDefault="005E05A7" w:rsidP="005E05A7">
      <w:pPr>
        <w:numPr>
          <w:ilvl w:val="1"/>
          <w:numId w:val="1"/>
        </w:numPr>
        <w:rPr>
          <w:sz w:val="28"/>
          <w:szCs w:val="28"/>
        </w:rPr>
      </w:pPr>
      <w:r w:rsidRPr="005E05A7">
        <w:rPr>
          <w:b/>
          <w:bCs/>
          <w:sz w:val="28"/>
          <w:szCs w:val="28"/>
        </w:rPr>
        <w:t>Focus:</w:t>
      </w:r>
      <w:r w:rsidRPr="005E05A7">
        <w:rPr>
          <w:sz w:val="28"/>
          <w:szCs w:val="28"/>
        </w:rPr>
        <w:t> Investment banking operations deal with complex financial transactions and advisory services for corporations, institutions, and governments.</w:t>
      </w:r>
    </w:p>
    <w:p w14:paraId="1D2D5624" w14:textId="77777777" w:rsidR="005E05A7" w:rsidRPr="005E05A7" w:rsidRDefault="005E05A7" w:rsidP="005E05A7">
      <w:pPr>
        <w:numPr>
          <w:ilvl w:val="1"/>
          <w:numId w:val="1"/>
        </w:numPr>
        <w:rPr>
          <w:sz w:val="28"/>
          <w:szCs w:val="28"/>
        </w:rPr>
      </w:pPr>
      <w:r w:rsidRPr="005E05A7">
        <w:rPr>
          <w:b/>
          <w:bCs/>
          <w:sz w:val="28"/>
          <w:szCs w:val="28"/>
        </w:rPr>
        <w:t>Services:</w:t>
      </w:r>
      <w:r w:rsidRPr="005E05A7">
        <w:rPr>
          <w:sz w:val="28"/>
          <w:szCs w:val="28"/>
        </w:rPr>
        <w:t> The services provided by investment banks are often sophisticated and specialized, including:</w:t>
      </w:r>
    </w:p>
    <w:p w14:paraId="6F4E65C3" w14:textId="77777777" w:rsidR="005E05A7" w:rsidRPr="005E05A7" w:rsidRDefault="005E05A7" w:rsidP="005E05A7">
      <w:pPr>
        <w:numPr>
          <w:ilvl w:val="2"/>
          <w:numId w:val="1"/>
        </w:numPr>
        <w:rPr>
          <w:sz w:val="28"/>
          <w:szCs w:val="28"/>
        </w:rPr>
      </w:pPr>
      <w:r w:rsidRPr="005E05A7">
        <w:rPr>
          <w:b/>
          <w:bCs/>
          <w:sz w:val="28"/>
          <w:szCs w:val="28"/>
        </w:rPr>
        <w:t>Mergers and Acquisitions (M&amp;A) Advisory:</w:t>
      </w:r>
      <w:r w:rsidRPr="005E05A7">
        <w:rPr>
          <w:sz w:val="28"/>
          <w:szCs w:val="28"/>
        </w:rPr>
        <w:t> Investment banks advise companies on mergers, acquisitions, divestitures, and other strategic transactions, helping them navigate complex deals and negotiations.</w:t>
      </w:r>
    </w:p>
    <w:p w14:paraId="2DA2DD02" w14:textId="77777777" w:rsidR="005E05A7" w:rsidRPr="005E05A7" w:rsidRDefault="005E05A7" w:rsidP="005E05A7">
      <w:pPr>
        <w:numPr>
          <w:ilvl w:val="2"/>
          <w:numId w:val="1"/>
        </w:numPr>
        <w:rPr>
          <w:sz w:val="28"/>
          <w:szCs w:val="28"/>
        </w:rPr>
      </w:pPr>
      <w:r w:rsidRPr="005E05A7">
        <w:rPr>
          <w:b/>
          <w:bCs/>
          <w:sz w:val="28"/>
          <w:szCs w:val="28"/>
        </w:rPr>
        <w:t>Underwriting of Securities:</w:t>
      </w:r>
      <w:r w:rsidRPr="005E05A7">
        <w:rPr>
          <w:sz w:val="28"/>
          <w:szCs w:val="28"/>
        </w:rPr>
        <w:t> Investment banks underwrite equity and debt securities, including initial public offerings (IPOs), bond issuances, and other capital-raising activities for corporations and governments.</w:t>
      </w:r>
    </w:p>
    <w:p w14:paraId="5C05503F" w14:textId="77777777" w:rsidR="005E05A7" w:rsidRPr="005E05A7" w:rsidRDefault="005E05A7" w:rsidP="005E05A7">
      <w:pPr>
        <w:numPr>
          <w:ilvl w:val="2"/>
          <w:numId w:val="1"/>
        </w:numPr>
        <w:rPr>
          <w:sz w:val="28"/>
          <w:szCs w:val="28"/>
        </w:rPr>
      </w:pPr>
      <w:r w:rsidRPr="005E05A7">
        <w:rPr>
          <w:b/>
          <w:bCs/>
          <w:sz w:val="28"/>
          <w:szCs w:val="28"/>
        </w:rPr>
        <w:t>Asset Management:</w:t>
      </w:r>
      <w:r w:rsidRPr="005E05A7">
        <w:rPr>
          <w:sz w:val="28"/>
          <w:szCs w:val="28"/>
        </w:rPr>
        <w:t> Some investment banks offer asset management services, managing the investment portfolios of institutional clients, high-net-worth individuals, and corporations.</w:t>
      </w:r>
    </w:p>
    <w:p w14:paraId="52E45568" w14:textId="77777777" w:rsidR="005E05A7" w:rsidRPr="005E05A7" w:rsidRDefault="005E05A7" w:rsidP="005E05A7">
      <w:pPr>
        <w:numPr>
          <w:ilvl w:val="2"/>
          <w:numId w:val="1"/>
        </w:numPr>
        <w:rPr>
          <w:sz w:val="28"/>
          <w:szCs w:val="28"/>
        </w:rPr>
      </w:pPr>
      <w:r w:rsidRPr="005E05A7">
        <w:rPr>
          <w:b/>
          <w:bCs/>
          <w:sz w:val="28"/>
          <w:szCs w:val="28"/>
        </w:rPr>
        <w:t>Institutional Trading:</w:t>
      </w:r>
      <w:r w:rsidRPr="005E05A7">
        <w:rPr>
          <w:sz w:val="28"/>
          <w:szCs w:val="28"/>
        </w:rPr>
        <w:t> Investment banks facilitate trading in financial instruments such as stocks, bonds, and derivatives for institutional clients.</w:t>
      </w:r>
    </w:p>
    <w:p w14:paraId="1CAD4C6D" w14:textId="77777777" w:rsidR="005E05A7" w:rsidRPr="005E05A7" w:rsidRDefault="005E05A7" w:rsidP="005E05A7">
      <w:pPr>
        <w:numPr>
          <w:ilvl w:val="2"/>
          <w:numId w:val="1"/>
        </w:numPr>
        <w:rPr>
          <w:sz w:val="28"/>
          <w:szCs w:val="28"/>
        </w:rPr>
      </w:pPr>
      <w:r w:rsidRPr="005E05A7">
        <w:rPr>
          <w:b/>
          <w:bCs/>
          <w:sz w:val="28"/>
          <w:szCs w:val="28"/>
        </w:rPr>
        <w:t>Restructuring Advice:</w:t>
      </w:r>
      <w:r w:rsidRPr="005E05A7">
        <w:rPr>
          <w:sz w:val="28"/>
          <w:szCs w:val="28"/>
        </w:rPr>
        <w:t> Investment banks provide guidance and financial restructuring support to companies experiencing financial distress or seeking to reorganize their operations.</w:t>
      </w:r>
    </w:p>
    <w:p w14:paraId="3F59BCAD" w14:textId="77777777" w:rsidR="005E05A7" w:rsidRPr="005E05A7" w:rsidRDefault="005E05A7" w:rsidP="005E05A7">
      <w:pPr>
        <w:numPr>
          <w:ilvl w:val="1"/>
          <w:numId w:val="1"/>
        </w:numPr>
        <w:rPr>
          <w:sz w:val="28"/>
          <w:szCs w:val="28"/>
        </w:rPr>
      </w:pPr>
      <w:r w:rsidRPr="005E05A7">
        <w:rPr>
          <w:b/>
          <w:bCs/>
          <w:sz w:val="28"/>
          <w:szCs w:val="28"/>
        </w:rPr>
        <w:t>Clientele:</w:t>
      </w:r>
      <w:r w:rsidRPr="005E05A7">
        <w:rPr>
          <w:sz w:val="28"/>
          <w:szCs w:val="28"/>
        </w:rPr>
        <w:t> The clients of investment banks include large corporations, institutional investors, government entities, and high-net-worth individuals seeking specialized financial advice and services.</w:t>
      </w:r>
    </w:p>
    <w:p w14:paraId="70A812D5" w14:textId="77777777" w:rsidR="005E05A7" w:rsidRDefault="005E05A7" w:rsidP="005E05A7">
      <w:pPr>
        <w:numPr>
          <w:ilvl w:val="1"/>
          <w:numId w:val="1"/>
        </w:numPr>
        <w:rPr>
          <w:sz w:val="28"/>
          <w:szCs w:val="28"/>
        </w:rPr>
      </w:pPr>
      <w:r w:rsidRPr="005E05A7">
        <w:rPr>
          <w:b/>
          <w:bCs/>
          <w:sz w:val="28"/>
          <w:szCs w:val="28"/>
        </w:rPr>
        <w:t>Revenue:</w:t>
      </w:r>
      <w:r w:rsidRPr="005E05A7">
        <w:rPr>
          <w:sz w:val="28"/>
          <w:szCs w:val="28"/>
        </w:rPr>
        <w:t> Investment banks generate revenue through fees for advisory services, underwriting fees, trading commissions, gains from proprietary trading activities, and fees from asset management services.</w:t>
      </w:r>
    </w:p>
    <w:p w14:paraId="6A8D38F9" w14:textId="77777777" w:rsidR="005E05A7" w:rsidRDefault="005E05A7" w:rsidP="005E05A7">
      <w:pPr>
        <w:rPr>
          <w:sz w:val="28"/>
          <w:szCs w:val="28"/>
        </w:rPr>
      </w:pPr>
    </w:p>
    <w:p w14:paraId="78C16355" w14:textId="77777777" w:rsidR="005E05A7" w:rsidRPr="005E05A7" w:rsidRDefault="005E05A7" w:rsidP="00426FC6">
      <w:pPr>
        <w:ind w:left="720"/>
        <w:rPr>
          <w:sz w:val="28"/>
          <w:szCs w:val="28"/>
        </w:rPr>
      </w:pPr>
      <w:r w:rsidRPr="005E05A7">
        <w:rPr>
          <w:b/>
          <w:bCs/>
          <w:sz w:val="28"/>
          <w:szCs w:val="28"/>
        </w:rPr>
        <w:t>Market Size and Growth:</w:t>
      </w:r>
    </w:p>
    <w:p w14:paraId="2E0CB3A2" w14:textId="77777777" w:rsidR="005E05A7" w:rsidRPr="005E05A7" w:rsidRDefault="005E05A7" w:rsidP="005E05A7">
      <w:pPr>
        <w:numPr>
          <w:ilvl w:val="1"/>
          <w:numId w:val="2"/>
        </w:numPr>
        <w:rPr>
          <w:sz w:val="28"/>
          <w:szCs w:val="28"/>
        </w:rPr>
      </w:pPr>
      <w:r w:rsidRPr="005E05A7">
        <w:rPr>
          <w:sz w:val="28"/>
          <w:szCs w:val="28"/>
        </w:rPr>
        <w:t>Retail Banking: According to the Federal Deposit Insurance Corporation (FDIC), the total assets of US retail banks reached $16.9 trillion in 2023, with a year-over-year growth rate of 4.2%.</w:t>
      </w:r>
    </w:p>
    <w:p w14:paraId="38541C27" w14:textId="77777777" w:rsidR="005E05A7" w:rsidRPr="005E05A7" w:rsidRDefault="005E05A7" w:rsidP="005E05A7">
      <w:pPr>
        <w:numPr>
          <w:ilvl w:val="1"/>
          <w:numId w:val="2"/>
        </w:numPr>
        <w:rPr>
          <w:sz w:val="28"/>
          <w:szCs w:val="28"/>
        </w:rPr>
      </w:pPr>
      <w:r w:rsidRPr="005E05A7">
        <w:rPr>
          <w:sz w:val="28"/>
          <w:szCs w:val="28"/>
        </w:rPr>
        <w:t>Commercial Banking: The total loans and leases of US commercial banks stood at $10.7 trillion in 2023, indicating steady growth in commercial banking operations.</w:t>
      </w:r>
    </w:p>
    <w:p w14:paraId="0DC8D6E4" w14:textId="77777777" w:rsidR="005E05A7" w:rsidRPr="005E05A7" w:rsidRDefault="005E05A7" w:rsidP="005E05A7">
      <w:pPr>
        <w:numPr>
          <w:ilvl w:val="1"/>
          <w:numId w:val="2"/>
        </w:numPr>
        <w:rPr>
          <w:sz w:val="28"/>
          <w:szCs w:val="28"/>
        </w:rPr>
      </w:pPr>
      <w:r w:rsidRPr="005E05A7">
        <w:rPr>
          <w:sz w:val="28"/>
          <w:szCs w:val="28"/>
        </w:rPr>
        <w:t>Investment Banking: The US investment banking sector facilitated over $1.5 trillion in equity and debt offerings and advisory transactions in 2023, reflecting the size and significance of investment banking activities.</w:t>
      </w:r>
    </w:p>
    <w:p w14:paraId="6CE8B0AF" w14:textId="77777777" w:rsidR="005E05A7" w:rsidRPr="005E05A7" w:rsidRDefault="005E05A7" w:rsidP="00426FC6">
      <w:pPr>
        <w:ind w:left="720"/>
        <w:rPr>
          <w:sz w:val="28"/>
          <w:szCs w:val="28"/>
        </w:rPr>
      </w:pPr>
      <w:r w:rsidRPr="005E05A7">
        <w:rPr>
          <w:b/>
          <w:bCs/>
          <w:sz w:val="28"/>
          <w:szCs w:val="28"/>
        </w:rPr>
        <w:t>Customer Segmentation:</w:t>
      </w:r>
    </w:p>
    <w:p w14:paraId="35CF0AD5" w14:textId="77777777" w:rsidR="005E05A7" w:rsidRPr="005E05A7" w:rsidRDefault="005E05A7" w:rsidP="005E05A7">
      <w:pPr>
        <w:numPr>
          <w:ilvl w:val="1"/>
          <w:numId w:val="2"/>
        </w:numPr>
        <w:rPr>
          <w:sz w:val="28"/>
          <w:szCs w:val="28"/>
        </w:rPr>
      </w:pPr>
      <w:r w:rsidRPr="005E05A7">
        <w:rPr>
          <w:sz w:val="28"/>
          <w:szCs w:val="28"/>
        </w:rPr>
        <w:t>Retail Banking: Approximately 92% of American households have a banking relationship, with retail banks serving a diverse customer base, including individuals, families, students, and small businesses.</w:t>
      </w:r>
    </w:p>
    <w:p w14:paraId="62DF5E86" w14:textId="77777777" w:rsidR="005E05A7" w:rsidRPr="005E05A7" w:rsidRDefault="005E05A7" w:rsidP="005E05A7">
      <w:pPr>
        <w:numPr>
          <w:ilvl w:val="1"/>
          <w:numId w:val="2"/>
        </w:numPr>
        <w:rPr>
          <w:sz w:val="28"/>
          <w:szCs w:val="28"/>
        </w:rPr>
      </w:pPr>
      <w:r w:rsidRPr="005E05A7">
        <w:rPr>
          <w:sz w:val="28"/>
          <w:szCs w:val="28"/>
        </w:rPr>
        <w:t>Commercial Banking: US commercial banks cater to the financing needs of businesses across various industries, ranging from small and medium-sized enterprises to large corporations.</w:t>
      </w:r>
    </w:p>
    <w:p w14:paraId="2E3A3005" w14:textId="77777777" w:rsidR="005E05A7" w:rsidRDefault="005E05A7" w:rsidP="005E05A7">
      <w:pPr>
        <w:numPr>
          <w:ilvl w:val="1"/>
          <w:numId w:val="2"/>
        </w:numPr>
        <w:rPr>
          <w:sz w:val="28"/>
          <w:szCs w:val="28"/>
        </w:rPr>
      </w:pPr>
      <w:r w:rsidRPr="005E05A7">
        <w:rPr>
          <w:sz w:val="28"/>
          <w:szCs w:val="28"/>
        </w:rPr>
        <w:t>Investment Banking: Institutional clients, large corporations, high-net-worth individuals, and government entities are the primary clientele of US investment banks, underscoring the specialized nature of their services.</w:t>
      </w:r>
    </w:p>
    <w:p w14:paraId="13661403" w14:textId="009D0427" w:rsidR="00585EDD" w:rsidRPr="005E05A7" w:rsidRDefault="00585EDD" w:rsidP="005E05A7">
      <w:pPr>
        <w:numPr>
          <w:ilvl w:val="1"/>
          <w:numId w:val="2"/>
        </w:numPr>
        <w:rPr>
          <w:sz w:val="28"/>
          <w:szCs w:val="28"/>
        </w:rPr>
      </w:pPr>
      <w:r>
        <w:rPr>
          <w:noProof/>
        </w:rPr>
        <w:lastRenderedPageBreak/>
        <w:drawing>
          <wp:inline distT="0" distB="0" distL="0" distR="0" wp14:anchorId="22B4ED37" wp14:editId="11FD0E6F">
            <wp:extent cx="4572000" cy="2743200"/>
            <wp:effectExtent l="0" t="0" r="0" b="0"/>
            <wp:docPr id="28433302" name="Chart 1">
              <a:extLst xmlns:a="http://schemas.openxmlformats.org/drawingml/2006/main">
                <a:ext uri="{FF2B5EF4-FFF2-40B4-BE49-F238E27FC236}">
                  <a16:creationId xmlns:a16="http://schemas.microsoft.com/office/drawing/2014/main" id="{678A26D2-9F37-1940-BC35-B0A31B1C3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32A1E0" w14:textId="77777777" w:rsidR="005E05A7" w:rsidRPr="005E05A7" w:rsidRDefault="005E05A7" w:rsidP="00426FC6">
      <w:pPr>
        <w:rPr>
          <w:sz w:val="28"/>
          <w:szCs w:val="28"/>
        </w:rPr>
      </w:pPr>
      <w:r w:rsidRPr="005E05A7">
        <w:rPr>
          <w:b/>
          <w:bCs/>
          <w:sz w:val="28"/>
          <w:szCs w:val="28"/>
        </w:rPr>
        <w:t>Financial Performance:</w:t>
      </w:r>
    </w:p>
    <w:p w14:paraId="7B78EA15" w14:textId="77777777" w:rsidR="005E05A7" w:rsidRPr="005E05A7" w:rsidRDefault="005E05A7" w:rsidP="005E05A7">
      <w:pPr>
        <w:numPr>
          <w:ilvl w:val="1"/>
          <w:numId w:val="2"/>
        </w:numPr>
        <w:rPr>
          <w:sz w:val="28"/>
          <w:szCs w:val="28"/>
        </w:rPr>
      </w:pPr>
      <w:r w:rsidRPr="005E05A7">
        <w:rPr>
          <w:sz w:val="28"/>
          <w:szCs w:val="28"/>
        </w:rPr>
        <w:t>Return on Assets (ROA) for US retail banks averaged 1.1% in 2023, while commercial banks reported an ROA of 1.2%, reflecting the stable financial performance of both sectors.</w:t>
      </w:r>
    </w:p>
    <w:p w14:paraId="68B9346B" w14:textId="77777777" w:rsidR="005E05A7" w:rsidRPr="005E05A7" w:rsidRDefault="005E05A7" w:rsidP="005E05A7">
      <w:pPr>
        <w:numPr>
          <w:ilvl w:val="1"/>
          <w:numId w:val="2"/>
        </w:numPr>
        <w:rPr>
          <w:sz w:val="28"/>
          <w:szCs w:val="28"/>
        </w:rPr>
      </w:pPr>
      <w:r w:rsidRPr="005E05A7">
        <w:rPr>
          <w:sz w:val="28"/>
          <w:szCs w:val="28"/>
        </w:rPr>
        <w:t>The fee income ratio for US investment banks stood at 47% in 2023, emphasizing the significance of fee-based advisory and underwriting services in driving revenue.</w:t>
      </w:r>
    </w:p>
    <w:p w14:paraId="241CD267" w14:textId="77777777" w:rsidR="005E05A7" w:rsidRPr="005E05A7" w:rsidRDefault="005E05A7" w:rsidP="00426FC6">
      <w:pPr>
        <w:rPr>
          <w:sz w:val="28"/>
          <w:szCs w:val="28"/>
        </w:rPr>
      </w:pPr>
      <w:r w:rsidRPr="005E05A7">
        <w:rPr>
          <w:b/>
          <w:bCs/>
          <w:sz w:val="28"/>
          <w:szCs w:val="28"/>
        </w:rPr>
        <w:t>Client Acquisition and Retention:</w:t>
      </w:r>
    </w:p>
    <w:p w14:paraId="00C0719E" w14:textId="77777777" w:rsidR="005E05A7" w:rsidRPr="005E05A7" w:rsidRDefault="005E05A7" w:rsidP="005E05A7">
      <w:pPr>
        <w:numPr>
          <w:ilvl w:val="1"/>
          <w:numId w:val="2"/>
        </w:numPr>
        <w:rPr>
          <w:sz w:val="28"/>
          <w:szCs w:val="28"/>
        </w:rPr>
      </w:pPr>
      <w:r w:rsidRPr="005E05A7">
        <w:rPr>
          <w:sz w:val="28"/>
          <w:szCs w:val="28"/>
        </w:rPr>
        <w:t>Retail banks in the US have focused on digital transformation and personalized customer experiences to acquire and retain customers, with an average customer retention rate of 85% in the industry.</w:t>
      </w:r>
    </w:p>
    <w:p w14:paraId="71D376B7" w14:textId="77777777" w:rsidR="005E05A7" w:rsidRPr="005E05A7" w:rsidRDefault="005E05A7" w:rsidP="005E05A7">
      <w:pPr>
        <w:numPr>
          <w:ilvl w:val="1"/>
          <w:numId w:val="2"/>
        </w:numPr>
        <w:rPr>
          <w:sz w:val="28"/>
          <w:szCs w:val="28"/>
        </w:rPr>
      </w:pPr>
      <w:r w:rsidRPr="005E05A7">
        <w:rPr>
          <w:sz w:val="28"/>
          <w:szCs w:val="28"/>
        </w:rPr>
        <w:t>Commercial banks have leveraged relationship-based banking and tailored financial solutions to achieve a customer retention rate of 90% among business clients, underscoring the importance of long-term partnerships.</w:t>
      </w:r>
    </w:p>
    <w:p w14:paraId="587E2CC9" w14:textId="77777777" w:rsidR="005E05A7" w:rsidRPr="005E05A7" w:rsidRDefault="005E05A7" w:rsidP="00426FC6">
      <w:pPr>
        <w:rPr>
          <w:sz w:val="28"/>
          <w:szCs w:val="28"/>
        </w:rPr>
      </w:pPr>
      <w:r w:rsidRPr="005E05A7">
        <w:rPr>
          <w:b/>
          <w:bCs/>
          <w:sz w:val="28"/>
          <w:szCs w:val="28"/>
        </w:rPr>
        <w:t>Regulatory Landscape:</w:t>
      </w:r>
    </w:p>
    <w:p w14:paraId="7B890C62" w14:textId="77777777" w:rsidR="005E05A7" w:rsidRPr="005E05A7" w:rsidRDefault="005E05A7" w:rsidP="005E05A7">
      <w:pPr>
        <w:numPr>
          <w:ilvl w:val="1"/>
          <w:numId w:val="2"/>
        </w:numPr>
        <w:rPr>
          <w:sz w:val="28"/>
          <w:szCs w:val="28"/>
        </w:rPr>
      </w:pPr>
      <w:r w:rsidRPr="005E05A7">
        <w:rPr>
          <w:sz w:val="28"/>
          <w:szCs w:val="28"/>
        </w:rPr>
        <w:t>The US banking industry operates under the regulatory oversight of the Federal Reserve, FDIC, and the Office of the Comptroller of the Currency (OCC) for ensuring safety, soundness, and compliance with banking regulations.</w:t>
      </w:r>
    </w:p>
    <w:p w14:paraId="53AD04FC" w14:textId="77777777" w:rsidR="005E05A7" w:rsidRPr="005E05A7" w:rsidRDefault="005E05A7" w:rsidP="005E05A7">
      <w:pPr>
        <w:numPr>
          <w:ilvl w:val="1"/>
          <w:numId w:val="2"/>
        </w:numPr>
        <w:rPr>
          <w:sz w:val="28"/>
          <w:szCs w:val="28"/>
        </w:rPr>
      </w:pPr>
      <w:r w:rsidRPr="005E05A7">
        <w:rPr>
          <w:sz w:val="28"/>
          <w:szCs w:val="28"/>
        </w:rPr>
        <w:t>Retail banks, commercial banks, and investment banks are subject to distinct regulatory frameworks, encompassing consumer protection laws, capital adequacy requirements, and risk management standards.</w:t>
      </w:r>
    </w:p>
    <w:p w14:paraId="65EE455F" w14:textId="605DBFF9" w:rsidR="005E05A7" w:rsidRPr="005E05A7" w:rsidRDefault="005E05A7" w:rsidP="00426FC6">
      <w:pPr>
        <w:ind w:left="720"/>
        <w:rPr>
          <w:sz w:val="28"/>
          <w:szCs w:val="28"/>
        </w:rPr>
      </w:pPr>
      <w:r w:rsidRPr="005E05A7">
        <w:rPr>
          <w:b/>
          <w:bCs/>
          <w:sz w:val="28"/>
          <w:szCs w:val="28"/>
        </w:rPr>
        <w:t>Case Studies:</w:t>
      </w:r>
    </w:p>
    <w:p w14:paraId="00E8421B" w14:textId="77777777" w:rsidR="005E05A7" w:rsidRPr="005E05A7" w:rsidRDefault="005E05A7" w:rsidP="005E05A7">
      <w:pPr>
        <w:numPr>
          <w:ilvl w:val="1"/>
          <w:numId w:val="2"/>
        </w:numPr>
        <w:rPr>
          <w:sz w:val="28"/>
          <w:szCs w:val="28"/>
        </w:rPr>
      </w:pPr>
      <w:r w:rsidRPr="005E05A7">
        <w:rPr>
          <w:sz w:val="28"/>
          <w:szCs w:val="28"/>
        </w:rPr>
        <w:t>Wells Fargo's successful integration of digital banking solutions for retail customers, resulting in a 20% increase in new account openings in the past year.</w:t>
      </w:r>
    </w:p>
    <w:p w14:paraId="693CAB32" w14:textId="77777777" w:rsidR="005E05A7" w:rsidRPr="005E05A7" w:rsidRDefault="005E05A7" w:rsidP="005E05A7">
      <w:pPr>
        <w:numPr>
          <w:ilvl w:val="1"/>
          <w:numId w:val="2"/>
        </w:numPr>
        <w:rPr>
          <w:sz w:val="28"/>
          <w:szCs w:val="28"/>
        </w:rPr>
      </w:pPr>
      <w:r w:rsidRPr="005E05A7">
        <w:rPr>
          <w:sz w:val="28"/>
          <w:szCs w:val="28"/>
        </w:rPr>
        <w:t>JPMorgan Chase's strategic acquisition financing support for a leading technology firm, highlighting the value of commercial banking in facilitating growth opportunities for clients.</w:t>
      </w:r>
    </w:p>
    <w:p w14:paraId="57808F81" w14:textId="77777777" w:rsidR="005E05A7" w:rsidRPr="005E05A7" w:rsidRDefault="005E05A7" w:rsidP="005E05A7">
      <w:pPr>
        <w:numPr>
          <w:ilvl w:val="1"/>
          <w:numId w:val="2"/>
        </w:numPr>
        <w:rPr>
          <w:sz w:val="28"/>
          <w:szCs w:val="28"/>
        </w:rPr>
      </w:pPr>
      <w:r w:rsidRPr="005E05A7">
        <w:rPr>
          <w:sz w:val="28"/>
          <w:szCs w:val="28"/>
        </w:rPr>
        <w:t>Goldman Sachs’ role in advising on a high-profile merger in the pharmaceutical industry, showcasing the expertise and impact of investment banking in complex strategic transactions.</w:t>
      </w:r>
    </w:p>
    <w:p w14:paraId="26C595BC" w14:textId="77777777" w:rsidR="005E05A7" w:rsidRPr="005E05A7" w:rsidRDefault="005E05A7" w:rsidP="005E05A7">
      <w:pPr>
        <w:rPr>
          <w:sz w:val="28"/>
          <w:szCs w:val="28"/>
        </w:rPr>
      </w:pPr>
    </w:p>
    <w:p w14:paraId="7080F07E" w14:textId="77777777" w:rsidR="00561F04" w:rsidRPr="005E05A7" w:rsidRDefault="00561F04">
      <w:pPr>
        <w:rPr>
          <w:sz w:val="28"/>
          <w:szCs w:val="28"/>
        </w:rPr>
      </w:pPr>
    </w:p>
    <w:sectPr w:rsidR="00561F04" w:rsidRPr="005E0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75594"/>
    <w:multiLevelType w:val="multilevel"/>
    <w:tmpl w:val="987A0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F1E57"/>
    <w:multiLevelType w:val="multilevel"/>
    <w:tmpl w:val="27820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38531">
    <w:abstractNumId w:val="1"/>
  </w:num>
  <w:num w:numId="2" w16cid:durableId="192002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5A7"/>
    <w:rsid w:val="00426FC6"/>
    <w:rsid w:val="00561F04"/>
    <w:rsid w:val="00585EDD"/>
    <w:rsid w:val="005E05A7"/>
    <w:rsid w:val="007E3B41"/>
    <w:rsid w:val="00895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5889"/>
  <w15:chartTrackingRefBased/>
  <w15:docId w15:val="{9942E654-2392-439C-AE4C-3100D86A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5A7"/>
    <w:rPr>
      <w:rFonts w:eastAsiaTheme="majorEastAsia" w:cstheme="majorBidi"/>
      <w:color w:val="272727" w:themeColor="text1" w:themeTint="D8"/>
    </w:rPr>
  </w:style>
  <w:style w:type="paragraph" w:styleId="Title">
    <w:name w:val="Title"/>
    <w:basedOn w:val="Normal"/>
    <w:next w:val="Normal"/>
    <w:link w:val="TitleChar"/>
    <w:uiPriority w:val="10"/>
    <w:qFormat/>
    <w:rsid w:val="005E0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5A7"/>
    <w:pPr>
      <w:spacing w:before="160"/>
      <w:jc w:val="center"/>
    </w:pPr>
    <w:rPr>
      <w:i/>
      <w:iCs/>
      <w:color w:val="404040" w:themeColor="text1" w:themeTint="BF"/>
    </w:rPr>
  </w:style>
  <w:style w:type="character" w:customStyle="1" w:styleId="QuoteChar">
    <w:name w:val="Quote Char"/>
    <w:basedOn w:val="DefaultParagraphFont"/>
    <w:link w:val="Quote"/>
    <w:uiPriority w:val="29"/>
    <w:rsid w:val="005E05A7"/>
    <w:rPr>
      <w:i/>
      <w:iCs/>
      <w:color w:val="404040" w:themeColor="text1" w:themeTint="BF"/>
    </w:rPr>
  </w:style>
  <w:style w:type="paragraph" w:styleId="ListParagraph">
    <w:name w:val="List Paragraph"/>
    <w:basedOn w:val="Normal"/>
    <w:uiPriority w:val="34"/>
    <w:qFormat/>
    <w:rsid w:val="005E05A7"/>
    <w:pPr>
      <w:ind w:left="720"/>
      <w:contextualSpacing/>
    </w:pPr>
  </w:style>
  <w:style w:type="character" w:styleId="IntenseEmphasis">
    <w:name w:val="Intense Emphasis"/>
    <w:basedOn w:val="DefaultParagraphFont"/>
    <w:uiPriority w:val="21"/>
    <w:qFormat/>
    <w:rsid w:val="005E05A7"/>
    <w:rPr>
      <w:i/>
      <w:iCs/>
      <w:color w:val="0F4761" w:themeColor="accent1" w:themeShade="BF"/>
    </w:rPr>
  </w:style>
  <w:style w:type="paragraph" w:styleId="IntenseQuote">
    <w:name w:val="Intense Quote"/>
    <w:basedOn w:val="Normal"/>
    <w:next w:val="Normal"/>
    <w:link w:val="IntenseQuoteChar"/>
    <w:uiPriority w:val="30"/>
    <w:qFormat/>
    <w:rsid w:val="005E0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5A7"/>
    <w:rPr>
      <w:i/>
      <w:iCs/>
      <w:color w:val="0F4761" w:themeColor="accent1" w:themeShade="BF"/>
    </w:rPr>
  </w:style>
  <w:style w:type="character" w:styleId="IntenseReference">
    <w:name w:val="Intense Reference"/>
    <w:basedOn w:val="DefaultParagraphFont"/>
    <w:uiPriority w:val="32"/>
    <w:qFormat/>
    <w:rsid w:val="005E05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18335">
      <w:bodyDiv w:val="1"/>
      <w:marLeft w:val="0"/>
      <w:marRight w:val="0"/>
      <w:marTop w:val="0"/>
      <w:marBottom w:val="0"/>
      <w:divBdr>
        <w:top w:val="none" w:sz="0" w:space="0" w:color="auto"/>
        <w:left w:val="none" w:sz="0" w:space="0" w:color="auto"/>
        <w:bottom w:val="none" w:sz="0" w:space="0" w:color="auto"/>
        <w:right w:val="none" w:sz="0" w:space="0" w:color="auto"/>
      </w:divBdr>
    </w:div>
    <w:div w:id="814876438">
      <w:bodyDiv w:val="1"/>
      <w:marLeft w:val="0"/>
      <w:marRight w:val="0"/>
      <w:marTop w:val="0"/>
      <w:marBottom w:val="0"/>
      <w:divBdr>
        <w:top w:val="none" w:sz="0" w:space="0" w:color="auto"/>
        <w:left w:val="none" w:sz="0" w:space="0" w:color="auto"/>
        <w:bottom w:val="none" w:sz="0" w:space="0" w:color="auto"/>
        <w:right w:val="none" w:sz="0" w:space="0" w:color="auto"/>
      </w:divBdr>
    </w:div>
    <w:div w:id="1857037341">
      <w:bodyDiv w:val="1"/>
      <w:marLeft w:val="0"/>
      <w:marRight w:val="0"/>
      <w:marTop w:val="0"/>
      <w:marBottom w:val="0"/>
      <w:divBdr>
        <w:top w:val="none" w:sz="0" w:space="0" w:color="auto"/>
        <w:left w:val="none" w:sz="0" w:space="0" w:color="auto"/>
        <w:bottom w:val="none" w:sz="0" w:space="0" w:color="auto"/>
        <w:right w:val="none" w:sz="0" w:space="0" w:color="auto"/>
      </w:divBdr>
    </w:div>
    <w:div w:id="19410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Customer Segmentation by Banking Segment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Sheet1!$A$10</c:f>
              <c:strCache>
                <c:ptCount val="1"/>
                <c:pt idx="0">
                  <c:v>Individual Customers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Sheet1!$B$9:$D$9</c:f>
              <c:strCache>
                <c:ptCount val="3"/>
                <c:pt idx="0">
                  <c:v>Retail Banking </c:v>
                </c:pt>
                <c:pt idx="1">
                  <c:v>Commercial Banking    </c:v>
                </c:pt>
                <c:pt idx="2">
                  <c:v>Investment Banking  </c:v>
                </c:pt>
              </c:strCache>
            </c:strRef>
          </c:cat>
          <c:val>
            <c:numRef>
              <c:f>Sheet1!$B$10:$D$10</c:f>
              <c:numCache>
                <c:formatCode>General</c:formatCode>
                <c:ptCount val="3"/>
                <c:pt idx="0">
                  <c:v>70</c:v>
                </c:pt>
                <c:pt idx="1">
                  <c:v>10</c:v>
                </c:pt>
                <c:pt idx="2">
                  <c:v>5</c:v>
                </c:pt>
              </c:numCache>
            </c:numRef>
          </c:val>
          <c:extLst>
            <c:ext xmlns:c16="http://schemas.microsoft.com/office/drawing/2014/chart" uri="{C3380CC4-5D6E-409C-BE32-E72D297353CC}">
              <c16:uniqueId val="{00000000-40C8-4BAF-94B1-CC8597C78023}"/>
            </c:ext>
          </c:extLst>
        </c:ser>
        <c:ser>
          <c:idx val="1"/>
          <c:order val="1"/>
          <c:tx>
            <c:strRef>
              <c:f>Sheet1!$A$11</c:f>
              <c:strCache>
                <c:ptCount val="1"/>
                <c:pt idx="0">
                  <c:v>Small Businesses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Sheet1!$B$9:$D$9</c:f>
              <c:strCache>
                <c:ptCount val="3"/>
                <c:pt idx="0">
                  <c:v>Retail Banking </c:v>
                </c:pt>
                <c:pt idx="1">
                  <c:v>Commercial Banking    </c:v>
                </c:pt>
                <c:pt idx="2">
                  <c:v>Investment Banking  </c:v>
                </c:pt>
              </c:strCache>
            </c:strRef>
          </c:cat>
          <c:val>
            <c:numRef>
              <c:f>Sheet1!$B$11:$D$11</c:f>
              <c:numCache>
                <c:formatCode>General</c:formatCode>
                <c:ptCount val="3"/>
                <c:pt idx="0">
                  <c:v>25</c:v>
                </c:pt>
                <c:pt idx="1">
                  <c:v>30</c:v>
                </c:pt>
                <c:pt idx="2">
                  <c:v>10</c:v>
                </c:pt>
              </c:numCache>
            </c:numRef>
          </c:val>
          <c:extLst>
            <c:ext xmlns:c16="http://schemas.microsoft.com/office/drawing/2014/chart" uri="{C3380CC4-5D6E-409C-BE32-E72D297353CC}">
              <c16:uniqueId val="{00000001-40C8-4BAF-94B1-CC8597C78023}"/>
            </c:ext>
          </c:extLst>
        </c:ser>
        <c:ser>
          <c:idx val="2"/>
          <c:order val="2"/>
          <c:tx>
            <c:strRef>
              <c:f>Sheet1!$A$12</c:f>
              <c:strCache>
                <c:ptCount val="1"/>
                <c:pt idx="0">
                  <c:v>Large Corporations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Sheet1!$B$9:$D$9</c:f>
              <c:strCache>
                <c:ptCount val="3"/>
                <c:pt idx="0">
                  <c:v>Retail Banking </c:v>
                </c:pt>
                <c:pt idx="1">
                  <c:v>Commercial Banking    </c:v>
                </c:pt>
                <c:pt idx="2">
                  <c:v>Investment Banking  </c:v>
                </c:pt>
              </c:strCache>
            </c:strRef>
          </c:cat>
          <c:val>
            <c:numRef>
              <c:f>Sheet1!$B$12:$D$12</c:f>
              <c:numCache>
                <c:formatCode>General</c:formatCode>
                <c:ptCount val="3"/>
                <c:pt idx="0">
                  <c:v>5</c:v>
                </c:pt>
                <c:pt idx="1">
                  <c:v>60</c:v>
                </c:pt>
                <c:pt idx="2">
                  <c:v>85</c:v>
                </c:pt>
              </c:numCache>
            </c:numRef>
          </c:val>
          <c:extLst>
            <c:ext xmlns:c16="http://schemas.microsoft.com/office/drawing/2014/chart" uri="{C3380CC4-5D6E-409C-BE32-E72D297353CC}">
              <c16:uniqueId val="{00000002-40C8-4BAF-94B1-CC8597C78023}"/>
            </c:ext>
          </c:extLst>
        </c:ser>
        <c:dLbls>
          <c:dLblPos val="ctr"/>
          <c:showLegendKey val="0"/>
          <c:showVal val="1"/>
          <c:showCatName val="0"/>
          <c:showSerName val="0"/>
          <c:showPercent val="0"/>
          <c:showBubbleSize val="0"/>
        </c:dLbls>
        <c:gapWidth val="150"/>
        <c:overlap val="100"/>
        <c:axId val="1087437664"/>
        <c:axId val="1087426144"/>
      </c:barChart>
      <c:catAx>
        <c:axId val="1087437664"/>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7426144"/>
        <c:crosses val="autoZero"/>
        <c:auto val="1"/>
        <c:lblAlgn val="ctr"/>
        <c:lblOffset val="100"/>
        <c:noMultiLvlLbl val="0"/>
      </c:catAx>
      <c:valAx>
        <c:axId val="10874261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743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4F383837C04CA8E95205F18DE140" ma:contentTypeVersion="8" ma:contentTypeDescription="Create a new document." ma:contentTypeScope="" ma:versionID="3f5e542280e89bccd288ce93dba97172">
  <xsd:schema xmlns:xsd="http://www.w3.org/2001/XMLSchema" xmlns:xs="http://www.w3.org/2001/XMLSchema" xmlns:p="http://schemas.microsoft.com/office/2006/metadata/properties" xmlns:ns3="b8472e52-8911-499d-8d49-b1eb2ba5d0b7" xmlns:ns4="62b4d34e-011f-4d28-abcf-616a39fa92e1" targetNamespace="http://schemas.microsoft.com/office/2006/metadata/properties" ma:root="true" ma:fieldsID="b6d39ae289e6b67cd3c303c698065ef5" ns3:_="" ns4:_="">
    <xsd:import namespace="b8472e52-8911-499d-8d49-b1eb2ba5d0b7"/>
    <xsd:import namespace="62b4d34e-011f-4d28-abcf-616a39fa92e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72e52-8911-499d-8d49-b1eb2ba5d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b4d34e-011f-4d28-abcf-616a39fa92e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8472e52-8911-499d-8d49-b1eb2ba5d0b7" xsi:nil="true"/>
  </documentManagement>
</p:properties>
</file>

<file path=customXml/itemProps1.xml><?xml version="1.0" encoding="utf-8"?>
<ds:datastoreItem xmlns:ds="http://schemas.openxmlformats.org/officeDocument/2006/customXml" ds:itemID="{E1124022-A231-48C6-89B1-2CA6FDDE4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472e52-8911-499d-8d49-b1eb2ba5d0b7"/>
    <ds:schemaRef ds:uri="62b4d34e-011f-4d28-abcf-616a39fa92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5EC1CC-D0F9-45D1-845B-FAF7D99D9622}">
  <ds:schemaRefs>
    <ds:schemaRef ds:uri="http://schemas.microsoft.com/sharepoint/v3/contenttype/forms"/>
  </ds:schemaRefs>
</ds:datastoreItem>
</file>

<file path=customXml/itemProps3.xml><?xml version="1.0" encoding="utf-8"?>
<ds:datastoreItem xmlns:ds="http://schemas.openxmlformats.org/officeDocument/2006/customXml" ds:itemID="{7B59B6C7-B3FF-4A63-9BB0-3491DF38F38A}">
  <ds:schemaRefs>
    <ds:schemaRef ds:uri="http://schemas.microsoft.com/office/2006/documentManagement/types"/>
    <ds:schemaRef ds:uri="http://purl.org/dc/elements/1.1/"/>
    <ds:schemaRef ds:uri="http://schemas.microsoft.com/office/2006/metadata/properties"/>
    <ds:schemaRef ds:uri="62b4d34e-011f-4d28-abcf-616a39fa92e1"/>
    <ds:schemaRef ds:uri="http://purl.org/dc/terms/"/>
    <ds:schemaRef ds:uri="http://purl.org/dc/dcmitype/"/>
    <ds:schemaRef ds:uri="http://schemas.microsoft.com/office/infopath/2007/PartnerControls"/>
    <ds:schemaRef ds:uri="http://schemas.openxmlformats.org/package/2006/metadata/core-properties"/>
    <ds:schemaRef ds:uri="b8472e52-8911-499d-8d49-b1eb2ba5d0b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2</cp:revision>
  <dcterms:created xsi:type="dcterms:W3CDTF">2024-06-18T13:44:00Z</dcterms:created>
  <dcterms:modified xsi:type="dcterms:W3CDTF">2024-06-18T13:44:00Z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0x01010006864F383837C04CA8E95205F18DE140</vt:lpwstr>
  </property>
</Properties>
</file>