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41CCD" w14:textId="034746ED" w:rsidR="001262A9" w:rsidRPr="00A03A21" w:rsidRDefault="0039566F" w:rsidP="00A03A21">
      <w:pPr>
        <w:pStyle w:val="Heading1"/>
        <w:rPr>
          <w:b/>
          <w:bCs/>
          <w:color w:val="auto"/>
        </w:rPr>
      </w:pPr>
      <w:r w:rsidRPr="0039566F">
        <w:rPr>
          <w:b/>
          <w:bCs/>
          <w:color w:val="auto"/>
        </w:rPr>
        <w:t>The Federal Deposit Insurance Corporation</w:t>
      </w:r>
      <w:r>
        <w:rPr>
          <w:b/>
          <w:bCs/>
          <w:color w:val="auto"/>
        </w:rPr>
        <w:t xml:space="preserve"> (</w:t>
      </w:r>
      <w:r w:rsidR="001262A9" w:rsidRPr="00A03A21">
        <w:rPr>
          <w:b/>
          <w:bCs/>
          <w:color w:val="auto"/>
        </w:rPr>
        <w:t>FDIC</w:t>
      </w:r>
      <w:r>
        <w:rPr>
          <w:b/>
          <w:bCs/>
          <w:color w:val="auto"/>
        </w:rPr>
        <w:t>)</w:t>
      </w:r>
    </w:p>
    <w:p w14:paraId="61FE8A2B" w14:textId="77777777" w:rsidR="000B7769" w:rsidRPr="005D7F0F" w:rsidRDefault="000B7769" w:rsidP="000B7769">
      <w:pPr>
        <w:spacing w:before="100" w:beforeAutospacing="1" w:after="100" w:afterAutospacing="1"/>
        <w:divId w:val="869227026"/>
        <w:rPr>
          <w:rFonts w:cstheme="minorHAnsi"/>
          <w:kern w:val="0"/>
          <w:sz w:val="28"/>
          <w:szCs w:val="28"/>
          <w14:ligatures w14:val="none"/>
        </w:rPr>
      </w:pPr>
      <w:r w:rsidRPr="005D7F0F">
        <w:rPr>
          <w:rFonts w:cstheme="minorHAnsi"/>
          <w:kern w:val="0"/>
          <w:sz w:val="28"/>
          <w:szCs w:val="28"/>
          <w14:ligatures w14:val="none"/>
        </w:rPr>
        <w:t>The mission of the Federal Deposit Insurance Corporation (FDIC) is to maintain stability and public confidence in the nation's financial system. In support of this goal, the FDIC:</w:t>
      </w:r>
    </w:p>
    <w:p w14:paraId="560EDA17" w14:textId="77777777" w:rsidR="008441A4" w:rsidRPr="005D7F0F" w:rsidRDefault="00000000" w:rsidP="008441A4">
      <w:pPr>
        <w:numPr>
          <w:ilvl w:val="0"/>
          <w:numId w:val="1"/>
        </w:numPr>
        <w:spacing w:before="100" w:beforeAutospacing="1" w:after="100" w:afterAutospacing="1"/>
        <w:divId w:val="431166137"/>
        <w:rPr>
          <w:rFonts w:eastAsia="Times New Roman" w:cstheme="minorHAnsi"/>
          <w:kern w:val="0"/>
          <w:sz w:val="28"/>
          <w:szCs w:val="28"/>
          <w14:ligatures w14:val="none"/>
        </w:rPr>
      </w:pPr>
      <w:hyperlink r:id="rId5" w:history="1">
        <w:r w:rsidR="008441A4" w:rsidRPr="005D7F0F">
          <w:rPr>
            <w:rFonts w:eastAsia="Times New Roman" w:cstheme="minorHAnsi"/>
            <w:kern w:val="0"/>
            <w:sz w:val="28"/>
            <w:szCs w:val="28"/>
            <w14:ligatures w14:val="none"/>
          </w:rPr>
          <w:t>Insures deposits</w:t>
        </w:r>
      </w:hyperlink>
      <w:r w:rsidR="008441A4" w:rsidRPr="005D7F0F">
        <w:rPr>
          <w:rFonts w:eastAsia="Times New Roman" w:cstheme="minorHAnsi"/>
          <w:kern w:val="0"/>
          <w:sz w:val="28"/>
          <w:szCs w:val="28"/>
          <w14:ligatures w14:val="none"/>
        </w:rPr>
        <w:t>,</w:t>
      </w:r>
    </w:p>
    <w:p w14:paraId="12D18983" w14:textId="77777777" w:rsidR="008441A4" w:rsidRPr="005D7F0F" w:rsidRDefault="00000000" w:rsidP="008441A4">
      <w:pPr>
        <w:numPr>
          <w:ilvl w:val="0"/>
          <w:numId w:val="1"/>
        </w:numPr>
        <w:spacing w:before="100" w:beforeAutospacing="1" w:after="100" w:afterAutospacing="1"/>
        <w:divId w:val="431166137"/>
        <w:rPr>
          <w:rFonts w:eastAsia="Times New Roman" w:cstheme="minorHAnsi"/>
          <w:kern w:val="0"/>
          <w:sz w:val="28"/>
          <w:szCs w:val="28"/>
          <w14:ligatures w14:val="none"/>
        </w:rPr>
      </w:pPr>
      <w:hyperlink r:id="rId6" w:history="1">
        <w:r w:rsidR="008441A4" w:rsidRPr="005D7F0F">
          <w:rPr>
            <w:rFonts w:eastAsia="Times New Roman" w:cstheme="minorHAnsi"/>
            <w:kern w:val="0"/>
            <w:sz w:val="28"/>
            <w:szCs w:val="28"/>
            <w14:ligatures w14:val="none"/>
          </w:rPr>
          <w:t>Examines and supervises financial institutions</w:t>
        </w:r>
      </w:hyperlink>
      <w:r w:rsidR="008441A4" w:rsidRPr="005D7F0F">
        <w:rPr>
          <w:rFonts w:eastAsia="Times New Roman" w:cstheme="minorHAnsi"/>
          <w:kern w:val="0"/>
          <w:sz w:val="28"/>
          <w:szCs w:val="28"/>
          <w14:ligatures w14:val="none"/>
        </w:rPr>
        <w:t> for safety and soundness and consumer protection,</w:t>
      </w:r>
    </w:p>
    <w:p w14:paraId="0B952250" w14:textId="77777777" w:rsidR="008441A4" w:rsidRPr="005D7F0F" w:rsidRDefault="008441A4" w:rsidP="008441A4">
      <w:pPr>
        <w:numPr>
          <w:ilvl w:val="0"/>
          <w:numId w:val="1"/>
        </w:numPr>
        <w:spacing w:before="100" w:beforeAutospacing="1" w:after="100" w:afterAutospacing="1"/>
        <w:divId w:val="431166137"/>
        <w:rPr>
          <w:rFonts w:eastAsia="Times New Roman" w:cstheme="minorHAnsi"/>
          <w:kern w:val="0"/>
          <w:sz w:val="28"/>
          <w:szCs w:val="28"/>
          <w14:ligatures w14:val="none"/>
        </w:rPr>
      </w:pPr>
      <w:r w:rsidRPr="005D7F0F">
        <w:rPr>
          <w:rFonts w:eastAsia="Times New Roman" w:cstheme="minorHAnsi"/>
          <w:kern w:val="0"/>
          <w:sz w:val="28"/>
          <w:szCs w:val="28"/>
          <w14:ligatures w14:val="none"/>
        </w:rPr>
        <w:t>Works to make large and complex financial institutions </w:t>
      </w:r>
      <w:hyperlink r:id="rId7" w:history="1">
        <w:r w:rsidRPr="005D7F0F">
          <w:rPr>
            <w:rFonts w:eastAsia="Times New Roman" w:cstheme="minorHAnsi"/>
            <w:kern w:val="0"/>
            <w:sz w:val="28"/>
            <w:szCs w:val="28"/>
            <w14:ligatures w14:val="none"/>
          </w:rPr>
          <w:t>resolvable</w:t>
        </w:r>
      </w:hyperlink>
      <w:r w:rsidRPr="005D7F0F">
        <w:rPr>
          <w:rFonts w:eastAsia="Times New Roman" w:cstheme="minorHAnsi"/>
          <w:kern w:val="0"/>
          <w:sz w:val="28"/>
          <w:szCs w:val="28"/>
          <w14:ligatures w14:val="none"/>
        </w:rPr>
        <w:t>, and</w:t>
      </w:r>
    </w:p>
    <w:p w14:paraId="7352019E" w14:textId="77777777" w:rsidR="008441A4" w:rsidRPr="005D7F0F" w:rsidRDefault="00000000" w:rsidP="008441A4">
      <w:pPr>
        <w:numPr>
          <w:ilvl w:val="0"/>
          <w:numId w:val="1"/>
        </w:numPr>
        <w:spacing w:before="100" w:beforeAutospacing="1" w:after="100" w:afterAutospacing="1"/>
        <w:divId w:val="431166137"/>
        <w:rPr>
          <w:rFonts w:eastAsia="Times New Roman" w:cstheme="minorHAnsi"/>
          <w:kern w:val="0"/>
          <w:sz w:val="28"/>
          <w:szCs w:val="28"/>
          <w14:ligatures w14:val="none"/>
        </w:rPr>
      </w:pPr>
      <w:hyperlink r:id="rId8" w:history="1">
        <w:r w:rsidR="008441A4" w:rsidRPr="005D7F0F">
          <w:rPr>
            <w:rFonts w:eastAsia="Times New Roman" w:cstheme="minorHAnsi"/>
            <w:kern w:val="0"/>
            <w:sz w:val="28"/>
            <w:szCs w:val="28"/>
            <w14:ligatures w14:val="none"/>
          </w:rPr>
          <w:t>Manages receiverships</w:t>
        </w:r>
      </w:hyperlink>
      <w:r w:rsidR="008441A4" w:rsidRPr="005D7F0F">
        <w:rPr>
          <w:rFonts w:eastAsia="Times New Roman" w:cstheme="minorHAnsi"/>
          <w:kern w:val="0"/>
          <w:sz w:val="28"/>
          <w:szCs w:val="28"/>
          <w14:ligatures w14:val="none"/>
        </w:rPr>
        <w:t>.</w:t>
      </w:r>
    </w:p>
    <w:p w14:paraId="160C49A8" w14:textId="24668BF1" w:rsidR="00BB41B1" w:rsidRPr="005D7F0F" w:rsidRDefault="00BF58DC" w:rsidP="00BF58DC">
      <w:pPr>
        <w:spacing w:before="100" w:beforeAutospacing="1" w:after="100" w:afterAutospacing="1"/>
        <w:divId w:val="431166137"/>
        <w:rPr>
          <w:rFonts w:eastAsia="Times New Roman" w:cstheme="minorHAnsi"/>
          <w:sz w:val="28"/>
          <w:szCs w:val="28"/>
          <w:shd w:val="clear" w:color="auto" w:fill="FFFFFF"/>
        </w:rPr>
      </w:pPr>
      <w:r w:rsidRPr="005D7F0F">
        <w:rPr>
          <w:rFonts w:eastAsia="Times New Roman" w:cstheme="minorHAnsi"/>
          <w:sz w:val="28"/>
          <w:szCs w:val="28"/>
          <w:shd w:val="clear" w:color="auto" w:fill="FFFFFF"/>
        </w:rPr>
        <w:t>An independent agency of the federal government, the FDIC was created in 1933 in response to the thousands of bank failures that occurred in the 1920s and early 1930s</w:t>
      </w:r>
    </w:p>
    <w:p w14:paraId="6D4839E6" w14:textId="0D137186" w:rsidR="008C531E" w:rsidRPr="005D7F0F" w:rsidRDefault="00BB41B1" w:rsidP="00BF58DC">
      <w:pPr>
        <w:spacing w:before="100" w:beforeAutospacing="1" w:after="100" w:afterAutospacing="1"/>
        <w:divId w:val="431166137"/>
        <w:rPr>
          <w:rFonts w:eastAsia="Times New Roman" w:cstheme="minorHAnsi"/>
          <w:sz w:val="28"/>
          <w:szCs w:val="28"/>
          <w:shd w:val="clear" w:color="auto" w:fill="FFFFFF"/>
        </w:rPr>
      </w:pPr>
      <w:r w:rsidRPr="005D7F0F">
        <w:rPr>
          <w:rFonts w:eastAsia="Times New Roman" w:cstheme="minorHAnsi"/>
          <w:sz w:val="28"/>
          <w:szCs w:val="28"/>
          <w:shd w:val="clear" w:color="auto" w:fill="FFFFFF"/>
        </w:rPr>
        <w:t>The FDIC is headquartered in Washington, DC, and has established</w:t>
      </w:r>
      <w:r w:rsidRPr="005D7F0F">
        <w:rPr>
          <w:rStyle w:val="apple-converted-space"/>
          <w:rFonts w:eastAsia="Times New Roman" w:cstheme="minorHAnsi"/>
          <w:sz w:val="28"/>
          <w:szCs w:val="28"/>
          <w:shd w:val="clear" w:color="auto" w:fill="FFFFFF"/>
        </w:rPr>
        <w:t> </w:t>
      </w:r>
      <w:r w:rsidR="005D7F0F" w:rsidRPr="005D7F0F">
        <w:rPr>
          <w:rFonts w:cstheme="minorHAnsi"/>
          <w:sz w:val="28"/>
          <w:szCs w:val="28"/>
        </w:rPr>
        <w:t>offices around</w:t>
      </w:r>
      <w:r w:rsidRPr="005D7F0F">
        <w:rPr>
          <w:rFonts w:eastAsia="Times New Roman" w:cstheme="minorHAnsi"/>
          <w:sz w:val="28"/>
          <w:szCs w:val="28"/>
          <w:shd w:val="clear" w:color="auto" w:fill="FFFFFF"/>
        </w:rPr>
        <w:t xml:space="preserve"> the country.</w:t>
      </w:r>
    </w:p>
    <w:p w14:paraId="449C6C4E" w14:textId="3DF6D468" w:rsidR="00A03A21" w:rsidRDefault="008C531E" w:rsidP="00BF58DC">
      <w:pPr>
        <w:spacing w:before="100" w:beforeAutospacing="1" w:after="100" w:afterAutospacing="1"/>
        <w:divId w:val="431166137"/>
        <w:rPr>
          <w:rFonts w:eastAsia="Times New Roman" w:cstheme="minorHAnsi"/>
          <w:sz w:val="28"/>
          <w:szCs w:val="28"/>
          <w:shd w:val="clear" w:color="auto" w:fill="FFFFFF"/>
        </w:rPr>
      </w:pPr>
      <w:r w:rsidRPr="005D7F0F">
        <w:rPr>
          <w:rFonts w:eastAsia="Times New Roman" w:cstheme="minorHAnsi"/>
          <w:sz w:val="28"/>
          <w:szCs w:val="28"/>
          <w:shd w:val="clear" w:color="auto" w:fill="FFFFFF"/>
        </w:rPr>
        <w:t>The FDIC is managed by a five-person</w:t>
      </w:r>
      <w:r w:rsidRPr="005D7F0F">
        <w:rPr>
          <w:rStyle w:val="apple-converted-space"/>
          <w:rFonts w:eastAsia="Times New Roman" w:cstheme="minorHAnsi"/>
          <w:sz w:val="28"/>
          <w:szCs w:val="28"/>
          <w:shd w:val="clear" w:color="auto" w:fill="FFFFFF"/>
        </w:rPr>
        <w:t> </w:t>
      </w:r>
      <w:hyperlink r:id="rId9" w:history="1">
        <w:r w:rsidRPr="005D7F0F">
          <w:rPr>
            <w:rStyle w:val="Hyperlink"/>
            <w:rFonts w:eastAsia="Times New Roman" w:cstheme="minorHAnsi"/>
            <w:color w:val="auto"/>
            <w:sz w:val="28"/>
            <w:szCs w:val="28"/>
            <w:u w:val="none"/>
          </w:rPr>
          <w:t>Board of Directors</w:t>
        </w:r>
      </w:hyperlink>
      <w:r w:rsidRPr="005D7F0F">
        <w:rPr>
          <w:rStyle w:val="apple-converted-space"/>
          <w:rFonts w:eastAsia="Times New Roman" w:cstheme="minorHAnsi"/>
          <w:sz w:val="28"/>
          <w:szCs w:val="28"/>
          <w:shd w:val="clear" w:color="auto" w:fill="FFFFFF"/>
        </w:rPr>
        <w:t> </w:t>
      </w:r>
      <w:r w:rsidRPr="005D7F0F">
        <w:rPr>
          <w:rFonts w:eastAsia="Times New Roman" w:cstheme="minorHAnsi"/>
          <w:sz w:val="28"/>
          <w:szCs w:val="28"/>
          <w:shd w:val="clear" w:color="auto" w:fill="FFFFFF"/>
        </w:rPr>
        <w:t>that includes the Comptroller of the Currency and the Director of the Consumer Financial Protection Bureau, all of whom are appointed by the President and confirmed by the Senate, with no more than three being from the same political party.</w:t>
      </w:r>
    </w:p>
    <w:p w14:paraId="3DFB862D" w14:textId="64FC4D17" w:rsidR="00A03A21" w:rsidRDefault="00A03A21" w:rsidP="00BF58DC">
      <w:pPr>
        <w:spacing w:before="100" w:beforeAutospacing="1" w:after="100" w:afterAutospacing="1"/>
        <w:divId w:val="431166137"/>
        <w:rPr>
          <w:rFonts w:eastAsia="Times New Roman" w:cstheme="minorHAnsi"/>
          <w:sz w:val="28"/>
          <w:szCs w:val="28"/>
          <w:shd w:val="clear" w:color="auto" w:fill="FFFFFF"/>
        </w:rPr>
      </w:pPr>
      <w:r w:rsidRPr="00A03A21">
        <w:rPr>
          <w:rFonts w:eastAsia="Times New Roman" w:cstheme="minorHAnsi"/>
          <w:sz w:val="28"/>
          <w:szCs w:val="28"/>
          <w:shd w:val="clear" w:color="auto" w:fill="FFFFFF"/>
        </w:rPr>
        <w:t>Deposit Insurance Coverage</w:t>
      </w:r>
    </w:p>
    <w:p w14:paraId="6FBC0CE2" w14:textId="51B0CF88" w:rsidR="004221CD" w:rsidRPr="005D7F0F" w:rsidRDefault="004221CD" w:rsidP="00BF58DC">
      <w:pPr>
        <w:spacing w:before="100" w:beforeAutospacing="1" w:after="100" w:afterAutospacing="1"/>
        <w:divId w:val="431166137"/>
        <w:rPr>
          <w:rFonts w:eastAsia="Times New Roman" w:cstheme="minorHAnsi"/>
          <w:kern w:val="0"/>
          <w:sz w:val="28"/>
          <w:szCs w:val="28"/>
          <w14:ligatures w14:val="none"/>
        </w:rPr>
      </w:pPr>
      <w:r>
        <w:rPr>
          <w:rFonts w:eastAsia="Times New Roman" w:cstheme="minorHAnsi"/>
          <w:noProof/>
          <w:sz w:val="28"/>
          <w:szCs w:val="28"/>
          <w:shd w:val="clear" w:color="auto" w:fill="FFFFFF"/>
        </w:rPr>
        <w:drawing>
          <wp:inline distT="0" distB="0" distL="0" distR="0" wp14:anchorId="071684A7" wp14:editId="1D83E05E">
            <wp:extent cx="5334000" cy="2933700"/>
            <wp:effectExtent l="0" t="0" r="0" b="0"/>
            <wp:docPr id="33264163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C151132" w14:textId="55ABB602" w:rsidR="008441A4" w:rsidRDefault="004221CD" w:rsidP="008441A4">
      <w:pPr>
        <w:divId w:val="431166137"/>
        <w:rPr>
          <w:rFonts w:eastAsia="Times New Roman" w:cstheme="minorHAnsi"/>
          <w:kern w:val="0"/>
          <w:sz w:val="28"/>
          <w:szCs w:val="28"/>
          <w14:ligatures w14:val="none"/>
        </w:rPr>
      </w:pPr>
      <w:r w:rsidRPr="004221CD">
        <w:rPr>
          <w:rFonts w:eastAsia="Times New Roman" w:cstheme="minorHAnsi"/>
          <w:kern w:val="0"/>
          <w:sz w:val="28"/>
          <w:szCs w:val="28"/>
          <w14:ligatures w14:val="none"/>
        </w:rPr>
        <w:lastRenderedPageBreak/>
        <w:t>Total Insured Deposits: The total insured deposits have been increasing steadily over the years, from $14.4 trillion in 2020 to $15.1 trillion in 2022. This indicates a growing trend in the number of insured deposits.</w:t>
      </w:r>
    </w:p>
    <w:p w14:paraId="08C0FE99" w14:textId="77777777" w:rsidR="00A03A21" w:rsidRDefault="00A03A21" w:rsidP="008441A4">
      <w:pPr>
        <w:divId w:val="431166137"/>
        <w:rPr>
          <w:rFonts w:eastAsia="Times New Roman" w:cstheme="minorHAnsi"/>
          <w:kern w:val="0"/>
          <w:sz w:val="28"/>
          <w:szCs w:val="28"/>
          <w14:ligatures w14:val="none"/>
        </w:rPr>
      </w:pPr>
    </w:p>
    <w:p w14:paraId="1D4A63C1" w14:textId="77777777" w:rsidR="00A03A21" w:rsidRDefault="00A03A21" w:rsidP="008441A4">
      <w:pPr>
        <w:divId w:val="431166137"/>
        <w:rPr>
          <w:rFonts w:eastAsia="Times New Roman" w:cstheme="minorHAnsi"/>
          <w:kern w:val="0"/>
          <w:sz w:val="28"/>
          <w:szCs w:val="28"/>
          <w14:ligatures w14:val="none"/>
        </w:rPr>
      </w:pPr>
    </w:p>
    <w:p w14:paraId="703DDACC" w14:textId="6AFB106D" w:rsidR="00A03A21" w:rsidRDefault="00A03A21" w:rsidP="008441A4">
      <w:pPr>
        <w:divId w:val="431166137"/>
        <w:rPr>
          <w:rFonts w:eastAsia="Times New Roman" w:cstheme="minorHAnsi"/>
          <w:kern w:val="0"/>
          <w:sz w:val="28"/>
          <w:szCs w:val="28"/>
          <w14:ligatures w14:val="none"/>
        </w:rPr>
      </w:pPr>
      <w:r>
        <w:rPr>
          <w:rFonts w:eastAsia="Times New Roman" w:cstheme="minorHAnsi"/>
          <w:noProof/>
          <w:kern w:val="0"/>
          <w:sz w:val="28"/>
          <w:szCs w:val="28"/>
        </w:rPr>
        <w:drawing>
          <wp:inline distT="0" distB="0" distL="0" distR="0" wp14:anchorId="3CB20BE0" wp14:editId="2F54FBA6">
            <wp:extent cx="5349240" cy="3116580"/>
            <wp:effectExtent l="0" t="0" r="3810" b="7620"/>
            <wp:docPr id="2027050302"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A184E60" w14:textId="77777777" w:rsidR="00A03A21" w:rsidRDefault="00A03A21" w:rsidP="008441A4">
      <w:pPr>
        <w:divId w:val="431166137"/>
        <w:rPr>
          <w:rFonts w:eastAsia="Times New Roman" w:cstheme="minorHAnsi"/>
          <w:kern w:val="0"/>
          <w:sz w:val="28"/>
          <w:szCs w:val="28"/>
          <w14:ligatures w14:val="none"/>
        </w:rPr>
      </w:pPr>
    </w:p>
    <w:p w14:paraId="61C4C6B0" w14:textId="2CC956D6" w:rsidR="00A03A21" w:rsidRDefault="00A03A21" w:rsidP="008441A4">
      <w:pPr>
        <w:divId w:val="431166137"/>
        <w:rPr>
          <w:rFonts w:eastAsia="Times New Roman" w:cstheme="minorHAnsi"/>
          <w:kern w:val="0"/>
          <w:sz w:val="28"/>
          <w:szCs w:val="28"/>
          <w14:ligatures w14:val="none"/>
        </w:rPr>
      </w:pPr>
      <w:r w:rsidRPr="00A03A21">
        <w:rPr>
          <w:rFonts w:eastAsia="Times New Roman" w:cstheme="minorHAnsi"/>
          <w:kern w:val="0"/>
          <w:sz w:val="28"/>
          <w:szCs w:val="28"/>
          <w14:ligatures w14:val="none"/>
        </w:rPr>
        <w:t>Number of Insured Deposits: The number of insured deposits has also been increasing, from 93.4 million in 2020 to 95.1 million in 2022. This suggests that more individuals and institutions are participating in the FDIC's deposit insurance program.</w:t>
      </w:r>
    </w:p>
    <w:p w14:paraId="139EB979" w14:textId="77777777" w:rsidR="00A03A21" w:rsidRDefault="00A03A21" w:rsidP="008441A4">
      <w:pPr>
        <w:divId w:val="431166137"/>
        <w:rPr>
          <w:rFonts w:eastAsia="Times New Roman" w:cstheme="minorHAnsi"/>
          <w:kern w:val="0"/>
          <w:sz w:val="28"/>
          <w:szCs w:val="28"/>
          <w14:ligatures w14:val="none"/>
        </w:rPr>
      </w:pPr>
    </w:p>
    <w:p w14:paraId="292B3314" w14:textId="77777777" w:rsidR="00A03A21" w:rsidRDefault="00A03A21" w:rsidP="008441A4">
      <w:pPr>
        <w:divId w:val="431166137"/>
        <w:rPr>
          <w:rFonts w:eastAsia="Times New Roman" w:cstheme="minorHAnsi"/>
          <w:kern w:val="0"/>
          <w:sz w:val="28"/>
          <w:szCs w:val="28"/>
          <w14:ligatures w14:val="none"/>
        </w:rPr>
      </w:pPr>
    </w:p>
    <w:p w14:paraId="0E83BE85" w14:textId="77777777" w:rsidR="00A03A21" w:rsidRDefault="00A03A21" w:rsidP="008441A4">
      <w:pPr>
        <w:divId w:val="431166137"/>
        <w:rPr>
          <w:rFonts w:eastAsia="Times New Roman" w:cstheme="minorHAnsi"/>
          <w:kern w:val="0"/>
          <w:sz w:val="28"/>
          <w:szCs w:val="28"/>
          <w14:ligatures w14:val="none"/>
        </w:rPr>
      </w:pPr>
    </w:p>
    <w:p w14:paraId="37C7723F" w14:textId="77777777" w:rsidR="00A03A21" w:rsidRDefault="00A03A21" w:rsidP="008441A4">
      <w:pPr>
        <w:divId w:val="431166137"/>
        <w:rPr>
          <w:rFonts w:eastAsia="Times New Roman" w:cstheme="minorHAnsi"/>
          <w:kern w:val="0"/>
          <w:sz w:val="28"/>
          <w:szCs w:val="28"/>
          <w14:ligatures w14:val="none"/>
        </w:rPr>
      </w:pPr>
    </w:p>
    <w:p w14:paraId="5AE60AE5" w14:textId="77777777" w:rsidR="00A03A21" w:rsidRDefault="00A03A21" w:rsidP="008441A4">
      <w:pPr>
        <w:divId w:val="431166137"/>
        <w:rPr>
          <w:rFonts w:eastAsia="Times New Roman" w:cstheme="minorHAnsi"/>
          <w:kern w:val="0"/>
          <w:sz w:val="28"/>
          <w:szCs w:val="28"/>
          <w14:ligatures w14:val="none"/>
        </w:rPr>
      </w:pPr>
    </w:p>
    <w:p w14:paraId="27DCE333" w14:textId="77777777" w:rsidR="00A03A21" w:rsidRDefault="00A03A21" w:rsidP="008441A4">
      <w:pPr>
        <w:divId w:val="431166137"/>
        <w:rPr>
          <w:rFonts w:eastAsia="Times New Roman" w:cstheme="minorHAnsi"/>
          <w:kern w:val="0"/>
          <w:sz w:val="28"/>
          <w:szCs w:val="28"/>
          <w14:ligatures w14:val="none"/>
        </w:rPr>
      </w:pPr>
    </w:p>
    <w:p w14:paraId="33F3661F" w14:textId="77777777" w:rsidR="00A03A21" w:rsidRDefault="00A03A21" w:rsidP="008441A4">
      <w:pPr>
        <w:divId w:val="431166137"/>
        <w:rPr>
          <w:rFonts w:eastAsia="Times New Roman" w:cstheme="minorHAnsi"/>
          <w:kern w:val="0"/>
          <w:sz w:val="28"/>
          <w:szCs w:val="28"/>
          <w14:ligatures w14:val="none"/>
        </w:rPr>
      </w:pPr>
    </w:p>
    <w:p w14:paraId="1F24F654" w14:textId="77777777" w:rsidR="00A03A21" w:rsidRDefault="00A03A21" w:rsidP="008441A4">
      <w:pPr>
        <w:divId w:val="431166137"/>
        <w:rPr>
          <w:rFonts w:eastAsia="Times New Roman" w:cstheme="minorHAnsi"/>
          <w:kern w:val="0"/>
          <w:sz w:val="28"/>
          <w:szCs w:val="28"/>
          <w14:ligatures w14:val="none"/>
        </w:rPr>
      </w:pPr>
    </w:p>
    <w:p w14:paraId="7CB0435F" w14:textId="77777777" w:rsidR="00A03A21" w:rsidRDefault="00A03A21" w:rsidP="008441A4">
      <w:pPr>
        <w:divId w:val="431166137"/>
        <w:rPr>
          <w:rFonts w:eastAsia="Times New Roman" w:cstheme="minorHAnsi"/>
          <w:kern w:val="0"/>
          <w:sz w:val="28"/>
          <w:szCs w:val="28"/>
          <w14:ligatures w14:val="none"/>
        </w:rPr>
      </w:pPr>
    </w:p>
    <w:p w14:paraId="040A22A5" w14:textId="77777777" w:rsidR="00A03A21" w:rsidRDefault="00A03A21" w:rsidP="008441A4">
      <w:pPr>
        <w:divId w:val="431166137"/>
        <w:rPr>
          <w:rFonts w:eastAsia="Times New Roman" w:cstheme="minorHAnsi"/>
          <w:kern w:val="0"/>
          <w:sz w:val="28"/>
          <w:szCs w:val="28"/>
          <w14:ligatures w14:val="none"/>
        </w:rPr>
      </w:pPr>
    </w:p>
    <w:p w14:paraId="0B11C420" w14:textId="77777777" w:rsidR="00A03A21" w:rsidRPr="005D7F0F" w:rsidRDefault="00A03A21" w:rsidP="008441A4">
      <w:pPr>
        <w:divId w:val="431166137"/>
        <w:rPr>
          <w:rFonts w:eastAsia="Times New Roman" w:cstheme="minorHAnsi"/>
          <w:kern w:val="0"/>
          <w:sz w:val="28"/>
          <w:szCs w:val="28"/>
          <w14:ligatures w14:val="none"/>
        </w:rPr>
      </w:pPr>
    </w:p>
    <w:p w14:paraId="49887AB6" w14:textId="1CE82328" w:rsidR="008441A4" w:rsidRPr="00A03A21" w:rsidRDefault="005D7F0F" w:rsidP="00A03A21">
      <w:pPr>
        <w:pStyle w:val="Heading1"/>
        <w:divId w:val="869227026"/>
        <w:rPr>
          <w:b/>
          <w:bCs/>
          <w:color w:val="auto"/>
        </w:rPr>
      </w:pPr>
      <w:r w:rsidRPr="00A03A21">
        <w:rPr>
          <w:b/>
          <w:bCs/>
          <w:color w:val="auto"/>
        </w:rPr>
        <w:lastRenderedPageBreak/>
        <w:t>The Office of the Comptroller of the Currency (OCC)</w:t>
      </w:r>
    </w:p>
    <w:p w14:paraId="1FC5927D" w14:textId="07C7D10B" w:rsidR="005D7F0F" w:rsidRPr="005D7F0F" w:rsidRDefault="005D7F0F" w:rsidP="005D7F0F">
      <w:pPr>
        <w:spacing w:before="100" w:beforeAutospacing="1" w:after="100" w:afterAutospacing="1"/>
        <w:divId w:val="869227026"/>
        <w:rPr>
          <w:rFonts w:cstheme="minorHAnsi"/>
          <w:kern w:val="0"/>
          <w:sz w:val="28"/>
          <w:szCs w:val="28"/>
          <w14:ligatures w14:val="none"/>
        </w:rPr>
      </w:pPr>
      <w:r w:rsidRPr="005D7F0F">
        <w:rPr>
          <w:rFonts w:cstheme="minorHAnsi"/>
          <w:kern w:val="0"/>
          <w:sz w:val="28"/>
          <w:szCs w:val="28"/>
          <w14:ligatures w14:val="none"/>
        </w:rPr>
        <w:t>is an independent bureau of the U.S. Department of the Treasury. The OCC charters, regulates, and supervises all national banks, federal savings associations, and federal branches and agencies of foreign banks.</w:t>
      </w:r>
    </w:p>
    <w:p w14:paraId="697DB677" w14:textId="00300567" w:rsidR="005D7F0F" w:rsidRPr="005D7F0F" w:rsidRDefault="005D7F0F" w:rsidP="005D7F0F">
      <w:pPr>
        <w:spacing w:before="100" w:beforeAutospacing="1" w:after="100" w:afterAutospacing="1"/>
        <w:divId w:val="869227026"/>
        <w:rPr>
          <w:rFonts w:cstheme="minorHAnsi"/>
          <w:kern w:val="0"/>
          <w:sz w:val="28"/>
          <w:szCs w:val="28"/>
          <w14:ligatures w14:val="none"/>
        </w:rPr>
      </w:pPr>
      <w:r>
        <w:rPr>
          <w:rFonts w:cstheme="minorHAnsi"/>
          <w:kern w:val="0"/>
          <w:sz w:val="28"/>
          <w:szCs w:val="28"/>
          <w14:ligatures w14:val="none"/>
        </w:rPr>
        <w:t>They</w:t>
      </w:r>
      <w:r w:rsidRPr="005D7F0F">
        <w:rPr>
          <w:rFonts w:cstheme="minorHAnsi"/>
          <w:kern w:val="0"/>
          <w:sz w:val="28"/>
          <w:szCs w:val="28"/>
          <w14:ligatures w14:val="none"/>
        </w:rPr>
        <w:t xml:space="preserve"> ensure that the banks</w:t>
      </w:r>
      <w:r>
        <w:rPr>
          <w:rFonts w:cstheme="minorHAnsi"/>
          <w:kern w:val="0"/>
          <w:sz w:val="28"/>
          <w:szCs w:val="28"/>
          <w14:ligatures w14:val="none"/>
        </w:rPr>
        <w:t xml:space="preserve"> they</w:t>
      </w:r>
      <w:r w:rsidRPr="005D7F0F">
        <w:rPr>
          <w:rFonts w:cstheme="minorHAnsi"/>
          <w:kern w:val="0"/>
          <w:sz w:val="28"/>
          <w:szCs w:val="28"/>
          <w14:ligatures w14:val="none"/>
        </w:rPr>
        <w:t xml:space="preserve"> supervise operate in a safe and sound manner, provide fair access to financial services, treat customers fairly, and comply with applicable laws and regulations. The OCC receives no appropriations from Congress.</w:t>
      </w:r>
    </w:p>
    <w:p w14:paraId="7D07862F" w14:textId="77777777" w:rsidR="000B7769" w:rsidRPr="005D7F0F" w:rsidRDefault="000B7769" w:rsidP="000B7769">
      <w:pPr>
        <w:ind w:left="720"/>
        <w:divId w:val="869227026"/>
        <w:rPr>
          <w:rFonts w:eastAsia="Times New Roman" w:cstheme="minorHAnsi"/>
          <w:kern w:val="0"/>
          <w:sz w:val="28"/>
          <w:szCs w:val="28"/>
          <w14:ligatures w14:val="none"/>
        </w:rPr>
      </w:pPr>
    </w:p>
    <w:p w14:paraId="0623DEBC" w14:textId="764C0F97" w:rsidR="000B7769" w:rsidRDefault="005D7F0F">
      <w:pPr>
        <w:rPr>
          <w:rFonts w:cstheme="minorHAnsi"/>
          <w:sz w:val="28"/>
          <w:szCs w:val="28"/>
        </w:rPr>
      </w:pPr>
      <w:r w:rsidRPr="005D7F0F">
        <w:rPr>
          <w:rFonts w:cstheme="minorHAnsi"/>
          <w:sz w:val="28"/>
          <w:szCs w:val="28"/>
        </w:rPr>
        <w:drawing>
          <wp:inline distT="0" distB="0" distL="0" distR="0" wp14:anchorId="5EFF0E49" wp14:editId="494350AE">
            <wp:extent cx="5731510" cy="1781175"/>
            <wp:effectExtent l="0" t="0" r="2540" b="9525"/>
            <wp:docPr id="103787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74907" name=""/>
                    <pic:cNvPicPr/>
                  </pic:nvPicPr>
                  <pic:blipFill>
                    <a:blip r:embed="rId12"/>
                    <a:stretch>
                      <a:fillRect/>
                    </a:stretch>
                  </pic:blipFill>
                  <pic:spPr>
                    <a:xfrm>
                      <a:off x="0" y="0"/>
                      <a:ext cx="5731510" cy="1781175"/>
                    </a:xfrm>
                    <a:prstGeom prst="rect">
                      <a:avLst/>
                    </a:prstGeom>
                  </pic:spPr>
                </pic:pic>
              </a:graphicData>
            </a:graphic>
          </wp:inline>
        </w:drawing>
      </w:r>
    </w:p>
    <w:p w14:paraId="355BFAD7" w14:textId="77777777" w:rsidR="005D7F0F" w:rsidRDefault="005D7F0F">
      <w:pPr>
        <w:rPr>
          <w:rFonts w:cstheme="minorHAnsi"/>
          <w:sz w:val="28"/>
          <w:szCs w:val="28"/>
        </w:rPr>
      </w:pPr>
    </w:p>
    <w:p w14:paraId="27733E58" w14:textId="77777777" w:rsidR="005D7F0F" w:rsidRPr="005D7F0F" w:rsidRDefault="005D7F0F" w:rsidP="005D7F0F">
      <w:pPr>
        <w:rPr>
          <w:rFonts w:cstheme="minorHAnsi"/>
          <w:sz w:val="28"/>
          <w:szCs w:val="28"/>
        </w:rPr>
      </w:pPr>
      <w:r w:rsidRPr="005D7F0F">
        <w:rPr>
          <w:rFonts w:cstheme="minorHAnsi"/>
          <w:sz w:val="28"/>
          <w:szCs w:val="28"/>
        </w:rPr>
        <w:t>Departments &amp; Offices</w:t>
      </w:r>
    </w:p>
    <w:p w14:paraId="24FA880A" w14:textId="0B2B6EB1" w:rsidR="005D7F0F" w:rsidRDefault="005D7F0F" w:rsidP="005D7F0F">
      <w:pPr>
        <w:rPr>
          <w:rFonts w:cstheme="minorHAnsi"/>
          <w:sz w:val="28"/>
          <w:szCs w:val="28"/>
        </w:rPr>
      </w:pPr>
      <w:r w:rsidRPr="005D7F0F">
        <w:rPr>
          <w:rFonts w:cstheme="minorHAnsi"/>
          <w:sz w:val="28"/>
          <w:szCs w:val="28"/>
        </w:rPr>
        <w:t xml:space="preserve">The OCC carries out its mission through </w:t>
      </w:r>
      <w:proofErr w:type="gramStart"/>
      <w:r w:rsidRPr="005D7F0F">
        <w:rPr>
          <w:rFonts w:cstheme="minorHAnsi"/>
          <w:sz w:val="28"/>
          <w:szCs w:val="28"/>
        </w:rPr>
        <w:t>a number of</w:t>
      </w:r>
      <w:proofErr w:type="gramEnd"/>
      <w:r w:rsidRPr="005D7F0F">
        <w:rPr>
          <w:rFonts w:cstheme="minorHAnsi"/>
          <w:sz w:val="28"/>
          <w:szCs w:val="28"/>
        </w:rPr>
        <w:t xml:space="preserve"> departments and offices under the leadership of the Comptroller and senior deputy comptrollers.</w:t>
      </w:r>
    </w:p>
    <w:p w14:paraId="5D6C36F8" w14:textId="77777777" w:rsidR="005D7F0F" w:rsidRDefault="005D7F0F" w:rsidP="005D7F0F">
      <w:pPr>
        <w:rPr>
          <w:rFonts w:cstheme="minorHAnsi"/>
          <w:sz w:val="28"/>
          <w:szCs w:val="28"/>
        </w:rPr>
      </w:pPr>
    </w:p>
    <w:p w14:paraId="50A37F31" w14:textId="6BF83F77" w:rsidR="005D7F0F" w:rsidRDefault="005D7F0F" w:rsidP="005D7F0F">
      <w:pPr>
        <w:rPr>
          <w:rFonts w:cstheme="minorHAnsi"/>
          <w:sz w:val="28"/>
          <w:szCs w:val="28"/>
        </w:rPr>
      </w:pPr>
      <w:r w:rsidRPr="005D7F0F">
        <w:rPr>
          <w:rFonts w:cstheme="minorHAnsi"/>
          <w:sz w:val="28"/>
          <w:szCs w:val="28"/>
        </w:rPr>
        <w:drawing>
          <wp:inline distT="0" distB="0" distL="0" distR="0" wp14:anchorId="2DA7A82D" wp14:editId="2D0E0A6D">
            <wp:extent cx="6151887" cy="1905000"/>
            <wp:effectExtent l="0" t="0" r="1270" b="0"/>
            <wp:docPr id="56302333" name="Picture 1" descr="A group of text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2333" name="Picture 1" descr="A group of text boxes&#10;&#10;Description automatically generated with medium confidence"/>
                    <pic:cNvPicPr/>
                  </pic:nvPicPr>
                  <pic:blipFill>
                    <a:blip r:embed="rId13"/>
                    <a:stretch>
                      <a:fillRect/>
                    </a:stretch>
                  </pic:blipFill>
                  <pic:spPr>
                    <a:xfrm>
                      <a:off x="0" y="0"/>
                      <a:ext cx="6174108" cy="1911881"/>
                    </a:xfrm>
                    <a:prstGeom prst="rect">
                      <a:avLst/>
                    </a:prstGeom>
                  </pic:spPr>
                </pic:pic>
              </a:graphicData>
            </a:graphic>
          </wp:inline>
        </w:drawing>
      </w:r>
    </w:p>
    <w:p w14:paraId="4517A4DD" w14:textId="77777777" w:rsidR="005D7F0F" w:rsidRDefault="005D7F0F" w:rsidP="005D7F0F">
      <w:pPr>
        <w:rPr>
          <w:rFonts w:cstheme="minorHAnsi"/>
          <w:sz w:val="28"/>
          <w:szCs w:val="28"/>
        </w:rPr>
      </w:pPr>
    </w:p>
    <w:p w14:paraId="60876F2F" w14:textId="2652B977" w:rsidR="005D7F0F" w:rsidRPr="005D7F0F" w:rsidRDefault="005D7F0F" w:rsidP="005D7F0F">
      <w:pPr>
        <w:rPr>
          <w:rFonts w:cstheme="minorHAnsi"/>
          <w:sz w:val="28"/>
          <w:szCs w:val="28"/>
        </w:rPr>
      </w:pPr>
      <w:r w:rsidRPr="005D7F0F">
        <w:rPr>
          <w:rFonts w:cstheme="minorHAnsi"/>
          <w:sz w:val="28"/>
          <w:szCs w:val="28"/>
        </w:rPr>
        <w:t>OCC Through the Years</w:t>
      </w:r>
      <w:r>
        <w:rPr>
          <w:rFonts w:cstheme="minorHAnsi"/>
          <w:sz w:val="28"/>
          <w:szCs w:val="28"/>
        </w:rPr>
        <w:t>:</w:t>
      </w:r>
    </w:p>
    <w:p w14:paraId="70F29BDF" w14:textId="77777777" w:rsidR="005D7F0F" w:rsidRDefault="005D7F0F" w:rsidP="005D7F0F">
      <w:pPr>
        <w:rPr>
          <w:rFonts w:cstheme="minorHAnsi"/>
          <w:sz w:val="28"/>
          <w:szCs w:val="28"/>
        </w:rPr>
      </w:pPr>
    </w:p>
    <w:p w14:paraId="7F79476F" w14:textId="1B85A409" w:rsidR="005D7F0F" w:rsidRPr="005D7F0F" w:rsidRDefault="005D7F0F" w:rsidP="005D7F0F">
      <w:pPr>
        <w:rPr>
          <w:rFonts w:cstheme="minorHAnsi"/>
          <w:sz w:val="28"/>
          <w:szCs w:val="28"/>
        </w:rPr>
      </w:pPr>
      <w:r w:rsidRPr="005D7F0F">
        <w:rPr>
          <w:rFonts w:cstheme="minorHAnsi"/>
          <w:sz w:val="28"/>
          <w:szCs w:val="28"/>
        </w:rPr>
        <w:t>OCC History 1863-1865</w:t>
      </w:r>
    </w:p>
    <w:p w14:paraId="6AB65ACB" w14:textId="77777777" w:rsidR="005D7F0F" w:rsidRPr="005D7F0F" w:rsidRDefault="005D7F0F" w:rsidP="005D7F0F">
      <w:pPr>
        <w:rPr>
          <w:rFonts w:cstheme="minorHAnsi"/>
          <w:sz w:val="28"/>
          <w:szCs w:val="28"/>
        </w:rPr>
      </w:pPr>
      <w:r w:rsidRPr="005D7F0F">
        <w:rPr>
          <w:rFonts w:cstheme="minorHAnsi"/>
          <w:sz w:val="28"/>
          <w:szCs w:val="28"/>
        </w:rPr>
        <w:t>Founding of the National Banking System</w:t>
      </w:r>
    </w:p>
    <w:p w14:paraId="70C6061E" w14:textId="77777777" w:rsidR="005D7F0F" w:rsidRPr="005D7F0F" w:rsidRDefault="005D7F0F" w:rsidP="005D7F0F">
      <w:pPr>
        <w:rPr>
          <w:rFonts w:cstheme="minorHAnsi"/>
          <w:sz w:val="28"/>
          <w:szCs w:val="28"/>
        </w:rPr>
      </w:pPr>
      <w:r w:rsidRPr="005D7F0F">
        <w:rPr>
          <w:rFonts w:cstheme="minorHAnsi"/>
          <w:sz w:val="28"/>
          <w:szCs w:val="28"/>
        </w:rPr>
        <w:lastRenderedPageBreak/>
        <w:t>The story of the Office of the Comptroller of the Currency and the national banking system begins in 1863, when the National Currency Act was passed by Congress and signed into law by President Abraham Lincoln.</w:t>
      </w:r>
    </w:p>
    <w:p w14:paraId="2D5DA90E" w14:textId="77777777" w:rsidR="005D7F0F" w:rsidRDefault="005D7F0F" w:rsidP="005D7F0F">
      <w:pPr>
        <w:rPr>
          <w:rFonts w:cstheme="minorHAnsi"/>
          <w:sz w:val="28"/>
          <w:szCs w:val="28"/>
        </w:rPr>
      </w:pPr>
    </w:p>
    <w:p w14:paraId="43BDC71E" w14:textId="53B6F83A" w:rsidR="005D7F0F" w:rsidRPr="005D7F0F" w:rsidRDefault="005D7F0F" w:rsidP="005D7F0F">
      <w:pPr>
        <w:rPr>
          <w:rFonts w:cstheme="minorHAnsi"/>
          <w:sz w:val="28"/>
          <w:szCs w:val="28"/>
        </w:rPr>
      </w:pPr>
      <w:r w:rsidRPr="005D7F0F">
        <w:rPr>
          <w:rFonts w:cstheme="minorHAnsi"/>
          <w:sz w:val="28"/>
          <w:szCs w:val="28"/>
        </w:rPr>
        <w:t>1866 - 1913</w:t>
      </w:r>
    </w:p>
    <w:p w14:paraId="47082BA0" w14:textId="77777777" w:rsidR="005D7F0F" w:rsidRPr="005D7F0F" w:rsidRDefault="005D7F0F" w:rsidP="005D7F0F">
      <w:pPr>
        <w:rPr>
          <w:rFonts w:cstheme="minorHAnsi"/>
          <w:sz w:val="28"/>
          <w:szCs w:val="28"/>
        </w:rPr>
      </w:pPr>
      <w:r w:rsidRPr="005D7F0F">
        <w:rPr>
          <w:rFonts w:cstheme="minorHAnsi"/>
          <w:sz w:val="28"/>
          <w:szCs w:val="28"/>
        </w:rPr>
        <w:t>The System in Operation</w:t>
      </w:r>
    </w:p>
    <w:p w14:paraId="1F7E870C" w14:textId="77777777" w:rsidR="005D7F0F" w:rsidRPr="005D7F0F" w:rsidRDefault="005D7F0F" w:rsidP="005D7F0F">
      <w:pPr>
        <w:rPr>
          <w:rFonts w:cstheme="minorHAnsi"/>
          <w:sz w:val="28"/>
          <w:szCs w:val="28"/>
        </w:rPr>
      </w:pPr>
      <w:r w:rsidRPr="005D7F0F">
        <w:rPr>
          <w:rFonts w:cstheme="minorHAnsi"/>
          <w:sz w:val="28"/>
          <w:szCs w:val="28"/>
        </w:rPr>
        <w:t>Of the 1,600 state banks that existed in 1860, only 300 remained by 1866, while the national banking system shot ahead in numbers and influence.</w:t>
      </w:r>
    </w:p>
    <w:p w14:paraId="540F9CBE" w14:textId="77777777" w:rsidR="005D7F0F" w:rsidRPr="005D7F0F" w:rsidRDefault="005D7F0F" w:rsidP="005D7F0F">
      <w:pPr>
        <w:rPr>
          <w:rFonts w:cstheme="minorHAnsi"/>
          <w:sz w:val="28"/>
          <w:szCs w:val="28"/>
        </w:rPr>
      </w:pPr>
    </w:p>
    <w:p w14:paraId="06EF68C5" w14:textId="77777777" w:rsidR="005D7F0F" w:rsidRPr="005D7F0F" w:rsidRDefault="005D7F0F" w:rsidP="005D7F0F">
      <w:pPr>
        <w:rPr>
          <w:rFonts w:cstheme="minorHAnsi"/>
          <w:sz w:val="28"/>
          <w:szCs w:val="28"/>
        </w:rPr>
      </w:pPr>
      <w:r w:rsidRPr="005D7F0F">
        <w:rPr>
          <w:rFonts w:cstheme="minorHAnsi"/>
          <w:sz w:val="28"/>
          <w:szCs w:val="28"/>
        </w:rPr>
        <w:t>1914 - 1935</w:t>
      </w:r>
    </w:p>
    <w:p w14:paraId="07C9D29A" w14:textId="77777777" w:rsidR="005D7F0F" w:rsidRPr="005D7F0F" w:rsidRDefault="005D7F0F" w:rsidP="005D7F0F">
      <w:pPr>
        <w:rPr>
          <w:rFonts w:cstheme="minorHAnsi"/>
          <w:sz w:val="28"/>
          <w:szCs w:val="28"/>
        </w:rPr>
      </w:pPr>
      <w:r w:rsidRPr="005D7F0F">
        <w:rPr>
          <w:rFonts w:cstheme="minorHAnsi"/>
          <w:sz w:val="28"/>
          <w:szCs w:val="28"/>
        </w:rPr>
        <w:t>Years of Transition</w:t>
      </w:r>
    </w:p>
    <w:p w14:paraId="64A11BC2" w14:textId="77777777" w:rsidR="005D7F0F" w:rsidRPr="005D7F0F" w:rsidRDefault="005D7F0F" w:rsidP="005D7F0F">
      <w:pPr>
        <w:rPr>
          <w:rFonts w:cstheme="minorHAnsi"/>
          <w:sz w:val="28"/>
          <w:szCs w:val="28"/>
        </w:rPr>
      </w:pPr>
      <w:r w:rsidRPr="005D7F0F">
        <w:rPr>
          <w:rFonts w:cstheme="minorHAnsi"/>
          <w:sz w:val="28"/>
          <w:szCs w:val="28"/>
        </w:rPr>
        <w:t>The passage of the Federal Reserve Act in 1913 was a watershed in U.S. banking history. It created the Federal Reserve System, with a network of branches in large American cities, tied together by a Board of Governors.</w:t>
      </w:r>
    </w:p>
    <w:p w14:paraId="13B2DC10" w14:textId="77777777" w:rsidR="005D7F0F" w:rsidRPr="005D7F0F" w:rsidRDefault="005D7F0F" w:rsidP="005D7F0F">
      <w:pPr>
        <w:rPr>
          <w:rFonts w:cstheme="minorHAnsi"/>
          <w:sz w:val="28"/>
          <w:szCs w:val="28"/>
        </w:rPr>
      </w:pPr>
    </w:p>
    <w:p w14:paraId="56162EB1" w14:textId="77777777" w:rsidR="005D7F0F" w:rsidRPr="005D7F0F" w:rsidRDefault="005D7F0F" w:rsidP="005D7F0F">
      <w:pPr>
        <w:rPr>
          <w:rFonts w:cstheme="minorHAnsi"/>
          <w:sz w:val="28"/>
          <w:szCs w:val="28"/>
        </w:rPr>
      </w:pPr>
      <w:r w:rsidRPr="005D7F0F">
        <w:rPr>
          <w:rFonts w:cstheme="minorHAnsi"/>
          <w:sz w:val="28"/>
          <w:szCs w:val="28"/>
        </w:rPr>
        <w:t>1936 - 1966</w:t>
      </w:r>
    </w:p>
    <w:p w14:paraId="19CC7715" w14:textId="77777777" w:rsidR="005D7F0F" w:rsidRPr="005D7F0F" w:rsidRDefault="005D7F0F" w:rsidP="005D7F0F">
      <w:pPr>
        <w:rPr>
          <w:rFonts w:cstheme="minorHAnsi"/>
          <w:sz w:val="28"/>
          <w:szCs w:val="28"/>
        </w:rPr>
      </w:pPr>
      <w:r w:rsidRPr="005D7F0F">
        <w:rPr>
          <w:rFonts w:cstheme="minorHAnsi"/>
          <w:sz w:val="28"/>
          <w:szCs w:val="28"/>
        </w:rPr>
        <w:t>Stabilization &amp; Challenge</w:t>
      </w:r>
    </w:p>
    <w:p w14:paraId="5401111B" w14:textId="527199E5" w:rsidR="005D7F0F" w:rsidRPr="005D7F0F" w:rsidRDefault="0039566F" w:rsidP="005D7F0F">
      <w:pPr>
        <w:rPr>
          <w:rFonts w:cstheme="minorHAnsi"/>
          <w:sz w:val="28"/>
          <w:szCs w:val="28"/>
        </w:rPr>
      </w:pPr>
      <w:r w:rsidRPr="005D7F0F">
        <w:rPr>
          <w:rFonts w:cstheme="minorHAnsi"/>
          <w:sz w:val="28"/>
          <w:szCs w:val="28"/>
        </w:rPr>
        <w:t>World War II</w:t>
      </w:r>
      <w:r w:rsidR="005D7F0F" w:rsidRPr="005D7F0F">
        <w:rPr>
          <w:rFonts w:cstheme="minorHAnsi"/>
          <w:sz w:val="28"/>
          <w:szCs w:val="28"/>
        </w:rPr>
        <w:t xml:space="preserve"> </w:t>
      </w:r>
      <w:r w:rsidRPr="005D7F0F">
        <w:rPr>
          <w:rFonts w:cstheme="minorHAnsi"/>
          <w:sz w:val="28"/>
          <w:szCs w:val="28"/>
        </w:rPr>
        <w:t>signalled</w:t>
      </w:r>
      <w:r w:rsidR="005D7F0F" w:rsidRPr="005D7F0F">
        <w:rPr>
          <w:rFonts w:cstheme="minorHAnsi"/>
          <w:sz w:val="28"/>
          <w:szCs w:val="28"/>
        </w:rPr>
        <w:t xml:space="preserve"> the end of the Great Depression. National service pulled many bank examiners off the front lines of supervision and moved them to the front lines of combat. Fortunately, with the emphasis on lending to government rather than individuals, bank safety and soundness was never compromised.</w:t>
      </w:r>
    </w:p>
    <w:p w14:paraId="47FA26A7" w14:textId="77777777" w:rsidR="005D7F0F" w:rsidRPr="005D7F0F" w:rsidRDefault="005D7F0F" w:rsidP="005D7F0F">
      <w:pPr>
        <w:rPr>
          <w:rFonts w:cstheme="minorHAnsi"/>
          <w:sz w:val="28"/>
          <w:szCs w:val="28"/>
        </w:rPr>
      </w:pPr>
    </w:p>
    <w:p w14:paraId="243C3005" w14:textId="77777777" w:rsidR="005D7F0F" w:rsidRPr="005D7F0F" w:rsidRDefault="005D7F0F" w:rsidP="005D7F0F">
      <w:pPr>
        <w:rPr>
          <w:rFonts w:cstheme="minorHAnsi"/>
          <w:sz w:val="28"/>
          <w:szCs w:val="28"/>
        </w:rPr>
      </w:pPr>
      <w:r w:rsidRPr="005D7F0F">
        <w:rPr>
          <w:rFonts w:cstheme="minorHAnsi"/>
          <w:sz w:val="28"/>
          <w:szCs w:val="28"/>
        </w:rPr>
        <w:t>1967 - 2007</w:t>
      </w:r>
    </w:p>
    <w:p w14:paraId="227EF1BF" w14:textId="77777777" w:rsidR="005D7F0F" w:rsidRPr="005D7F0F" w:rsidRDefault="005D7F0F" w:rsidP="005D7F0F">
      <w:pPr>
        <w:rPr>
          <w:rFonts w:cstheme="minorHAnsi"/>
          <w:sz w:val="28"/>
          <w:szCs w:val="28"/>
        </w:rPr>
      </w:pPr>
      <w:r w:rsidRPr="005D7F0F">
        <w:rPr>
          <w:rFonts w:cstheme="minorHAnsi"/>
          <w:sz w:val="28"/>
          <w:szCs w:val="28"/>
        </w:rPr>
        <w:t>Information Revolution, Prosperity, Warnings</w:t>
      </w:r>
    </w:p>
    <w:p w14:paraId="7B0CE8B3" w14:textId="77777777" w:rsidR="005D7F0F" w:rsidRPr="005D7F0F" w:rsidRDefault="005D7F0F" w:rsidP="005D7F0F">
      <w:pPr>
        <w:rPr>
          <w:rFonts w:cstheme="minorHAnsi"/>
          <w:sz w:val="28"/>
          <w:szCs w:val="28"/>
        </w:rPr>
      </w:pPr>
      <w:r w:rsidRPr="005D7F0F">
        <w:rPr>
          <w:rFonts w:cstheme="minorHAnsi"/>
          <w:sz w:val="28"/>
          <w:szCs w:val="28"/>
        </w:rPr>
        <w:t>The closer integration of America and the world brought changes to the OCC as well as to the industry it supervised. Communication improvements meant faster and more consistent decision making across the OCC.</w:t>
      </w:r>
    </w:p>
    <w:p w14:paraId="394823B3" w14:textId="77777777" w:rsidR="005D7F0F" w:rsidRPr="005D7F0F" w:rsidRDefault="005D7F0F" w:rsidP="005D7F0F">
      <w:pPr>
        <w:rPr>
          <w:rFonts w:cstheme="minorHAnsi"/>
          <w:sz w:val="28"/>
          <w:szCs w:val="28"/>
        </w:rPr>
      </w:pPr>
    </w:p>
    <w:p w14:paraId="30A63AD8" w14:textId="77777777" w:rsidR="005D7F0F" w:rsidRPr="005D7F0F" w:rsidRDefault="005D7F0F" w:rsidP="005D7F0F">
      <w:pPr>
        <w:rPr>
          <w:rFonts w:cstheme="minorHAnsi"/>
          <w:sz w:val="28"/>
          <w:szCs w:val="28"/>
        </w:rPr>
      </w:pPr>
      <w:r w:rsidRPr="005D7F0F">
        <w:rPr>
          <w:rFonts w:cstheme="minorHAnsi"/>
          <w:sz w:val="28"/>
          <w:szCs w:val="28"/>
        </w:rPr>
        <w:t>2008 – Present</w:t>
      </w:r>
    </w:p>
    <w:p w14:paraId="61065790" w14:textId="77777777" w:rsidR="005D7F0F" w:rsidRPr="005D7F0F" w:rsidRDefault="005D7F0F" w:rsidP="005D7F0F">
      <w:pPr>
        <w:rPr>
          <w:rFonts w:cstheme="minorHAnsi"/>
          <w:sz w:val="28"/>
          <w:szCs w:val="28"/>
        </w:rPr>
      </w:pPr>
      <w:r w:rsidRPr="005D7F0F">
        <w:rPr>
          <w:rFonts w:cstheme="minorHAnsi"/>
          <w:sz w:val="28"/>
          <w:szCs w:val="28"/>
        </w:rPr>
        <w:t>Crisis, Reform, and Recovery</w:t>
      </w:r>
    </w:p>
    <w:p w14:paraId="79E92C16" w14:textId="4B5A070E" w:rsidR="005D7F0F" w:rsidRDefault="005D7F0F" w:rsidP="005D7F0F">
      <w:pPr>
        <w:rPr>
          <w:rFonts w:cstheme="minorHAnsi"/>
          <w:sz w:val="28"/>
          <w:szCs w:val="28"/>
        </w:rPr>
      </w:pPr>
      <w:r w:rsidRPr="005D7F0F">
        <w:rPr>
          <w:rFonts w:cstheme="minorHAnsi"/>
          <w:sz w:val="28"/>
          <w:szCs w:val="28"/>
        </w:rPr>
        <w:t>Despite the warning signs, no one expected the worst financial crisis since the Great Depression. The year 2008 saw the first ever annual decline in housing prices, along with record foreclosure levels and heavy losses on subprime loans.</w:t>
      </w:r>
    </w:p>
    <w:p w14:paraId="3E3CEFAD" w14:textId="77777777" w:rsidR="00A03A21" w:rsidRDefault="00A03A21" w:rsidP="005D7F0F">
      <w:pPr>
        <w:rPr>
          <w:rFonts w:cstheme="minorHAnsi"/>
          <w:sz w:val="28"/>
          <w:szCs w:val="28"/>
        </w:rPr>
      </w:pPr>
    </w:p>
    <w:p w14:paraId="64678C8E" w14:textId="77777777" w:rsidR="00A03A21" w:rsidRDefault="00A03A21" w:rsidP="005D7F0F">
      <w:pPr>
        <w:rPr>
          <w:rFonts w:cstheme="minorHAnsi"/>
          <w:sz w:val="28"/>
          <w:szCs w:val="28"/>
        </w:rPr>
      </w:pPr>
    </w:p>
    <w:p w14:paraId="486A52B6" w14:textId="77777777" w:rsidR="00A03A21" w:rsidRDefault="00A03A21" w:rsidP="005D7F0F">
      <w:pPr>
        <w:rPr>
          <w:rFonts w:cstheme="minorHAnsi"/>
          <w:sz w:val="28"/>
          <w:szCs w:val="28"/>
        </w:rPr>
      </w:pPr>
    </w:p>
    <w:p w14:paraId="12D02AEC" w14:textId="77777777" w:rsidR="00A03A21" w:rsidRDefault="00A03A21" w:rsidP="005D7F0F">
      <w:pPr>
        <w:rPr>
          <w:rFonts w:cstheme="minorHAnsi"/>
          <w:sz w:val="28"/>
          <w:szCs w:val="28"/>
        </w:rPr>
      </w:pPr>
    </w:p>
    <w:p w14:paraId="62658DD2" w14:textId="77777777" w:rsidR="00A03A21" w:rsidRPr="00A03A21" w:rsidRDefault="00A03A21" w:rsidP="00A03A21">
      <w:pPr>
        <w:pStyle w:val="Heading1"/>
        <w:rPr>
          <w:b/>
          <w:bCs/>
          <w:color w:val="auto"/>
        </w:rPr>
      </w:pPr>
      <w:r w:rsidRPr="00A03A21">
        <w:rPr>
          <w:b/>
          <w:bCs/>
          <w:color w:val="auto"/>
        </w:rPr>
        <w:lastRenderedPageBreak/>
        <w:t>Functions of the Federal Reserve System (FRS)</w:t>
      </w:r>
    </w:p>
    <w:p w14:paraId="1FE42880" w14:textId="77777777" w:rsidR="00A03A21" w:rsidRPr="00A03A21" w:rsidRDefault="00A03A21" w:rsidP="00A03A21"/>
    <w:p w14:paraId="6CFEA400" w14:textId="77777777" w:rsidR="00A03A21" w:rsidRPr="00A03A21" w:rsidRDefault="00A03A21" w:rsidP="00A03A21">
      <w:pPr>
        <w:rPr>
          <w:rFonts w:cstheme="minorHAnsi"/>
          <w:sz w:val="28"/>
          <w:szCs w:val="28"/>
        </w:rPr>
      </w:pPr>
      <w:r w:rsidRPr="00A03A21">
        <w:rPr>
          <w:rFonts w:cstheme="minorHAnsi"/>
          <w:b/>
          <w:bCs/>
          <w:sz w:val="28"/>
          <w:szCs w:val="28"/>
        </w:rPr>
        <w:t>Implementing Monetary Policy:</w:t>
      </w:r>
      <w:r w:rsidRPr="00A03A21">
        <w:rPr>
          <w:rFonts w:cstheme="minorHAnsi"/>
          <w:sz w:val="28"/>
          <w:szCs w:val="28"/>
        </w:rPr>
        <w:t xml:space="preserve"> The FRS sets monetary policy to achieve maximum employment, stable prices, and moderate long-term interest rates. It does this by adjusting the federal funds rate, which influences market interest rates and, in turn, US economic activity.</w:t>
      </w:r>
    </w:p>
    <w:p w14:paraId="7FE697B8" w14:textId="77777777" w:rsidR="00A03A21" w:rsidRPr="00A03A21" w:rsidRDefault="00A03A21" w:rsidP="00A03A21">
      <w:pPr>
        <w:rPr>
          <w:rFonts w:cstheme="minorHAnsi"/>
          <w:sz w:val="28"/>
          <w:szCs w:val="28"/>
        </w:rPr>
      </w:pPr>
      <w:r w:rsidRPr="00A03A21">
        <w:rPr>
          <w:rFonts w:cstheme="minorHAnsi"/>
          <w:b/>
          <w:bCs/>
          <w:sz w:val="28"/>
          <w:szCs w:val="28"/>
        </w:rPr>
        <w:t>Regulating Banking Institutions:</w:t>
      </w:r>
      <w:r w:rsidRPr="00A03A21">
        <w:rPr>
          <w:rFonts w:cstheme="minorHAnsi"/>
          <w:sz w:val="28"/>
          <w:szCs w:val="28"/>
        </w:rPr>
        <w:t xml:space="preserve"> The FRS supervises and regulates banking institutions to ensure the safety and soundness of the US banking and financial system, as well as to protect consumers' credit rights.</w:t>
      </w:r>
    </w:p>
    <w:p w14:paraId="4C577AA2" w14:textId="77777777" w:rsidR="00A03A21" w:rsidRPr="00A03A21" w:rsidRDefault="00A03A21" w:rsidP="00A03A21">
      <w:pPr>
        <w:rPr>
          <w:rFonts w:cstheme="minorHAnsi"/>
          <w:sz w:val="28"/>
          <w:szCs w:val="28"/>
        </w:rPr>
      </w:pPr>
      <w:r w:rsidRPr="00A03A21">
        <w:rPr>
          <w:rFonts w:cstheme="minorHAnsi"/>
          <w:b/>
          <w:bCs/>
          <w:sz w:val="28"/>
          <w:szCs w:val="28"/>
        </w:rPr>
        <w:t>Maintaining Financial System Stability:</w:t>
      </w:r>
      <w:r w:rsidRPr="00A03A21">
        <w:rPr>
          <w:rFonts w:cstheme="minorHAnsi"/>
          <w:sz w:val="28"/>
          <w:szCs w:val="28"/>
        </w:rPr>
        <w:t xml:space="preserve"> The FRS works to maintain financial system stability by monitoring risk across the financial system, conducting macroprudential supervision and regulation of large, complex financial institutions, and engaging in domestic and international cooperation and coordination.</w:t>
      </w:r>
    </w:p>
    <w:p w14:paraId="53087E61" w14:textId="77777777" w:rsidR="00A03A21" w:rsidRDefault="00A03A21" w:rsidP="00A03A21">
      <w:pPr>
        <w:rPr>
          <w:rFonts w:cstheme="minorHAnsi"/>
          <w:sz w:val="28"/>
          <w:szCs w:val="28"/>
        </w:rPr>
      </w:pPr>
      <w:r w:rsidRPr="00A03A21">
        <w:rPr>
          <w:rFonts w:cstheme="minorHAnsi"/>
          <w:b/>
          <w:bCs/>
          <w:sz w:val="28"/>
          <w:szCs w:val="28"/>
        </w:rPr>
        <w:t>Providing Financial Services:</w:t>
      </w:r>
      <w:r w:rsidRPr="00A03A21">
        <w:rPr>
          <w:rFonts w:cstheme="minorHAnsi"/>
          <w:sz w:val="28"/>
          <w:szCs w:val="28"/>
        </w:rPr>
        <w:t xml:space="preserve"> The FRS provides financial services to depository institutions, the U.S. government, and foreign official institutions. It operates the national payments system, maintains accounts for depository institutions, and facilitates transactions involving the U.S. government.</w:t>
      </w:r>
    </w:p>
    <w:p w14:paraId="095919A3" w14:textId="77777777" w:rsidR="00A03A21" w:rsidRPr="00A03A21" w:rsidRDefault="00A03A21" w:rsidP="00A03A21">
      <w:pPr>
        <w:rPr>
          <w:rFonts w:cstheme="minorHAnsi"/>
          <w:sz w:val="28"/>
          <w:szCs w:val="28"/>
        </w:rPr>
      </w:pPr>
    </w:p>
    <w:p w14:paraId="07E52DCD" w14:textId="77777777" w:rsidR="00A03A21" w:rsidRPr="00A03A21" w:rsidRDefault="00A03A21" w:rsidP="00A03A21">
      <w:pPr>
        <w:rPr>
          <w:rFonts w:cstheme="minorHAnsi"/>
          <w:b/>
          <w:bCs/>
          <w:sz w:val="28"/>
          <w:szCs w:val="28"/>
        </w:rPr>
      </w:pPr>
      <w:r w:rsidRPr="00A03A21">
        <w:rPr>
          <w:rFonts w:cstheme="minorHAnsi"/>
          <w:b/>
          <w:bCs/>
          <w:sz w:val="28"/>
          <w:szCs w:val="28"/>
        </w:rPr>
        <w:t>Structure of the Federal Reserve System</w:t>
      </w:r>
    </w:p>
    <w:p w14:paraId="7E1ACDC9" w14:textId="77777777" w:rsidR="00A03A21" w:rsidRPr="00A03A21" w:rsidRDefault="00A03A21" w:rsidP="00A03A21">
      <w:pPr>
        <w:rPr>
          <w:rFonts w:cstheme="minorHAnsi"/>
          <w:sz w:val="28"/>
          <w:szCs w:val="28"/>
        </w:rPr>
      </w:pPr>
      <w:r w:rsidRPr="00A03A21">
        <w:rPr>
          <w:rFonts w:cstheme="minorHAnsi"/>
          <w:b/>
          <w:bCs/>
          <w:sz w:val="28"/>
          <w:szCs w:val="28"/>
        </w:rPr>
        <w:t>Board of Governors:</w:t>
      </w:r>
      <w:r w:rsidRPr="00A03A21">
        <w:rPr>
          <w:rFonts w:cstheme="minorHAnsi"/>
          <w:sz w:val="28"/>
          <w:szCs w:val="28"/>
        </w:rPr>
        <w:t xml:space="preserve"> The Board of Governors, also known as the Federal Reserve Board (FRB), is the central governing body of the FRS. It consists of seven members nominated by the President of the United States and confirmed by the U.S. Senate. The Board is responsible for setting monetary policy and overseeing the FRS.</w:t>
      </w:r>
    </w:p>
    <w:p w14:paraId="6555A0B0" w14:textId="77777777" w:rsidR="00A03A21" w:rsidRPr="00A03A21" w:rsidRDefault="00A03A21" w:rsidP="00A03A21">
      <w:pPr>
        <w:rPr>
          <w:rFonts w:cstheme="minorHAnsi"/>
          <w:sz w:val="28"/>
          <w:szCs w:val="28"/>
        </w:rPr>
      </w:pPr>
      <w:r w:rsidRPr="00A03A21">
        <w:rPr>
          <w:rFonts w:cstheme="minorHAnsi"/>
          <w:b/>
          <w:bCs/>
          <w:sz w:val="28"/>
          <w:szCs w:val="28"/>
        </w:rPr>
        <w:t>Federal Reserve Banks:</w:t>
      </w:r>
      <w:r w:rsidRPr="00A03A21">
        <w:rPr>
          <w:rFonts w:cstheme="minorHAnsi"/>
          <w:sz w:val="28"/>
          <w:szCs w:val="28"/>
        </w:rPr>
        <w:t xml:space="preserve"> There are 12 regional Federal Reserve Banks, each with a president responsible for a specific geographic area. These banks regulate and oversee privately-owned commercial banks, and nationally chartered commercial banks are required to hold stock in and can elect some board members of their regional Federal Reserve Bank.</w:t>
      </w:r>
    </w:p>
    <w:p w14:paraId="210265C4" w14:textId="77777777" w:rsidR="00A03A21" w:rsidRDefault="00A03A21" w:rsidP="00A03A21">
      <w:pPr>
        <w:rPr>
          <w:rFonts w:cstheme="minorHAnsi"/>
          <w:sz w:val="28"/>
          <w:szCs w:val="28"/>
        </w:rPr>
      </w:pPr>
      <w:r w:rsidRPr="00A03A21">
        <w:rPr>
          <w:rFonts w:cstheme="minorHAnsi"/>
          <w:b/>
          <w:bCs/>
          <w:sz w:val="28"/>
          <w:szCs w:val="28"/>
        </w:rPr>
        <w:t>Federal Open Market Committee (FOMC):</w:t>
      </w:r>
      <w:r w:rsidRPr="00A03A21">
        <w:rPr>
          <w:rFonts w:cstheme="minorHAnsi"/>
          <w:sz w:val="28"/>
          <w:szCs w:val="28"/>
        </w:rPr>
        <w:t xml:space="preserve"> The FOMC is the monetary policy-making body of the FRS. It consists of the seven members of the Board of Governors, the president of the New York Fed, and four regional Fed presidents. The FOMC sets monetary policy by adjusting the target for the federal funds rate.</w:t>
      </w:r>
    </w:p>
    <w:p w14:paraId="3F4C3ECB" w14:textId="77777777" w:rsidR="00A03A21" w:rsidRPr="00A03A21" w:rsidRDefault="00A03A21" w:rsidP="00A03A21">
      <w:pPr>
        <w:rPr>
          <w:rFonts w:cstheme="minorHAnsi"/>
          <w:sz w:val="28"/>
          <w:szCs w:val="28"/>
        </w:rPr>
      </w:pPr>
    </w:p>
    <w:p w14:paraId="7406E445" w14:textId="77777777" w:rsidR="00A03A21" w:rsidRPr="00A03A21" w:rsidRDefault="00A03A21" w:rsidP="00A03A21">
      <w:pPr>
        <w:rPr>
          <w:rFonts w:cstheme="minorHAnsi"/>
          <w:b/>
          <w:bCs/>
          <w:sz w:val="28"/>
          <w:szCs w:val="28"/>
        </w:rPr>
      </w:pPr>
      <w:r w:rsidRPr="00A03A21">
        <w:rPr>
          <w:rFonts w:cstheme="minorHAnsi"/>
          <w:b/>
          <w:bCs/>
          <w:sz w:val="28"/>
          <w:szCs w:val="28"/>
        </w:rPr>
        <w:t>Key Components of the Federal Reserve System</w:t>
      </w:r>
    </w:p>
    <w:p w14:paraId="477023A0" w14:textId="77777777" w:rsidR="00A03A21" w:rsidRPr="00A03A21" w:rsidRDefault="00A03A21" w:rsidP="00A03A21">
      <w:pPr>
        <w:rPr>
          <w:rFonts w:cstheme="minorHAnsi"/>
          <w:sz w:val="28"/>
          <w:szCs w:val="28"/>
        </w:rPr>
      </w:pPr>
      <w:r w:rsidRPr="00A03A21">
        <w:rPr>
          <w:rFonts w:cstheme="minorHAnsi"/>
          <w:b/>
          <w:bCs/>
          <w:sz w:val="28"/>
          <w:szCs w:val="28"/>
        </w:rPr>
        <w:t>Federal Funds:</w:t>
      </w:r>
      <w:r w:rsidRPr="00A03A21">
        <w:rPr>
          <w:rFonts w:cstheme="minorHAnsi"/>
          <w:sz w:val="28"/>
          <w:szCs w:val="28"/>
        </w:rPr>
        <w:t xml:space="preserve"> Federal funds are the reserve balances that private banks keep at their local Federal Reserve Bank. These balances are the basis for the FRS's </w:t>
      </w:r>
      <w:r w:rsidRPr="00A03A21">
        <w:rPr>
          <w:rFonts w:cstheme="minorHAnsi"/>
          <w:sz w:val="28"/>
          <w:szCs w:val="28"/>
        </w:rPr>
        <w:lastRenderedPageBreak/>
        <w:t>monetary policy work, as they influence how much interest private banks charge each other for lending.</w:t>
      </w:r>
    </w:p>
    <w:p w14:paraId="34139501" w14:textId="77777777" w:rsidR="00A03A21" w:rsidRPr="00A03A21" w:rsidRDefault="00A03A21" w:rsidP="00A03A21">
      <w:pPr>
        <w:rPr>
          <w:rFonts w:cstheme="minorHAnsi"/>
          <w:sz w:val="28"/>
          <w:szCs w:val="28"/>
        </w:rPr>
      </w:pPr>
      <w:r w:rsidRPr="00A03A21">
        <w:rPr>
          <w:rFonts w:cstheme="minorHAnsi"/>
          <w:b/>
          <w:bCs/>
          <w:sz w:val="28"/>
          <w:szCs w:val="28"/>
        </w:rPr>
        <w:t>Federal Reserve Accounts:</w:t>
      </w:r>
      <w:r w:rsidRPr="00A03A21">
        <w:rPr>
          <w:rFonts w:cstheme="minorHAnsi"/>
          <w:sz w:val="28"/>
          <w:szCs w:val="28"/>
        </w:rPr>
        <w:t xml:space="preserve"> Federal reserve accounts contain federal reserve credit, which can be converted into federal reserve notes. Private banks maintain their bank reserves in these accounts.</w:t>
      </w:r>
    </w:p>
    <w:p w14:paraId="749436FC" w14:textId="6E482612" w:rsidR="00A03A21" w:rsidRPr="005D7F0F" w:rsidRDefault="00A03A21" w:rsidP="00A03A21">
      <w:pPr>
        <w:rPr>
          <w:rFonts w:cstheme="minorHAnsi"/>
          <w:sz w:val="28"/>
          <w:szCs w:val="28"/>
        </w:rPr>
      </w:pPr>
      <w:r w:rsidRPr="00A03A21">
        <w:rPr>
          <w:rFonts w:cstheme="minorHAnsi"/>
          <w:b/>
          <w:bCs/>
          <w:sz w:val="28"/>
          <w:szCs w:val="28"/>
        </w:rPr>
        <w:t>National Payments System:</w:t>
      </w:r>
      <w:r w:rsidRPr="00A03A21">
        <w:rPr>
          <w:rFonts w:cstheme="minorHAnsi"/>
          <w:sz w:val="28"/>
          <w:szCs w:val="28"/>
        </w:rPr>
        <w:t xml:space="preserve"> The FRS plays a crucial role in the U.S. payments system, providing financial services to depository institutions and facilitating transactions involving the U.S. government. It operates the Fedwire Funds Service, Fedwire Securities Service, and the National Settlement Service, among other payment systems</w:t>
      </w:r>
    </w:p>
    <w:sectPr w:rsidR="00A03A21" w:rsidRPr="005D7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86F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269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A9"/>
    <w:rsid w:val="000B7769"/>
    <w:rsid w:val="001262A9"/>
    <w:rsid w:val="00140173"/>
    <w:rsid w:val="002B5A5D"/>
    <w:rsid w:val="0039566F"/>
    <w:rsid w:val="004221CD"/>
    <w:rsid w:val="00447413"/>
    <w:rsid w:val="005D7F0F"/>
    <w:rsid w:val="008441A4"/>
    <w:rsid w:val="008C531E"/>
    <w:rsid w:val="00A03A21"/>
    <w:rsid w:val="00BB41B1"/>
    <w:rsid w:val="00BF5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E766"/>
  <w15:chartTrackingRefBased/>
  <w15:docId w15:val="{9E9C3D55-3D9A-4741-9876-93006710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3A2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769"/>
    <w:pPr>
      <w:spacing w:before="100" w:beforeAutospacing="1" w:after="100" w:afterAutospacing="1"/>
    </w:pPr>
    <w:rPr>
      <w:rFonts w:ascii="Times New Roman" w:hAnsi="Times New Roman" w:cs="Times New Roman"/>
      <w:kern w:val="0"/>
      <w:sz w:val="24"/>
      <w:szCs w:val="24"/>
      <w14:ligatures w14:val="none"/>
    </w:rPr>
  </w:style>
  <w:style w:type="paragraph" w:customStyle="1" w:styleId="margin-bottom-3">
    <w:name w:val="margin-bottom-3"/>
    <w:basedOn w:val="Normal"/>
    <w:rsid w:val="008441A4"/>
    <w:pPr>
      <w:spacing w:before="100" w:beforeAutospacing="1" w:after="100" w:afterAutospacing="1"/>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441A4"/>
    <w:rPr>
      <w:color w:val="0000FF"/>
      <w:u w:val="single"/>
    </w:rPr>
  </w:style>
  <w:style w:type="character" w:customStyle="1" w:styleId="apple-converted-space">
    <w:name w:val="apple-converted-space"/>
    <w:basedOn w:val="DefaultParagraphFont"/>
    <w:rsid w:val="008441A4"/>
  </w:style>
  <w:style w:type="character" w:customStyle="1" w:styleId="Heading2Char">
    <w:name w:val="Heading 2 Char"/>
    <w:basedOn w:val="DefaultParagraphFont"/>
    <w:link w:val="Heading2"/>
    <w:uiPriority w:val="9"/>
    <w:rsid w:val="00A03A2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03A2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390317">
      <w:bodyDiv w:val="1"/>
      <w:marLeft w:val="0"/>
      <w:marRight w:val="0"/>
      <w:marTop w:val="0"/>
      <w:marBottom w:val="0"/>
      <w:divBdr>
        <w:top w:val="none" w:sz="0" w:space="0" w:color="auto"/>
        <w:left w:val="none" w:sz="0" w:space="0" w:color="auto"/>
        <w:bottom w:val="none" w:sz="0" w:space="0" w:color="auto"/>
        <w:right w:val="none" w:sz="0" w:space="0" w:color="auto"/>
      </w:divBdr>
    </w:div>
    <w:div w:id="557787290">
      <w:bodyDiv w:val="1"/>
      <w:marLeft w:val="0"/>
      <w:marRight w:val="0"/>
      <w:marTop w:val="0"/>
      <w:marBottom w:val="0"/>
      <w:divBdr>
        <w:top w:val="none" w:sz="0" w:space="0" w:color="auto"/>
        <w:left w:val="none" w:sz="0" w:space="0" w:color="auto"/>
        <w:bottom w:val="none" w:sz="0" w:space="0" w:color="auto"/>
        <w:right w:val="none" w:sz="0" w:space="0" w:color="auto"/>
      </w:divBdr>
    </w:div>
    <w:div w:id="869227026">
      <w:bodyDiv w:val="1"/>
      <w:marLeft w:val="0"/>
      <w:marRight w:val="0"/>
      <w:marTop w:val="0"/>
      <w:marBottom w:val="0"/>
      <w:divBdr>
        <w:top w:val="none" w:sz="0" w:space="0" w:color="auto"/>
        <w:left w:val="none" w:sz="0" w:space="0" w:color="auto"/>
        <w:bottom w:val="none" w:sz="0" w:space="0" w:color="auto"/>
        <w:right w:val="none" w:sz="0" w:space="0" w:color="auto"/>
      </w:divBdr>
      <w:divsChild>
        <w:div w:id="431166137">
          <w:marLeft w:val="0"/>
          <w:marRight w:val="0"/>
          <w:marTop w:val="0"/>
          <w:marBottom w:val="0"/>
          <w:divBdr>
            <w:top w:val="none" w:sz="0" w:space="0" w:color="auto"/>
            <w:left w:val="none" w:sz="0" w:space="0" w:color="auto"/>
            <w:bottom w:val="none" w:sz="0" w:space="0" w:color="auto"/>
            <w:right w:val="none" w:sz="0" w:space="0" w:color="auto"/>
          </w:divBdr>
          <w:divsChild>
            <w:div w:id="257832956">
              <w:marLeft w:val="0"/>
              <w:marRight w:val="0"/>
              <w:marTop w:val="0"/>
              <w:marBottom w:val="0"/>
              <w:divBdr>
                <w:top w:val="none" w:sz="0" w:space="0" w:color="auto"/>
                <w:left w:val="none" w:sz="0" w:space="0" w:color="auto"/>
                <w:bottom w:val="none" w:sz="0" w:space="0" w:color="auto"/>
                <w:right w:val="none" w:sz="0" w:space="0" w:color="auto"/>
              </w:divBdr>
            </w:div>
            <w:div w:id="115831962">
              <w:marLeft w:val="0"/>
              <w:marRight w:val="0"/>
              <w:marTop w:val="0"/>
              <w:marBottom w:val="0"/>
              <w:divBdr>
                <w:top w:val="none" w:sz="0" w:space="0" w:color="auto"/>
                <w:left w:val="none" w:sz="0" w:space="0" w:color="auto"/>
                <w:bottom w:val="none" w:sz="0" w:space="0" w:color="auto"/>
                <w:right w:val="none" w:sz="0" w:space="0" w:color="auto"/>
              </w:divBdr>
            </w:div>
            <w:div w:id="2134471579">
              <w:marLeft w:val="0"/>
              <w:marRight w:val="0"/>
              <w:marTop w:val="0"/>
              <w:marBottom w:val="0"/>
              <w:divBdr>
                <w:top w:val="none" w:sz="0" w:space="0" w:color="auto"/>
                <w:left w:val="none" w:sz="0" w:space="0" w:color="auto"/>
                <w:bottom w:val="none" w:sz="0" w:space="0" w:color="auto"/>
                <w:right w:val="none" w:sz="0" w:space="0" w:color="auto"/>
              </w:divBdr>
            </w:div>
          </w:divsChild>
        </w:div>
        <w:div w:id="1323699662">
          <w:marLeft w:val="0"/>
          <w:marRight w:val="0"/>
          <w:marTop w:val="0"/>
          <w:marBottom w:val="0"/>
          <w:divBdr>
            <w:top w:val="none" w:sz="0" w:space="0" w:color="auto"/>
            <w:left w:val="none" w:sz="0" w:space="0" w:color="auto"/>
            <w:bottom w:val="none" w:sz="0" w:space="0" w:color="auto"/>
            <w:right w:val="none" w:sz="0" w:space="0" w:color="auto"/>
          </w:divBdr>
        </w:div>
      </w:divsChild>
    </w:div>
    <w:div w:id="1128932065">
      <w:bodyDiv w:val="1"/>
      <w:marLeft w:val="0"/>
      <w:marRight w:val="0"/>
      <w:marTop w:val="0"/>
      <w:marBottom w:val="0"/>
      <w:divBdr>
        <w:top w:val="none" w:sz="0" w:space="0" w:color="auto"/>
        <w:left w:val="none" w:sz="0" w:space="0" w:color="auto"/>
        <w:bottom w:val="none" w:sz="0" w:space="0" w:color="auto"/>
        <w:right w:val="none" w:sz="0" w:space="0" w:color="auto"/>
      </w:divBdr>
      <w:divsChild>
        <w:div w:id="1249922679">
          <w:marLeft w:val="0"/>
          <w:marRight w:val="0"/>
          <w:marTop w:val="0"/>
          <w:marBottom w:val="0"/>
          <w:divBdr>
            <w:top w:val="single" w:sz="6" w:space="0" w:color="71767A"/>
            <w:left w:val="single" w:sz="6" w:space="0" w:color="71767A"/>
            <w:bottom w:val="single" w:sz="6" w:space="0" w:color="71767A"/>
            <w:right w:val="single" w:sz="6" w:space="0" w:color="71767A"/>
          </w:divBdr>
          <w:divsChild>
            <w:div w:id="17466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1363">
      <w:bodyDiv w:val="1"/>
      <w:marLeft w:val="0"/>
      <w:marRight w:val="0"/>
      <w:marTop w:val="0"/>
      <w:marBottom w:val="0"/>
      <w:divBdr>
        <w:top w:val="none" w:sz="0" w:space="0" w:color="auto"/>
        <w:left w:val="none" w:sz="0" w:space="0" w:color="auto"/>
        <w:bottom w:val="none" w:sz="0" w:space="0" w:color="auto"/>
        <w:right w:val="none" w:sz="0" w:space="0" w:color="auto"/>
      </w:divBdr>
      <w:divsChild>
        <w:div w:id="955253239">
          <w:marLeft w:val="0"/>
          <w:marRight w:val="0"/>
          <w:marTop w:val="0"/>
          <w:marBottom w:val="0"/>
          <w:divBdr>
            <w:top w:val="single" w:sz="6" w:space="0" w:color="71767A"/>
            <w:left w:val="single" w:sz="6" w:space="0" w:color="71767A"/>
            <w:bottom w:val="single" w:sz="6" w:space="0" w:color="71767A"/>
            <w:right w:val="single" w:sz="6" w:space="0" w:color="71767A"/>
          </w:divBdr>
          <w:divsChild>
            <w:div w:id="173418687">
              <w:marLeft w:val="0"/>
              <w:marRight w:val="0"/>
              <w:marTop w:val="0"/>
              <w:marBottom w:val="0"/>
              <w:divBdr>
                <w:top w:val="none" w:sz="0" w:space="0" w:color="auto"/>
                <w:left w:val="none" w:sz="0" w:space="0" w:color="auto"/>
                <w:bottom w:val="none" w:sz="0" w:space="0" w:color="auto"/>
                <w:right w:val="none" w:sz="0" w:space="0" w:color="auto"/>
              </w:divBdr>
            </w:div>
            <w:div w:id="1183737979">
              <w:marLeft w:val="0"/>
              <w:marRight w:val="0"/>
              <w:marTop w:val="0"/>
              <w:marBottom w:val="0"/>
              <w:divBdr>
                <w:top w:val="none" w:sz="0" w:space="0" w:color="auto"/>
                <w:left w:val="none" w:sz="0" w:space="0" w:color="auto"/>
                <w:bottom w:val="none" w:sz="0" w:space="0" w:color="auto"/>
                <w:right w:val="none" w:sz="0" w:space="0" w:color="auto"/>
              </w:divBdr>
              <w:divsChild>
                <w:div w:id="769743647">
                  <w:marLeft w:val="0"/>
                  <w:marRight w:val="0"/>
                  <w:marTop w:val="0"/>
                  <w:marBottom w:val="0"/>
                  <w:divBdr>
                    <w:top w:val="none" w:sz="0" w:space="0" w:color="auto"/>
                    <w:left w:val="none" w:sz="0" w:space="0" w:color="auto"/>
                    <w:bottom w:val="none" w:sz="0" w:space="0" w:color="auto"/>
                    <w:right w:val="none" w:sz="0" w:space="0" w:color="auto"/>
                  </w:divBdr>
                </w:div>
              </w:divsChild>
            </w:div>
            <w:div w:id="1594312927">
              <w:marLeft w:val="0"/>
              <w:marRight w:val="0"/>
              <w:marTop w:val="0"/>
              <w:marBottom w:val="0"/>
              <w:divBdr>
                <w:top w:val="none" w:sz="0" w:space="0" w:color="auto"/>
                <w:left w:val="none" w:sz="0" w:space="0" w:color="auto"/>
                <w:bottom w:val="none" w:sz="0" w:space="0" w:color="auto"/>
                <w:right w:val="none" w:sz="0" w:space="0" w:color="auto"/>
              </w:divBdr>
            </w:div>
            <w:div w:id="206718862">
              <w:marLeft w:val="0"/>
              <w:marRight w:val="0"/>
              <w:marTop w:val="0"/>
              <w:marBottom w:val="0"/>
              <w:divBdr>
                <w:top w:val="none" w:sz="0" w:space="0" w:color="auto"/>
                <w:left w:val="none" w:sz="0" w:space="0" w:color="auto"/>
                <w:bottom w:val="none" w:sz="0" w:space="0" w:color="auto"/>
                <w:right w:val="none" w:sz="0" w:space="0" w:color="auto"/>
              </w:divBdr>
              <w:divsChild>
                <w:div w:id="11354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0381">
          <w:marLeft w:val="0"/>
          <w:marRight w:val="0"/>
          <w:marTop w:val="0"/>
          <w:marBottom w:val="0"/>
          <w:divBdr>
            <w:top w:val="single" w:sz="6" w:space="0" w:color="71767A"/>
            <w:left w:val="single" w:sz="6" w:space="0" w:color="71767A"/>
            <w:bottom w:val="single" w:sz="6" w:space="0" w:color="71767A"/>
            <w:right w:val="single" w:sz="6" w:space="0" w:color="71767A"/>
          </w:divBdr>
          <w:divsChild>
            <w:div w:id="1668631283">
              <w:marLeft w:val="0"/>
              <w:marRight w:val="0"/>
              <w:marTop w:val="0"/>
              <w:marBottom w:val="0"/>
              <w:divBdr>
                <w:top w:val="none" w:sz="0" w:space="0" w:color="auto"/>
                <w:left w:val="none" w:sz="0" w:space="0" w:color="auto"/>
                <w:bottom w:val="none" w:sz="0" w:space="0" w:color="auto"/>
                <w:right w:val="none" w:sz="0" w:space="0" w:color="auto"/>
              </w:divBdr>
            </w:div>
            <w:div w:id="745877603">
              <w:marLeft w:val="0"/>
              <w:marRight w:val="0"/>
              <w:marTop w:val="0"/>
              <w:marBottom w:val="0"/>
              <w:divBdr>
                <w:top w:val="none" w:sz="0" w:space="0" w:color="auto"/>
                <w:left w:val="none" w:sz="0" w:space="0" w:color="auto"/>
                <w:bottom w:val="none" w:sz="0" w:space="0" w:color="auto"/>
                <w:right w:val="none" w:sz="0" w:space="0" w:color="auto"/>
              </w:divBdr>
              <w:divsChild>
                <w:div w:id="1787191264">
                  <w:marLeft w:val="0"/>
                  <w:marRight w:val="0"/>
                  <w:marTop w:val="0"/>
                  <w:marBottom w:val="0"/>
                  <w:divBdr>
                    <w:top w:val="none" w:sz="0" w:space="0" w:color="auto"/>
                    <w:left w:val="none" w:sz="0" w:space="0" w:color="auto"/>
                    <w:bottom w:val="none" w:sz="0" w:space="0" w:color="auto"/>
                    <w:right w:val="none" w:sz="0" w:space="0" w:color="auto"/>
                  </w:divBdr>
                </w:div>
              </w:divsChild>
            </w:div>
            <w:div w:id="1377899565">
              <w:marLeft w:val="0"/>
              <w:marRight w:val="0"/>
              <w:marTop w:val="0"/>
              <w:marBottom w:val="0"/>
              <w:divBdr>
                <w:top w:val="none" w:sz="0" w:space="0" w:color="auto"/>
                <w:left w:val="none" w:sz="0" w:space="0" w:color="auto"/>
                <w:bottom w:val="none" w:sz="0" w:space="0" w:color="auto"/>
                <w:right w:val="none" w:sz="0" w:space="0" w:color="auto"/>
              </w:divBdr>
            </w:div>
            <w:div w:id="669255080">
              <w:marLeft w:val="0"/>
              <w:marRight w:val="0"/>
              <w:marTop w:val="0"/>
              <w:marBottom w:val="0"/>
              <w:divBdr>
                <w:top w:val="none" w:sz="0" w:space="0" w:color="auto"/>
                <w:left w:val="none" w:sz="0" w:space="0" w:color="auto"/>
                <w:bottom w:val="none" w:sz="0" w:space="0" w:color="auto"/>
                <w:right w:val="none" w:sz="0" w:space="0" w:color="auto"/>
              </w:divBdr>
              <w:divsChild>
                <w:div w:id="945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1675">
          <w:marLeft w:val="0"/>
          <w:marRight w:val="0"/>
          <w:marTop w:val="0"/>
          <w:marBottom w:val="0"/>
          <w:divBdr>
            <w:top w:val="single" w:sz="6" w:space="0" w:color="71767A"/>
            <w:left w:val="single" w:sz="6" w:space="0" w:color="71767A"/>
            <w:bottom w:val="single" w:sz="6" w:space="0" w:color="71767A"/>
            <w:right w:val="single" w:sz="6" w:space="0" w:color="71767A"/>
          </w:divBdr>
          <w:divsChild>
            <w:div w:id="2035811494">
              <w:marLeft w:val="0"/>
              <w:marRight w:val="0"/>
              <w:marTop w:val="0"/>
              <w:marBottom w:val="0"/>
              <w:divBdr>
                <w:top w:val="none" w:sz="0" w:space="0" w:color="auto"/>
                <w:left w:val="none" w:sz="0" w:space="0" w:color="auto"/>
                <w:bottom w:val="none" w:sz="0" w:space="0" w:color="auto"/>
                <w:right w:val="none" w:sz="0" w:space="0" w:color="auto"/>
              </w:divBdr>
            </w:div>
            <w:div w:id="2027516767">
              <w:marLeft w:val="0"/>
              <w:marRight w:val="0"/>
              <w:marTop w:val="0"/>
              <w:marBottom w:val="0"/>
              <w:divBdr>
                <w:top w:val="none" w:sz="0" w:space="0" w:color="auto"/>
                <w:left w:val="none" w:sz="0" w:space="0" w:color="auto"/>
                <w:bottom w:val="none" w:sz="0" w:space="0" w:color="auto"/>
                <w:right w:val="none" w:sz="0" w:space="0" w:color="auto"/>
              </w:divBdr>
              <w:divsChild>
                <w:div w:id="1750301494">
                  <w:marLeft w:val="0"/>
                  <w:marRight w:val="0"/>
                  <w:marTop w:val="0"/>
                  <w:marBottom w:val="0"/>
                  <w:divBdr>
                    <w:top w:val="none" w:sz="0" w:space="0" w:color="auto"/>
                    <w:left w:val="none" w:sz="0" w:space="0" w:color="auto"/>
                    <w:bottom w:val="none" w:sz="0" w:space="0" w:color="auto"/>
                    <w:right w:val="none" w:sz="0" w:space="0" w:color="auto"/>
                  </w:divBdr>
                </w:div>
              </w:divsChild>
            </w:div>
            <w:div w:id="918515497">
              <w:marLeft w:val="0"/>
              <w:marRight w:val="0"/>
              <w:marTop w:val="0"/>
              <w:marBottom w:val="0"/>
              <w:divBdr>
                <w:top w:val="none" w:sz="0" w:space="0" w:color="auto"/>
                <w:left w:val="none" w:sz="0" w:space="0" w:color="auto"/>
                <w:bottom w:val="none" w:sz="0" w:space="0" w:color="auto"/>
                <w:right w:val="none" w:sz="0" w:space="0" w:color="auto"/>
              </w:divBdr>
            </w:div>
            <w:div w:id="2104034182">
              <w:marLeft w:val="0"/>
              <w:marRight w:val="0"/>
              <w:marTop w:val="0"/>
              <w:marBottom w:val="0"/>
              <w:divBdr>
                <w:top w:val="none" w:sz="0" w:space="0" w:color="auto"/>
                <w:left w:val="none" w:sz="0" w:space="0" w:color="auto"/>
                <w:bottom w:val="none" w:sz="0" w:space="0" w:color="auto"/>
                <w:right w:val="none" w:sz="0" w:space="0" w:color="auto"/>
              </w:divBdr>
              <w:divsChild>
                <w:div w:id="770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0740">
          <w:marLeft w:val="0"/>
          <w:marRight w:val="0"/>
          <w:marTop w:val="0"/>
          <w:marBottom w:val="0"/>
          <w:divBdr>
            <w:top w:val="single" w:sz="6" w:space="0" w:color="71767A"/>
            <w:left w:val="single" w:sz="6" w:space="0" w:color="71767A"/>
            <w:bottom w:val="single" w:sz="6" w:space="0" w:color="71767A"/>
            <w:right w:val="single" w:sz="6" w:space="0" w:color="71767A"/>
          </w:divBdr>
          <w:divsChild>
            <w:div w:id="511650670">
              <w:marLeft w:val="0"/>
              <w:marRight w:val="0"/>
              <w:marTop w:val="0"/>
              <w:marBottom w:val="0"/>
              <w:divBdr>
                <w:top w:val="none" w:sz="0" w:space="0" w:color="auto"/>
                <w:left w:val="none" w:sz="0" w:space="0" w:color="auto"/>
                <w:bottom w:val="none" w:sz="0" w:space="0" w:color="auto"/>
                <w:right w:val="none" w:sz="0" w:space="0" w:color="auto"/>
              </w:divBdr>
            </w:div>
            <w:div w:id="677118562">
              <w:marLeft w:val="0"/>
              <w:marRight w:val="0"/>
              <w:marTop w:val="0"/>
              <w:marBottom w:val="0"/>
              <w:divBdr>
                <w:top w:val="none" w:sz="0" w:space="0" w:color="auto"/>
                <w:left w:val="none" w:sz="0" w:space="0" w:color="auto"/>
                <w:bottom w:val="none" w:sz="0" w:space="0" w:color="auto"/>
                <w:right w:val="none" w:sz="0" w:space="0" w:color="auto"/>
              </w:divBdr>
              <w:divsChild>
                <w:div w:id="728112044">
                  <w:marLeft w:val="0"/>
                  <w:marRight w:val="0"/>
                  <w:marTop w:val="0"/>
                  <w:marBottom w:val="0"/>
                  <w:divBdr>
                    <w:top w:val="none" w:sz="0" w:space="0" w:color="auto"/>
                    <w:left w:val="none" w:sz="0" w:space="0" w:color="auto"/>
                    <w:bottom w:val="none" w:sz="0" w:space="0" w:color="auto"/>
                    <w:right w:val="none" w:sz="0" w:space="0" w:color="auto"/>
                  </w:divBdr>
                </w:div>
              </w:divsChild>
            </w:div>
            <w:div w:id="1990819011">
              <w:marLeft w:val="0"/>
              <w:marRight w:val="0"/>
              <w:marTop w:val="0"/>
              <w:marBottom w:val="0"/>
              <w:divBdr>
                <w:top w:val="none" w:sz="0" w:space="0" w:color="auto"/>
                <w:left w:val="none" w:sz="0" w:space="0" w:color="auto"/>
                <w:bottom w:val="none" w:sz="0" w:space="0" w:color="auto"/>
                <w:right w:val="none" w:sz="0" w:space="0" w:color="auto"/>
              </w:divBdr>
            </w:div>
            <w:div w:id="815730310">
              <w:marLeft w:val="0"/>
              <w:marRight w:val="0"/>
              <w:marTop w:val="0"/>
              <w:marBottom w:val="0"/>
              <w:divBdr>
                <w:top w:val="none" w:sz="0" w:space="0" w:color="auto"/>
                <w:left w:val="none" w:sz="0" w:space="0" w:color="auto"/>
                <w:bottom w:val="none" w:sz="0" w:space="0" w:color="auto"/>
                <w:right w:val="none" w:sz="0" w:space="0" w:color="auto"/>
              </w:divBdr>
              <w:divsChild>
                <w:div w:id="17402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1038">
          <w:marLeft w:val="0"/>
          <w:marRight w:val="0"/>
          <w:marTop w:val="0"/>
          <w:marBottom w:val="0"/>
          <w:divBdr>
            <w:top w:val="single" w:sz="6" w:space="0" w:color="71767A"/>
            <w:left w:val="single" w:sz="6" w:space="0" w:color="71767A"/>
            <w:bottom w:val="single" w:sz="6" w:space="0" w:color="71767A"/>
            <w:right w:val="single" w:sz="6" w:space="0" w:color="71767A"/>
          </w:divBdr>
          <w:divsChild>
            <w:div w:id="1603414911">
              <w:marLeft w:val="0"/>
              <w:marRight w:val="0"/>
              <w:marTop w:val="0"/>
              <w:marBottom w:val="0"/>
              <w:divBdr>
                <w:top w:val="none" w:sz="0" w:space="0" w:color="auto"/>
                <w:left w:val="none" w:sz="0" w:space="0" w:color="auto"/>
                <w:bottom w:val="none" w:sz="0" w:space="0" w:color="auto"/>
                <w:right w:val="none" w:sz="0" w:space="0" w:color="auto"/>
              </w:divBdr>
            </w:div>
            <w:div w:id="1045251267">
              <w:marLeft w:val="0"/>
              <w:marRight w:val="0"/>
              <w:marTop w:val="0"/>
              <w:marBottom w:val="0"/>
              <w:divBdr>
                <w:top w:val="none" w:sz="0" w:space="0" w:color="auto"/>
                <w:left w:val="none" w:sz="0" w:space="0" w:color="auto"/>
                <w:bottom w:val="none" w:sz="0" w:space="0" w:color="auto"/>
                <w:right w:val="none" w:sz="0" w:space="0" w:color="auto"/>
              </w:divBdr>
              <w:divsChild>
                <w:div w:id="1089690258">
                  <w:marLeft w:val="0"/>
                  <w:marRight w:val="0"/>
                  <w:marTop w:val="0"/>
                  <w:marBottom w:val="0"/>
                  <w:divBdr>
                    <w:top w:val="none" w:sz="0" w:space="0" w:color="auto"/>
                    <w:left w:val="none" w:sz="0" w:space="0" w:color="auto"/>
                    <w:bottom w:val="none" w:sz="0" w:space="0" w:color="auto"/>
                    <w:right w:val="none" w:sz="0" w:space="0" w:color="auto"/>
                  </w:divBdr>
                </w:div>
              </w:divsChild>
            </w:div>
            <w:div w:id="997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ic.gov/resources/resolutions/bank-failure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fdic.gov/resources/resolutions/"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dic.gov/resources/bankers/" TargetMode="External"/><Relationship Id="rId11" Type="http://schemas.openxmlformats.org/officeDocument/2006/relationships/chart" Target="charts/chart2.xml"/><Relationship Id="rId5" Type="http://schemas.openxmlformats.org/officeDocument/2006/relationships/hyperlink" Target="https://www.fdic.gov/deposit/deposits/" TargetMode="Externa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www.fdic.gov/about/learn/board/"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Total Insured Deposits (in trillion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Sheet1!$A$2:$A$4</c:f>
              <c:numCache>
                <c:formatCode>General</c:formatCode>
                <c:ptCount val="3"/>
                <c:pt idx="0">
                  <c:v>2020</c:v>
                </c:pt>
                <c:pt idx="1">
                  <c:v>2021</c:v>
                </c:pt>
                <c:pt idx="2">
                  <c:v>2022</c:v>
                </c:pt>
              </c:numCache>
            </c:numRef>
          </c:cat>
          <c:val>
            <c:numRef>
              <c:f>Sheet1!$B$2:$B$4</c:f>
              <c:numCache>
                <c:formatCode>General</c:formatCode>
                <c:ptCount val="3"/>
                <c:pt idx="0">
                  <c:v>14.4</c:v>
                </c:pt>
                <c:pt idx="1">
                  <c:v>14.6</c:v>
                </c:pt>
                <c:pt idx="2">
                  <c:v>15.1</c:v>
                </c:pt>
              </c:numCache>
            </c:numRef>
          </c:val>
          <c:extLst>
            <c:ext xmlns:c16="http://schemas.microsoft.com/office/drawing/2014/chart" uri="{C3380CC4-5D6E-409C-BE32-E72D297353CC}">
              <c16:uniqueId val="{00000000-525E-4BCC-8D82-365E0E6DEEAA}"/>
            </c:ext>
          </c:extLst>
        </c:ser>
        <c:dLbls>
          <c:showLegendKey val="0"/>
          <c:showVal val="0"/>
          <c:showCatName val="0"/>
          <c:showSerName val="0"/>
          <c:showPercent val="0"/>
          <c:showBubbleSize val="0"/>
        </c:dLbls>
        <c:gapWidth val="100"/>
        <c:overlap val="-24"/>
        <c:axId val="1597902111"/>
        <c:axId val="1597892511"/>
      </c:barChart>
      <c:catAx>
        <c:axId val="1597902111"/>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97892511"/>
        <c:crosses val="autoZero"/>
        <c:auto val="1"/>
        <c:lblAlgn val="ctr"/>
        <c:lblOffset val="100"/>
        <c:noMultiLvlLbl val="0"/>
      </c:catAx>
      <c:valAx>
        <c:axId val="159789251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979021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Number of Insured Deposits ( in Millions $)</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Sheet1!$A$2:$A$4</c:f>
              <c:numCache>
                <c:formatCode>General</c:formatCode>
                <c:ptCount val="3"/>
                <c:pt idx="0">
                  <c:v>2020</c:v>
                </c:pt>
                <c:pt idx="1">
                  <c:v>2021</c:v>
                </c:pt>
                <c:pt idx="2">
                  <c:v>2022</c:v>
                </c:pt>
              </c:numCache>
            </c:numRef>
          </c:cat>
          <c:val>
            <c:numRef>
              <c:f>Sheet1!$B$2:$B$4</c:f>
              <c:numCache>
                <c:formatCode>General</c:formatCode>
                <c:ptCount val="3"/>
                <c:pt idx="0">
                  <c:v>93.4</c:v>
                </c:pt>
                <c:pt idx="1">
                  <c:v>94.3</c:v>
                </c:pt>
                <c:pt idx="2">
                  <c:v>95.1</c:v>
                </c:pt>
              </c:numCache>
            </c:numRef>
          </c:val>
          <c:extLst>
            <c:ext xmlns:c16="http://schemas.microsoft.com/office/drawing/2014/chart" uri="{C3380CC4-5D6E-409C-BE32-E72D297353CC}">
              <c16:uniqueId val="{00000000-D6B8-4349-A445-20C6C2117735}"/>
            </c:ext>
          </c:extLst>
        </c:ser>
        <c:dLbls>
          <c:dLblPos val="inEnd"/>
          <c:showLegendKey val="0"/>
          <c:showVal val="1"/>
          <c:showCatName val="0"/>
          <c:showSerName val="0"/>
          <c:showPercent val="0"/>
          <c:showBubbleSize val="0"/>
        </c:dLbls>
        <c:gapWidth val="65"/>
        <c:axId val="1598630623"/>
        <c:axId val="1598636383"/>
      </c:barChart>
      <c:catAx>
        <c:axId val="1598630623"/>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598636383"/>
        <c:crosses val="autoZero"/>
        <c:auto val="1"/>
        <c:lblAlgn val="ctr"/>
        <c:lblOffset val="100"/>
        <c:noMultiLvlLbl val="0"/>
      </c:catAx>
      <c:valAx>
        <c:axId val="1598636383"/>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598630623"/>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3</cp:revision>
  <dcterms:created xsi:type="dcterms:W3CDTF">2024-06-11T13:54:00Z</dcterms:created>
  <dcterms:modified xsi:type="dcterms:W3CDTF">2024-06-11T13:55:00Z</dcterms:modified>
</cp:coreProperties>
</file>