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5C35" w14:textId="3D0C7798" w:rsidR="001B0952" w:rsidRPr="001B0952" w:rsidRDefault="001B0952" w:rsidP="001B0952">
      <w:pPr>
        <w:rPr>
          <w:b/>
          <w:bCs/>
          <w:sz w:val="36"/>
          <w:szCs w:val="36"/>
        </w:rPr>
      </w:pPr>
      <w:r w:rsidRPr="001B0952">
        <w:rPr>
          <w:b/>
          <w:bCs/>
          <w:sz w:val="36"/>
          <w:szCs w:val="36"/>
        </w:rPr>
        <w:t>Home equity lines of credit (HELOCs)</w:t>
      </w:r>
    </w:p>
    <w:p w14:paraId="62F36321" w14:textId="08458B22" w:rsidR="001B0952" w:rsidRDefault="001B0952" w:rsidP="001B0952">
      <w:pPr>
        <w:rPr>
          <w:sz w:val="28"/>
          <w:szCs w:val="28"/>
        </w:rPr>
      </w:pPr>
      <w:r w:rsidRPr="001B0952">
        <w:rPr>
          <w:sz w:val="28"/>
          <w:szCs w:val="28"/>
        </w:rPr>
        <w:t>A HELOC is a line of credit borrowed against the available equity of your home. Your home's equity is the difference between the appraised value of your home and your current mortgage balance</w:t>
      </w:r>
    </w:p>
    <w:p w14:paraId="6F0BCA7F" w14:textId="1CBB9297" w:rsidR="001B0952" w:rsidRPr="001B0952" w:rsidRDefault="001B0952" w:rsidP="001B0952">
      <w:pPr>
        <w:rPr>
          <w:b/>
          <w:bCs/>
          <w:sz w:val="28"/>
          <w:szCs w:val="28"/>
        </w:rPr>
      </w:pPr>
      <w:r w:rsidRPr="001B0952">
        <w:rPr>
          <w:b/>
          <w:bCs/>
          <w:sz w:val="28"/>
          <w:szCs w:val="28"/>
        </w:rPr>
        <w:t>Revolving Line of Credit</w:t>
      </w:r>
    </w:p>
    <w:p w14:paraId="32645F7A" w14:textId="77777777" w:rsidR="001B0952" w:rsidRPr="001B0952" w:rsidRDefault="001B0952" w:rsidP="001B0952">
      <w:pPr>
        <w:rPr>
          <w:sz w:val="28"/>
          <w:szCs w:val="28"/>
        </w:rPr>
      </w:pPr>
      <w:r w:rsidRPr="001B0952">
        <w:rPr>
          <w:sz w:val="28"/>
          <w:szCs w:val="28"/>
        </w:rPr>
        <w:t>HELOCs function similarly to a credit card, where the homeowner can borrow up to a pre-approved credit limit, repay the balance, and then re-borrow as needed during the "draw period" (typically 10 years).</w:t>
      </w:r>
    </w:p>
    <w:p w14:paraId="4FAF902E" w14:textId="77777777" w:rsidR="001B0952" w:rsidRPr="001B0952" w:rsidRDefault="001B0952" w:rsidP="001B0952">
      <w:pPr>
        <w:rPr>
          <w:b/>
          <w:bCs/>
          <w:sz w:val="28"/>
          <w:szCs w:val="28"/>
        </w:rPr>
      </w:pPr>
      <w:r w:rsidRPr="001B0952">
        <w:rPr>
          <w:b/>
          <w:bCs/>
          <w:sz w:val="28"/>
          <w:szCs w:val="28"/>
        </w:rPr>
        <w:t>Variable Interest Rates</w:t>
      </w:r>
    </w:p>
    <w:p w14:paraId="1D3B0BC8" w14:textId="77777777" w:rsidR="001B0952" w:rsidRPr="001B0952" w:rsidRDefault="001B0952" w:rsidP="001B0952">
      <w:pPr>
        <w:rPr>
          <w:sz w:val="28"/>
          <w:szCs w:val="28"/>
        </w:rPr>
      </w:pPr>
      <w:r w:rsidRPr="001B0952">
        <w:rPr>
          <w:sz w:val="28"/>
          <w:szCs w:val="28"/>
        </w:rPr>
        <w:t>HELOC interest rates are usually variable, calculated based on an index like the Prime Rate plus a margin set by the lender. This means the interest rate can fluctuate over the life of the loan.</w:t>
      </w:r>
    </w:p>
    <w:p w14:paraId="7D3FADAD" w14:textId="77777777" w:rsidR="001B0952" w:rsidRPr="001B0952" w:rsidRDefault="001B0952" w:rsidP="001B0952">
      <w:pPr>
        <w:rPr>
          <w:b/>
          <w:bCs/>
          <w:sz w:val="28"/>
          <w:szCs w:val="28"/>
        </w:rPr>
      </w:pPr>
      <w:r w:rsidRPr="001B0952">
        <w:rPr>
          <w:b/>
          <w:bCs/>
          <w:sz w:val="28"/>
          <w:szCs w:val="28"/>
        </w:rPr>
        <w:t>Potential Tax Deductibility</w:t>
      </w:r>
    </w:p>
    <w:p w14:paraId="0EF6C4A1" w14:textId="77777777" w:rsidR="001B0952" w:rsidRPr="001B0952" w:rsidRDefault="001B0952" w:rsidP="001B0952">
      <w:pPr>
        <w:rPr>
          <w:sz w:val="28"/>
          <w:szCs w:val="28"/>
        </w:rPr>
      </w:pPr>
      <w:r w:rsidRPr="001B0952">
        <w:rPr>
          <w:sz w:val="28"/>
          <w:szCs w:val="28"/>
        </w:rPr>
        <w:t>In some cases, the interest paid on a HELOC may be tax-deductible if the funds are used for home improvements or other eligible expenses.</w:t>
      </w:r>
    </w:p>
    <w:p w14:paraId="2BE214DA" w14:textId="77777777" w:rsidR="001B0952" w:rsidRPr="001B0952" w:rsidRDefault="001B0952" w:rsidP="001B0952">
      <w:pPr>
        <w:rPr>
          <w:b/>
          <w:bCs/>
          <w:sz w:val="28"/>
          <w:szCs w:val="28"/>
        </w:rPr>
      </w:pPr>
      <w:r w:rsidRPr="001B0952">
        <w:rPr>
          <w:b/>
          <w:bCs/>
          <w:sz w:val="28"/>
          <w:szCs w:val="28"/>
        </w:rPr>
        <w:t>How HELOCs Work</w:t>
      </w:r>
    </w:p>
    <w:p w14:paraId="1B46CA29" w14:textId="77777777" w:rsidR="001B0952" w:rsidRPr="001B0952" w:rsidRDefault="001B0952" w:rsidP="001B0952">
      <w:pPr>
        <w:rPr>
          <w:sz w:val="28"/>
          <w:szCs w:val="28"/>
        </w:rPr>
      </w:pPr>
      <w:r w:rsidRPr="001B0952">
        <w:rPr>
          <w:sz w:val="28"/>
          <w:szCs w:val="28"/>
        </w:rPr>
        <w:t xml:space="preserve">To obtain a HELOC, homeowners must have sufficient equity in their home, typically at least 15-20% of the home's value. Lenders will evaluate the homeowner's creditworthiness, income, and the home's appraised value to determine the maximum credit </w:t>
      </w:r>
      <w:proofErr w:type="spellStart"/>
      <w:proofErr w:type="gramStart"/>
      <w:r w:rsidRPr="001B0952">
        <w:rPr>
          <w:sz w:val="28"/>
          <w:szCs w:val="28"/>
        </w:rPr>
        <w:t>limit.During</w:t>
      </w:r>
      <w:proofErr w:type="spellEnd"/>
      <w:proofErr w:type="gramEnd"/>
      <w:r w:rsidRPr="001B0952">
        <w:rPr>
          <w:sz w:val="28"/>
          <w:szCs w:val="28"/>
        </w:rPr>
        <w:t xml:space="preserve"> the draw period, the homeowner can access the HELOC funds as needed, making interest-only payments. At the end of the draw period, the loan enters the repayment phase, where the homeowner must begin making principal and interest payments until the balance is paid off.</w:t>
      </w:r>
    </w:p>
    <w:p w14:paraId="05C64E01" w14:textId="77777777" w:rsidR="001B0952" w:rsidRPr="001B0952" w:rsidRDefault="001B0952" w:rsidP="001B0952">
      <w:pPr>
        <w:rPr>
          <w:b/>
          <w:bCs/>
          <w:sz w:val="28"/>
          <w:szCs w:val="28"/>
        </w:rPr>
      </w:pPr>
      <w:r w:rsidRPr="001B0952">
        <w:rPr>
          <w:b/>
          <w:bCs/>
          <w:sz w:val="28"/>
          <w:szCs w:val="28"/>
        </w:rPr>
        <w:t>Benefits and Risks of HELOCs</w:t>
      </w:r>
    </w:p>
    <w:p w14:paraId="23AB3E4D" w14:textId="77777777" w:rsidR="001B0952" w:rsidRPr="001B0952" w:rsidRDefault="001B0952" w:rsidP="001B0952">
      <w:pPr>
        <w:rPr>
          <w:b/>
          <w:bCs/>
          <w:sz w:val="28"/>
          <w:szCs w:val="28"/>
        </w:rPr>
      </w:pPr>
      <w:r w:rsidRPr="001B0952">
        <w:rPr>
          <w:b/>
          <w:bCs/>
          <w:sz w:val="28"/>
          <w:szCs w:val="28"/>
        </w:rPr>
        <w:t>Benefits</w:t>
      </w:r>
    </w:p>
    <w:p w14:paraId="7B81E3D0" w14:textId="77777777" w:rsidR="001B0952" w:rsidRPr="001B0952" w:rsidRDefault="001B0952" w:rsidP="001B0952">
      <w:pPr>
        <w:numPr>
          <w:ilvl w:val="0"/>
          <w:numId w:val="3"/>
        </w:numPr>
        <w:rPr>
          <w:sz w:val="28"/>
          <w:szCs w:val="28"/>
        </w:rPr>
      </w:pPr>
      <w:r w:rsidRPr="001B0952">
        <w:rPr>
          <w:sz w:val="28"/>
          <w:szCs w:val="28"/>
        </w:rPr>
        <w:t>Lower interest rates compared to credit cards</w:t>
      </w:r>
    </w:p>
    <w:p w14:paraId="410DAC95" w14:textId="77777777" w:rsidR="001B0952" w:rsidRPr="001B0952" w:rsidRDefault="001B0952" w:rsidP="001B0952">
      <w:pPr>
        <w:numPr>
          <w:ilvl w:val="0"/>
          <w:numId w:val="3"/>
        </w:numPr>
        <w:rPr>
          <w:sz w:val="28"/>
          <w:szCs w:val="28"/>
        </w:rPr>
      </w:pPr>
      <w:r w:rsidRPr="001B0952">
        <w:rPr>
          <w:sz w:val="28"/>
          <w:szCs w:val="28"/>
        </w:rPr>
        <w:t>Flexible access to funds during the draw period</w:t>
      </w:r>
    </w:p>
    <w:p w14:paraId="44A29A15" w14:textId="77777777" w:rsidR="001B0952" w:rsidRPr="001B0952" w:rsidRDefault="001B0952" w:rsidP="001B0952">
      <w:pPr>
        <w:numPr>
          <w:ilvl w:val="0"/>
          <w:numId w:val="3"/>
        </w:numPr>
        <w:rPr>
          <w:sz w:val="28"/>
          <w:szCs w:val="28"/>
        </w:rPr>
      </w:pPr>
      <w:r w:rsidRPr="001B0952">
        <w:rPr>
          <w:sz w:val="28"/>
          <w:szCs w:val="28"/>
        </w:rPr>
        <w:t>Potential tax deductibility of interest payments</w:t>
      </w:r>
    </w:p>
    <w:p w14:paraId="2CFDFC2F" w14:textId="77777777" w:rsidR="001B0952" w:rsidRPr="001B0952" w:rsidRDefault="001B0952" w:rsidP="001B0952">
      <w:pPr>
        <w:rPr>
          <w:b/>
          <w:bCs/>
          <w:sz w:val="28"/>
          <w:szCs w:val="28"/>
        </w:rPr>
      </w:pPr>
      <w:r w:rsidRPr="001B0952">
        <w:rPr>
          <w:b/>
          <w:bCs/>
          <w:sz w:val="28"/>
          <w:szCs w:val="28"/>
        </w:rPr>
        <w:t>Risks</w:t>
      </w:r>
    </w:p>
    <w:p w14:paraId="26C067C6" w14:textId="77777777" w:rsidR="001B0952" w:rsidRPr="001B0952" w:rsidRDefault="001B0952" w:rsidP="001B0952">
      <w:pPr>
        <w:numPr>
          <w:ilvl w:val="0"/>
          <w:numId w:val="4"/>
        </w:numPr>
        <w:rPr>
          <w:sz w:val="28"/>
          <w:szCs w:val="28"/>
        </w:rPr>
      </w:pPr>
      <w:r w:rsidRPr="001B0952">
        <w:rPr>
          <w:sz w:val="28"/>
          <w:szCs w:val="28"/>
        </w:rPr>
        <w:lastRenderedPageBreak/>
        <w:t>The home is used as collateral, so failure to repay could result in foreclosure</w:t>
      </w:r>
    </w:p>
    <w:p w14:paraId="3E59E275" w14:textId="77777777" w:rsidR="001B0952" w:rsidRPr="001B0952" w:rsidRDefault="001B0952" w:rsidP="001B0952">
      <w:pPr>
        <w:numPr>
          <w:ilvl w:val="0"/>
          <w:numId w:val="4"/>
        </w:numPr>
        <w:rPr>
          <w:sz w:val="28"/>
          <w:szCs w:val="28"/>
        </w:rPr>
      </w:pPr>
      <w:r w:rsidRPr="001B0952">
        <w:rPr>
          <w:sz w:val="28"/>
          <w:szCs w:val="28"/>
        </w:rPr>
        <w:t>Lenders may require the homeowner to maintain a certain level of equity in the home</w:t>
      </w:r>
    </w:p>
    <w:p w14:paraId="71286D7E" w14:textId="652B899B" w:rsidR="001B0952" w:rsidRDefault="001B0952" w:rsidP="00C52978">
      <w:pPr>
        <w:numPr>
          <w:ilvl w:val="0"/>
          <w:numId w:val="4"/>
        </w:numPr>
        <w:rPr>
          <w:sz w:val="28"/>
          <w:szCs w:val="28"/>
        </w:rPr>
      </w:pPr>
      <w:r w:rsidRPr="001B0952">
        <w:rPr>
          <w:sz w:val="28"/>
          <w:szCs w:val="28"/>
        </w:rPr>
        <w:t>Variable interest rates can lead to fluctuating monthly payments</w:t>
      </w:r>
    </w:p>
    <w:p w14:paraId="1D9BAB6B" w14:textId="77777777" w:rsidR="00C52978" w:rsidRPr="00C52978" w:rsidRDefault="00C52978" w:rsidP="00C52978">
      <w:pPr>
        <w:rPr>
          <w:sz w:val="28"/>
          <w:szCs w:val="28"/>
        </w:rPr>
      </w:pPr>
    </w:p>
    <w:p w14:paraId="34A02A9A" w14:textId="4FD31DBB" w:rsidR="001B0952" w:rsidRPr="001B0952" w:rsidRDefault="001B0952" w:rsidP="00C52978">
      <w:pPr>
        <w:rPr>
          <w:b/>
          <w:bCs/>
          <w:sz w:val="32"/>
          <w:szCs w:val="32"/>
        </w:rPr>
      </w:pPr>
      <w:r w:rsidRPr="00C52978">
        <w:rPr>
          <w:b/>
          <w:bCs/>
          <w:sz w:val="32"/>
          <w:szCs w:val="32"/>
          <w:highlight w:val="lightGray"/>
        </w:rPr>
        <w:t>Trends and Data</w:t>
      </w:r>
    </w:p>
    <w:p w14:paraId="5A5DA84D" w14:textId="5EF8F2ED" w:rsidR="001B0952" w:rsidRPr="00C52978" w:rsidRDefault="00C52978" w:rsidP="001B0952">
      <w:pPr>
        <w:rPr>
          <w:b/>
          <w:bCs/>
          <w:sz w:val="28"/>
          <w:szCs w:val="28"/>
        </w:rPr>
      </w:pPr>
      <w:r>
        <w:rPr>
          <w:b/>
          <w:bCs/>
          <w:sz w:val="28"/>
          <w:szCs w:val="28"/>
          <w:shd w:val="clear" w:color="auto" w:fill="F8F8F8"/>
        </w:rPr>
        <w:t xml:space="preserve">                                                   </w:t>
      </w:r>
      <w:r w:rsidR="001B0952" w:rsidRPr="00C52978">
        <w:rPr>
          <w:b/>
          <w:bCs/>
          <w:sz w:val="28"/>
          <w:szCs w:val="28"/>
          <w:shd w:val="clear" w:color="auto" w:fill="F8F8F8"/>
        </w:rPr>
        <w:t>Total HELOC Debt</w:t>
      </w:r>
    </w:p>
    <w:tbl>
      <w:tblPr>
        <w:tblStyle w:val="TableGrid"/>
        <w:tblW w:w="9567" w:type="dxa"/>
        <w:tblInd w:w="-5" w:type="dxa"/>
        <w:tblLook w:val="04A0" w:firstRow="1" w:lastRow="0" w:firstColumn="1" w:lastColumn="0" w:noHBand="0" w:noVBand="1"/>
      </w:tblPr>
      <w:tblGrid>
        <w:gridCol w:w="2499"/>
        <w:gridCol w:w="1218"/>
        <w:gridCol w:w="1428"/>
        <w:gridCol w:w="1429"/>
        <w:gridCol w:w="2993"/>
      </w:tblGrid>
      <w:tr w:rsidR="001B0952" w:rsidRPr="003561C1" w14:paraId="3F750842" w14:textId="77777777" w:rsidTr="00C52978">
        <w:tc>
          <w:tcPr>
            <w:tcW w:w="2499" w:type="dxa"/>
            <w:noWrap/>
            <w:hideMark/>
          </w:tcPr>
          <w:p w14:paraId="560E72B4" w14:textId="77777777" w:rsidR="001B0952" w:rsidRPr="003561C1" w:rsidRDefault="001B0952" w:rsidP="00EB34C7">
            <w:pPr>
              <w:spacing w:before="240" w:after="240"/>
              <w:jc w:val="center"/>
              <w:rPr>
                <w:rFonts w:eastAsia="Times New Roman" w:cs="Segoe UI"/>
                <w:b/>
                <w:bCs/>
                <w:color w:val="13343B"/>
                <w:kern w:val="0"/>
                <w:sz w:val="28"/>
                <w:szCs w:val="28"/>
                <w:lang w:eastAsia="en-IN"/>
                <w14:ligatures w14:val="none"/>
              </w:rPr>
            </w:pPr>
            <w:r w:rsidRPr="003561C1">
              <w:rPr>
                <w:rFonts w:eastAsia="Times New Roman" w:cs="Segoe UI"/>
                <w:b/>
                <w:bCs/>
                <w:color w:val="13343B"/>
                <w:kern w:val="0"/>
                <w:sz w:val="28"/>
                <w:szCs w:val="28"/>
                <w:lang w:eastAsia="en-IN"/>
                <w14:ligatures w14:val="none"/>
              </w:rPr>
              <w:t>Metric</w:t>
            </w:r>
          </w:p>
        </w:tc>
        <w:tc>
          <w:tcPr>
            <w:tcW w:w="1218" w:type="dxa"/>
            <w:noWrap/>
            <w:hideMark/>
          </w:tcPr>
          <w:p w14:paraId="03535057" w14:textId="77777777" w:rsidR="001B0952" w:rsidRPr="003561C1" w:rsidRDefault="001B0952" w:rsidP="00EB34C7">
            <w:pPr>
              <w:spacing w:before="240" w:after="240"/>
              <w:jc w:val="center"/>
              <w:rPr>
                <w:rFonts w:eastAsia="Times New Roman" w:cs="Segoe UI"/>
                <w:b/>
                <w:bCs/>
                <w:color w:val="13343B"/>
                <w:kern w:val="0"/>
                <w:sz w:val="28"/>
                <w:szCs w:val="28"/>
                <w:lang w:eastAsia="en-IN"/>
                <w14:ligatures w14:val="none"/>
              </w:rPr>
            </w:pPr>
            <w:r w:rsidRPr="003561C1">
              <w:rPr>
                <w:rFonts w:eastAsia="Times New Roman" w:cs="Segoe UI"/>
                <w:b/>
                <w:bCs/>
                <w:color w:val="13343B"/>
                <w:kern w:val="0"/>
                <w:sz w:val="28"/>
                <w:szCs w:val="28"/>
                <w:lang w:eastAsia="en-IN"/>
                <w14:ligatures w14:val="none"/>
              </w:rPr>
              <w:t>2021</w:t>
            </w:r>
          </w:p>
        </w:tc>
        <w:tc>
          <w:tcPr>
            <w:tcW w:w="0" w:type="auto"/>
            <w:noWrap/>
            <w:hideMark/>
          </w:tcPr>
          <w:p w14:paraId="2E3DD121" w14:textId="77777777" w:rsidR="001B0952" w:rsidRPr="003561C1" w:rsidRDefault="001B0952" w:rsidP="00EB34C7">
            <w:pPr>
              <w:spacing w:before="240" w:after="240"/>
              <w:jc w:val="center"/>
              <w:rPr>
                <w:rFonts w:eastAsia="Times New Roman" w:cs="Segoe UI"/>
                <w:b/>
                <w:bCs/>
                <w:color w:val="13343B"/>
                <w:kern w:val="0"/>
                <w:sz w:val="28"/>
                <w:szCs w:val="28"/>
                <w:lang w:eastAsia="en-IN"/>
                <w14:ligatures w14:val="none"/>
              </w:rPr>
            </w:pPr>
            <w:r w:rsidRPr="003561C1">
              <w:rPr>
                <w:rFonts w:eastAsia="Times New Roman" w:cs="Segoe UI"/>
                <w:b/>
                <w:bCs/>
                <w:color w:val="13343B"/>
                <w:kern w:val="0"/>
                <w:sz w:val="28"/>
                <w:szCs w:val="28"/>
                <w:lang w:eastAsia="en-IN"/>
                <w14:ligatures w14:val="none"/>
              </w:rPr>
              <w:t>2022</w:t>
            </w:r>
          </w:p>
        </w:tc>
        <w:tc>
          <w:tcPr>
            <w:tcW w:w="0" w:type="auto"/>
            <w:noWrap/>
            <w:hideMark/>
          </w:tcPr>
          <w:p w14:paraId="148CA953" w14:textId="77777777" w:rsidR="001B0952" w:rsidRPr="003561C1" w:rsidRDefault="001B0952" w:rsidP="00EB34C7">
            <w:pPr>
              <w:spacing w:before="240" w:after="240"/>
              <w:jc w:val="center"/>
              <w:rPr>
                <w:rFonts w:eastAsia="Times New Roman" w:cs="Segoe UI"/>
                <w:b/>
                <w:bCs/>
                <w:color w:val="13343B"/>
                <w:kern w:val="0"/>
                <w:sz w:val="28"/>
                <w:szCs w:val="28"/>
                <w:lang w:eastAsia="en-IN"/>
                <w14:ligatures w14:val="none"/>
              </w:rPr>
            </w:pPr>
            <w:r w:rsidRPr="003561C1">
              <w:rPr>
                <w:rFonts w:eastAsia="Times New Roman" w:cs="Segoe UI"/>
                <w:b/>
                <w:bCs/>
                <w:color w:val="13343B"/>
                <w:kern w:val="0"/>
                <w:sz w:val="28"/>
                <w:szCs w:val="28"/>
                <w:lang w:eastAsia="en-IN"/>
                <w14:ligatures w14:val="none"/>
              </w:rPr>
              <w:t>2023</w:t>
            </w:r>
          </w:p>
        </w:tc>
        <w:tc>
          <w:tcPr>
            <w:tcW w:w="0" w:type="auto"/>
            <w:noWrap/>
            <w:hideMark/>
          </w:tcPr>
          <w:p w14:paraId="73488075" w14:textId="77777777" w:rsidR="001B0952" w:rsidRPr="003561C1" w:rsidRDefault="001B0952" w:rsidP="00EB34C7">
            <w:pPr>
              <w:spacing w:before="240" w:after="240"/>
              <w:jc w:val="center"/>
              <w:rPr>
                <w:rFonts w:eastAsia="Times New Roman" w:cs="Segoe UI"/>
                <w:b/>
                <w:bCs/>
                <w:color w:val="13343B"/>
                <w:kern w:val="0"/>
                <w:sz w:val="28"/>
                <w:szCs w:val="28"/>
                <w:lang w:eastAsia="en-IN"/>
                <w14:ligatures w14:val="none"/>
              </w:rPr>
            </w:pPr>
            <w:r w:rsidRPr="003561C1">
              <w:rPr>
                <w:rFonts w:eastAsia="Times New Roman" w:cs="Segoe UI"/>
                <w:b/>
                <w:bCs/>
                <w:color w:val="13343B"/>
                <w:kern w:val="0"/>
                <w:sz w:val="28"/>
                <w:szCs w:val="28"/>
                <w:lang w:eastAsia="en-IN"/>
                <w14:ligatures w14:val="none"/>
              </w:rPr>
              <w:t>2022-2023 Change</w:t>
            </w:r>
          </w:p>
        </w:tc>
      </w:tr>
      <w:tr w:rsidR="001B0952" w:rsidRPr="003561C1" w14:paraId="20B8D030" w14:textId="77777777" w:rsidTr="00C52978">
        <w:trPr>
          <w:trHeight w:val="1038"/>
        </w:trPr>
        <w:tc>
          <w:tcPr>
            <w:tcW w:w="2499" w:type="dxa"/>
            <w:hideMark/>
          </w:tcPr>
          <w:p w14:paraId="07CA9A48" w14:textId="77777777" w:rsidR="001B0952" w:rsidRPr="003561C1" w:rsidRDefault="001B0952" w:rsidP="00EB34C7">
            <w:pPr>
              <w:spacing w:before="240" w:after="240"/>
              <w:rPr>
                <w:rFonts w:eastAsia="Times New Roman" w:cs="Segoe UI"/>
                <w:color w:val="13343B"/>
                <w:kern w:val="0"/>
                <w:sz w:val="28"/>
                <w:szCs w:val="28"/>
                <w:lang w:eastAsia="en-IN"/>
                <w14:ligatures w14:val="none"/>
              </w:rPr>
            </w:pPr>
            <w:r w:rsidRPr="003561C1">
              <w:rPr>
                <w:rFonts w:eastAsia="Times New Roman" w:cs="Segoe UI"/>
                <w:color w:val="13343B"/>
                <w:kern w:val="0"/>
                <w:sz w:val="28"/>
                <w:szCs w:val="28"/>
                <w:lang w:eastAsia="en-IN"/>
                <w14:ligatures w14:val="none"/>
              </w:rPr>
              <w:t>Total HELOC Debt</w:t>
            </w:r>
          </w:p>
        </w:tc>
        <w:tc>
          <w:tcPr>
            <w:tcW w:w="1218" w:type="dxa"/>
            <w:hideMark/>
          </w:tcPr>
          <w:p w14:paraId="028D6885" w14:textId="77777777" w:rsidR="001B0952" w:rsidRPr="003561C1" w:rsidRDefault="001B0952" w:rsidP="00EB34C7">
            <w:pPr>
              <w:spacing w:before="240" w:after="240"/>
              <w:rPr>
                <w:rFonts w:eastAsia="Times New Roman" w:cs="Segoe UI"/>
                <w:color w:val="13343B"/>
                <w:kern w:val="0"/>
                <w:sz w:val="28"/>
                <w:szCs w:val="28"/>
                <w:lang w:eastAsia="en-IN"/>
                <w14:ligatures w14:val="none"/>
              </w:rPr>
            </w:pPr>
            <w:r w:rsidRPr="003561C1">
              <w:rPr>
                <w:rFonts w:eastAsia="Times New Roman" w:cs="Segoe UI"/>
                <w:color w:val="13343B"/>
                <w:kern w:val="0"/>
                <w:sz w:val="28"/>
                <w:szCs w:val="28"/>
                <w:lang w:eastAsia="en-IN"/>
                <w14:ligatures w14:val="none"/>
              </w:rPr>
              <w:t>$295.5B</w:t>
            </w:r>
          </w:p>
        </w:tc>
        <w:tc>
          <w:tcPr>
            <w:tcW w:w="0" w:type="auto"/>
            <w:hideMark/>
          </w:tcPr>
          <w:p w14:paraId="05EF57D0" w14:textId="77777777" w:rsidR="001B0952" w:rsidRPr="003561C1" w:rsidRDefault="001B0952" w:rsidP="00EB34C7">
            <w:pPr>
              <w:spacing w:before="240" w:after="240"/>
              <w:rPr>
                <w:rFonts w:eastAsia="Times New Roman" w:cs="Segoe UI"/>
                <w:color w:val="13343B"/>
                <w:kern w:val="0"/>
                <w:sz w:val="28"/>
                <w:szCs w:val="28"/>
                <w:lang w:eastAsia="en-IN"/>
                <w14:ligatures w14:val="none"/>
              </w:rPr>
            </w:pPr>
            <w:r w:rsidRPr="003561C1">
              <w:rPr>
                <w:rFonts w:eastAsia="Times New Roman" w:cs="Segoe UI"/>
                <w:color w:val="13343B"/>
                <w:kern w:val="0"/>
                <w:sz w:val="28"/>
                <w:szCs w:val="28"/>
                <w:lang w:eastAsia="en-IN"/>
                <w14:ligatures w14:val="none"/>
              </w:rPr>
              <w:t>$305.9B</w:t>
            </w:r>
          </w:p>
        </w:tc>
        <w:tc>
          <w:tcPr>
            <w:tcW w:w="0" w:type="auto"/>
            <w:hideMark/>
          </w:tcPr>
          <w:p w14:paraId="4A088175" w14:textId="77777777" w:rsidR="001B0952" w:rsidRPr="003561C1" w:rsidRDefault="001B0952" w:rsidP="00EB34C7">
            <w:pPr>
              <w:spacing w:before="240" w:after="240"/>
              <w:rPr>
                <w:rFonts w:eastAsia="Times New Roman" w:cs="Segoe UI"/>
                <w:color w:val="13343B"/>
                <w:kern w:val="0"/>
                <w:sz w:val="28"/>
                <w:szCs w:val="28"/>
                <w:lang w:eastAsia="en-IN"/>
                <w14:ligatures w14:val="none"/>
              </w:rPr>
            </w:pPr>
            <w:r w:rsidRPr="003561C1">
              <w:rPr>
                <w:rFonts w:eastAsia="Times New Roman" w:cs="Segoe UI"/>
                <w:color w:val="13343B"/>
                <w:kern w:val="0"/>
                <w:sz w:val="28"/>
                <w:szCs w:val="28"/>
                <w:lang w:eastAsia="en-IN"/>
                <w14:ligatures w14:val="none"/>
              </w:rPr>
              <w:t>$326.1B</w:t>
            </w:r>
          </w:p>
        </w:tc>
        <w:tc>
          <w:tcPr>
            <w:tcW w:w="0" w:type="auto"/>
            <w:hideMark/>
          </w:tcPr>
          <w:p w14:paraId="435B4D7F" w14:textId="77777777" w:rsidR="001B0952" w:rsidRPr="003561C1" w:rsidRDefault="001B0952" w:rsidP="00EB34C7">
            <w:pPr>
              <w:spacing w:before="240" w:after="240"/>
              <w:rPr>
                <w:rFonts w:eastAsia="Times New Roman" w:cs="Segoe UI"/>
                <w:color w:val="13343B"/>
                <w:kern w:val="0"/>
                <w:sz w:val="28"/>
                <w:szCs w:val="28"/>
                <w:lang w:eastAsia="en-IN"/>
                <w14:ligatures w14:val="none"/>
              </w:rPr>
            </w:pPr>
            <w:r w:rsidRPr="003561C1">
              <w:rPr>
                <w:rFonts w:eastAsia="Times New Roman" w:cs="Segoe UI"/>
                <w:color w:val="13343B"/>
                <w:kern w:val="0"/>
                <w:sz w:val="28"/>
                <w:szCs w:val="28"/>
                <w:lang w:eastAsia="en-IN"/>
                <w14:ligatures w14:val="none"/>
              </w:rPr>
              <w:t>+6.6%</w:t>
            </w:r>
          </w:p>
        </w:tc>
      </w:tr>
    </w:tbl>
    <w:p w14:paraId="2B687177" w14:textId="62BD231F" w:rsidR="001B0952" w:rsidRPr="001B0952" w:rsidRDefault="001B0952" w:rsidP="001B0952">
      <w:pPr>
        <w:rPr>
          <w:b/>
          <w:bCs/>
          <w:sz w:val="32"/>
          <w:szCs w:val="32"/>
        </w:rPr>
      </w:pPr>
    </w:p>
    <w:p w14:paraId="2E35A091" w14:textId="31B248F6" w:rsidR="001B0952" w:rsidRDefault="001B0952" w:rsidP="001B0952">
      <w:pPr>
        <w:rPr>
          <w:b/>
          <w:bCs/>
          <w:sz w:val="32"/>
          <w:szCs w:val="32"/>
        </w:rPr>
      </w:pPr>
      <w:r w:rsidRPr="001B0952">
        <w:rPr>
          <w:b/>
          <w:bCs/>
          <w:sz w:val="32"/>
          <w:szCs w:val="32"/>
        </w:rPr>
        <w:t>All Sectors; Total Home Equity Lines of Credit; Asset, Level</w:t>
      </w:r>
    </w:p>
    <w:p w14:paraId="42FCC6E3" w14:textId="5E293945" w:rsidR="00C52978" w:rsidRPr="001B0952" w:rsidRDefault="00C52978" w:rsidP="001B0952">
      <w:pPr>
        <w:rPr>
          <w:b/>
          <w:bCs/>
          <w:sz w:val="32"/>
          <w:szCs w:val="32"/>
        </w:rPr>
      </w:pPr>
      <w:r>
        <w:rPr>
          <w:noProof/>
        </w:rPr>
        <w:drawing>
          <wp:inline distT="0" distB="0" distL="0" distR="0" wp14:anchorId="0E5EF14A" wp14:editId="200C80B9">
            <wp:extent cx="6181725" cy="2743200"/>
            <wp:effectExtent l="0" t="0" r="0" b="0"/>
            <wp:docPr id="1566777619" name="Chart 1">
              <a:extLst xmlns:a="http://schemas.openxmlformats.org/drawingml/2006/main">
                <a:ext uri="{FF2B5EF4-FFF2-40B4-BE49-F238E27FC236}">
                  <a16:creationId xmlns:a16="http://schemas.microsoft.com/office/drawing/2014/main" id="{AD0AB2B7-56CA-92E6-09B7-D217B8E2FF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34EC83" w14:textId="5A80CA41" w:rsidR="001B0952" w:rsidRDefault="001B0952" w:rsidP="001B0952">
      <w:pPr>
        <w:rPr>
          <w:sz w:val="28"/>
          <w:szCs w:val="28"/>
        </w:rPr>
      </w:pPr>
      <w:r w:rsidRPr="001B0952">
        <w:rPr>
          <w:sz w:val="28"/>
          <w:szCs w:val="28"/>
        </w:rPr>
        <w:t xml:space="preserve">HELOCs experienced significant growth in the early 2000s, with many homeowners using them to finance home improvements or consolidate debt. However, the abuse of HELOCs was also cited as a contributing factor to the subprime mortgage crisis. After the crisis, some major lenders temporarily stopped offering new HELOCs, though many have since </w:t>
      </w:r>
      <w:r w:rsidRPr="001B0952">
        <w:rPr>
          <w:sz w:val="28"/>
          <w:szCs w:val="28"/>
        </w:rPr>
        <w:t>resumed. According</w:t>
      </w:r>
      <w:r w:rsidRPr="001B0952">
        <w:rPr>
          <w:sz w:val="28"/>
          <w:szCs w:val="28"/>
        </w:rPr>
        <w:t xml:space="preserve"> to data from the Federal Reserve, the total outstanding </w:t>
      </w:r>
      <w:r w:rsidRPr="001B0952">
        <w:rPr>
          <w:sz w:val="28"/>
          <w:szCs w:val="28"/>
        </w:rPr>
        <w:lastRenderedPageBreak/>
        <w:t>HELOC balance in the U.S. was $412 billion as of the first quarter of 2023, down from a peak of $1.2 trillion in 2008.</w:t>
      </w:r>
    </w:p>
    <w:p w14:paraId="4B33C1A6" w14:textId="7A82C576" w:rsidR="001B0952" w:rsidRPr="001B0952" w:rsidRDefault="001B0952" w:rsidP="001B0952">
      <w:pPr>
        <w:numPr>
          <w:ilvl w:val="0"/>
          <w:numId w:val="5"/>
        </w:numPr>
        <w:rPr>
          <w:sz w:val="28"/>
          <w:szCs w:val="28"/>
        </w:rPr>
      </w:pPr>
      <w:r w:rsidRPr="00DB5457">
        <w:rPr>
          <w:b/>
          <w:bCs/>
          <w:sz w:val="28"/>
          <w:szCs w:val="28"/>
        </w:rPr>
        <w:t>Americans owe $349 billion on 13.1 million home equity lines of credit (HELOCs). </w:t>
      </w:r>
      <w:r w:rsidRPr="00DB5457">
        <w:rPr>
          <w:sz w:val="28"/>
          <w:szCs w:val="28"/>
        </w:rPr>
        <w:t>That equates to an average of $26,702 per account. Outstanding HELOC debt represents 2.0% of U.S. consumer debt.</w:t>
      </w:r>
    </w:p>
    <w:p w14:paraId="59A4F7C3" w14:textId="0A7D542F" w:rsidR="001B0952" w:rsidRDefault="001B0952" w:rsidP="001B0952">
      <w:pPr>
        <w:rPr>
          <w:b/>
          <w:bCs/>
          <w:sz w:val="32"/>
          <w:szCs w:val="32"/>
        </w:rPr>
      </w:pPr>
      <w:r w:rsidRPr="003561C1">
        <w:rPr>
          <w:b/>
          <w:bCs/>
          <w:sz w:val="32"/>
          <w:szCs w:val="32"/>
        </w:rPr>
        <w:t>Average HELOC Balance by Generation</w:t>
      </w:r>
    </w:p>
    <w:tbl>
      <w:tblPr>
        <w:tblStyle w:val="GridTable4"/>
        <w:tblpPr w:leftFromText="180" w:rightFromText="180" w:vertAnchor="page" w:horzAnchor="margin" w:tblpY="4246"/>
        <w:tblW w:w="10120" w:type="dxa"/>
        <w:tblLook w:val="04A0" w:firstRow="1" w:lastRow="0" w:firstColumn="1" w:lastColumn="0" w:noHBand="0" w:noVBand="1"/>
      </w:tblPr>
      <w:tblGrid>
        <w:gridCol w:w="4563"/>
        <w:gridCol w:w="1694"/>
        <w:gridCol w:w="1694"/>
        <w:gridCol w:w="2169"/>
      </w:tblGrid>
      <w:tr w:rsidR="00A81246" w:rsidRPr="003561C1" w14:paraId="7E1D67CB" w14:textId="77777777" w:rsidTr="00A81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00360D" w14:textId="77777777" w:rsidR="00A81246" w:rsidRPr="003561C1" w:rsidRDefault="00A81246" w:rsidP="00A81246">
            <w:pPr>
              <w:spacing w:before="240" w:after="240"/>
              <w:jc w:val="center"/>
              <w:rPr>
                <w:rFonts w:ascii="Segoe UI" w:eastAsia="Times New Roman" w:hAnsi="Segoe UI" w:cs="Segoe UI"/>
                <w:kern w:val="0"/>
                <w:sz w:val="28"/>
                <w:szCs w:val="28"/>
                <w:lang w:eastAsia="en-IN"/>
                <w14:ligatures w14:val="none"/>
              </w:rPr>
            </w:pPr>
            <w:r w:rsidRPr="003561C1">
              <w:rPr>
                <w:rFonts w:ascii="Segoe UI" w:eastAsia="Times New Roman" w:hAnsi="Segoe UI" w:cs="Segoe UI"/>
                <w:kern w:val="0"/>
                <w:sz w:val="28"/>
                <w:szCs w:val="28"/>
                <w:lang w:eastAsia="en-IN"/>
                <w14:ligatures w14:val="none"/>
              </w:rPr>
              <w:t>Generation</w:t>
            </w:r>
          </w:p>
        </w:tc>
        <w:tc>
          <w:tcPr>
            <w:tcW w:w="0" w:type="auto"/>
            <w:noWrap/>
            <w:hideMark/>
          </w:tcPr>
          <w:p w14:paraId="3C269306" w14:textId="77777777" w:rsidR="00A81246" w:rsidRPr="003561C1" w:rsidRDefault="00A81246" w:rsidP="00A8124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8"/>
                <w:szCs w:val="28"/>
                <w:lang w:eastAsia="en-IN"/>
                <w14:ligatures w14:val="none"/>
              </w:rPr>
            </w:pPr>
            <w:r w:rsidRPr="003561C1">
              <w:rPr>
                <w:rFonts w:ascii="Segoe UI" w:eastAsia="Times New Roman" w:hAnsi="Segoe UI" w:cs="Segoe UI"/>
                <w:kern w:val="0"/>
                <w:sz w:val="28"/>
                <w:szCs w:val="28"/>
                <w:lang w:eastAsia="en-IN"/>
                <w14:ligatures w14:val="none"/>
              </w:rPr>
              <w:t>2022</w:t>
            </w:r>
          </w:p>
        </w:tc>
        <w:tc>
          <w:tcPr>
            <w:tcW w:w="0" w:type="auto"/>
            <w:noWrap/>
            <w:hideMark/>
          </w:tcPr>
          <w:p w14:paraId="2EE3223A" w14:textId="77777777" w:rsidR="00A81246" w:rsidRPr="003561C1" w:rsidRDefault="00A81246" w:rsidP="00A8124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8"/>
                <w:szCs w:val="28"/>
                <w:lang w:eastAsia="en-IN"/>
                <w14:ligatures w14:val="none"/>
              </w:rPr>
            </w:pPr>
            <w:r w:rsidRPr="003561C1">
              <w:rPr>
                <w:rFonts w:ascii="Segoe UI" w:eastAsia="Times New Roman" w:hAnsi="Segoe UI" w:cs="Segoe UI"/>
                <w:kern w:val="0"/>
                <w:sz w:val="28"/>
                <w:szCs w:val="28"/>
                <w:lang w:eastAsia="en-IN"/>
                <w14:ligatures w14:val="none"/>
              </w:rPr>
              <w:t>2023</w:t>
            </w:r>
          </w:p>
        </w:tc>
        <w:tc>
          <w:tcPr>
            <w:tcW w:w="0" w:type="auto"/>
            <w:noWrap/>
            <w:hideMark/>
          </w:tcPr>
          <w:p w14:paraId="5AA4C4C4" w14:textId="77777777" w:rsidR="00A81246" w:rsidRPr="003561C1" w:rsidRDefault="00A81246" w:rsidP="00A8124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8"/>
                <w:szCs w:val="28"/>
                <w:lang w:eastAsia="en-IN"/>
                <w14:ligatures w14:val="none"/>
              </w:rPr>
            </w:pPr>
            <w:r w:rsidRPr="003561C1">
              <w:rPr>
                <w:rFonts w:ascii="Segoe UI" w:eastAsia="Times New Roman" w:hAnsi="Segoe UI" w:cs="Segoe UI"/>
                <w:kern w:val="0"/>
                <w:sz w:val="28"/>
                <w:szCs w:val="28"/>
                <w:lang w:eastAsia="en-IN"/>
                <w14:ligatures w14:val="none"/>
              </w:rPr>
              <w:t>Change</w:t>
            </w:r>
          </w:p>
        </w:tc>
      </w:tr>
      <w:tr w:rsidR="00A81246" w:rsidRPr="003561C1" w14:paraId="5737707A" w14:textId="77777777" w:rsidTr="00A8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3D9B8" w14:textId="77777777" w:rsidR="00A81246" w:rsidRPr="003561C1" w:rsidRDefault="00A81246" w:rsidP="00A81246">
            <w:pPr>
              <w:spacing w:before="240" w:after="24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Generation Z (18-26)</w:t>
            </w:r>
          </w:p>
        </w:tc>
        <w:tc>
          <w:tcPr>
            <w:tcW w:w="0" w:type="auto"/>
            <w:hideMark/>
          </w:tcPr>
          <w:p w14:paraId="7F645529"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$37,756</w:t>
            </w:r>
          </w:p>
        </w:tc>
        <w:tc>
          <w:tcPr>
            <w:tcW w:w="0" w:type="auto"/>
            <w:hideMark/>
          </w:tcPr>
          <w:p w14:paraId="4724069F"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$40,608</w:t>
            </w:r>
          </w:p>
        </w:tc>
        <w:tc>
          <w:tcPr>
            <w:tcW w:w="0" w:type="auto"/>
            <w:hideMark/>
          </w:tcPr>
          <w:p w14:paraId="4C1EDDFF"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+7.6%</w:t>
            </w:r>
          </w:p>
        </w:tc>
      </w:tr>
      <w:tr w:rsidR="00A81246" w:rsidRPr="003561C1" w14:paraId="5EDD9F3A" w14:textId="77777777" w:rsidTr="00A81246">
        <w:tc>
          <w:tcPr>
            <w:cnfStyle w:val="001000000000" w:firstRow="0" w:lastRow="0" w:firstColumn="1" w:lastColumn="0" w:oddVBand="0" w:evenVBand="0" w:oddHBand="0" w:evenHBand="0" w:firstRowFirstColumn="0" w:firstRowLastColumn="0" w:lastRowFirstColumn="0" w:lastRowLastColumn="0"/>
            <w:tcW w:w="0" w:type="auto"/>
            <w:hideMark/>
          </w:tcPr>
          <w:p w14:paraId="04E2E74B" w14:textId="77777777" w:rsidR="00A81246" w:rsidRPr="003561C1" w:rsidRDefault="00A81246" w:rsidP="00A81246">
            <w:pPr>
              <w:spacing w:before="240" w:after="24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Millennials (27-42)</w:t>
            </w:r>
          </w:p>
        </w:tc>
        <w:tc>
          <w:tcPr>
            <w:tcW w:w="0" w:type="auto"/>
            <w:hideMark/>
          </w:tcPr>
          <w:p w14:paraId="0FCFDC1A"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$46,232</w:t>
            </w:r>
          </w:p>
        </w:tc>
        <w:tc>
          <w:tcPr>
            <w:tcW w:w="0" w:type="auto"/>
            <w:hideMark/>
          </w:tcPr>
          <w:p w14:paraId="343B793C"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$48,773</w:t>
            </w:r>
          </w:p>
        </w:tc>
        <w:tc>
          <w:tcPr>
            <w:tcW w:w="0" w:type="auto"/>
            <w:hideMark/>
          </w:tcPr>
          <w:p w14:paraId="68A6B794"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+5.5%</w:t>
            </w:r>
          </w:p>
        </w:tc>
      </w:tr>
      <w:tr w:rsidR="00A81246" w:rsidRPr="003561C1" w14:paraId="738FF2A6" w14:textId="77777777" w:rsidTr="00A8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325493" w14:textId="77777777" w:rsidR="00A81246" w:rsidRPr="003561C1" w:rsidRDefault="00A81246" w:rsidP="00A81246">
            <w:pPr>
              <w:spacing w:before="240" w:after="24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Generation X (43-58)</w:t>
            </w:r>
          </w:p>
        </w:tc>
        <w:tc>
          <w:tcPr>
            <w:tcW w:w="0" w:type="auto"/>
            <w:hideMark/>
          </w:tcPr>
          <w:p w14:paraId="60E389CE"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$48,509</w:t>
            </w:r>
          </w:p>
        </w:tc>
        <w:tc>
          <w:tcPr>
            <w:tcW w:w="0" w:type="auto"/>
            <w:hideMark/>
          </w:tcPr>
          <w:p w14:paraId="142A8E2A"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$51,070</w:t>
            </w:r>
          </w:p>
        </w:tc>
        <w:tc>
          <w:tcPr>
            <w:tcW w:w="0" w:type="auto"/>
            <w:hideMark/>
          </w:tcPr>
          <w:p w14:paraId="3F9C8B11"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+5.3%</w:t>
            </w:r>
          </w:p>
        </w:tc>
      </w:tr>
      <w:tr w:rsidR="00A81246" w:rsidRPr="003561C1" w14:paraId="1973E493" w14:textId="77777777" w:rsidTr="00A81246">
        <w:tc>
          <w:tcPr>
            <w:cnfStyle w:val="001000000000" w:firstRow="0" w:lastRow="0" w:firstColumn="1" w:lastColumn="0" w:oddVBand="0" w:evenVBand="0" w:oddHBand="0" w:evenHBand="0" w:firstRowFirstColumn="0" w:firstRowLastColumn="0" w:lastRowFirstColumn="0" w:lastRowLastColumn="0"/>
            <w:tcW w:w="0" w:type="auto"/>
            <w:hideMark/>
          </w:tcPr>
          <w:p w14:paraId="745CC496" w14:textId="77777777" w:rsidR="00A81246" w:rsidRPr="003561C1" w:rsidRDefault="00A81246" w:rsidP="00A81246">
            <w:pPr>
              <w:spacing w:before="240" w:after="24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Baby boomers (59-77)</w:t>
            </w:r>
          </w:p>
        </w:tc>
        <w:tc>
          <w:tcPr>
            <w:tcW w:w="0" w:type="auto"/>
            <w:hideMark/>
          </w:tcPr>
          <w:p w14:paraId="25EE991E"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$38,162</w:t>
            </w:r>
          </w:p>
        </w:tc>
        <w:tc>
          <w:tcPr>
            <w:tcW w:w="0" w:type="auto"/>
            <w:hideMark/>
          </w:tcPr>
          <w:p w14:paraId="4D74D9A8"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$37,487</w:t>
            </w:r>
          </w:p>
        </w:tc>
        <w:tc>
          <w:tcPr>
            <w:tcW w:w="0" w:type="auto"/>
            <w:hideMark/>
          </w:tcPr>
          <w:p w14:paraId="16CEDFFF" w14:textId="77777777" w:rsidR="00A81246" w:rsidRPr="003561C1" w:rsidRDefault="00A81246" w:rsidP="00A81246">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-1.8%</w:t>
            </w:r>
          </w:p>
        </w:tc>
      </w:tr>
      <w:tr w:rsidR="00A81246" w:rsidRPr="003561C1" w14:paraId="58FBF984" w14:textId="77777777" w:rsidTr="00A8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491F4" w14:textId="77777777" w:rsidR="00A81246" w:rsidRPr="003561C1" w:rsidRDefault="00A81246" w:rsidP="00A81246">
            <w:pPr>
              <w:spacing w:before="240" w:after="24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Silent Generation (78+)</w:t>
            </w:r>
          </w:p>
        </w:tc>
        <w:tc>
          <w:tcPr>
            <w:tcW w:w="0" w:type="auto"/>
            <w:hideMark/>
          </w:tcPr>
          <w:p w14:paraId="462FFA1C"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$32,719</w:t>
            </w:r>
          </w:p>
        </w:tc>
        <w:tc>
          <w:tcPr>
            <w:tcW w:w="0" w:type="auto"/>
            <w:hideMark/>
          </w:tcPr>
          <w:p w14:paraId="399ACE0D"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$31,654</w:t>
            </w:r>
          </w:p>
        </w:tc>
        <w:tc>
          <w:tcPr>
            <w:tcW w:w="0" w:type="auto"/>
            <w:hideMark/>
          </w:tcPr>
          <w:p w14:paraId="02DFA650" w14:textId="77777777" w:rsidR="00A81246" w:rsidRPr="003561C1" w:rsidRDefault="00A81246" w:rsidP="00A81246">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3561C1">
              <w:rPr>
                <w:rFonts w:ascii="Segoe UI" w:eastAsia="Times New Roman" w:hAnsi="Segoe UI" w:cs="Segoe UI"/>
                <w:color w:val="13343B"/>
                <w:kern w:val="0"/>
                <w:sz w:val="21"/>
                <w:szCs w:val="21"/>
                <w:lang w:eastAsia="en-IN"/>
                <w14:ligatures w14:val="none"/>
              </w:rPr>
              <w:t>-3.3%</w:t>
            </w:r>
          </w:p>
        </w:tc>
      </w:tr>
    </w:tbl>
    <w:p w14:paraId="43FB0461" w14:textId="77777777" w:rsidR="001B0952" w:rsidRDefault="001B0952" w:rsidP="001B0952">
      <w:pPr>
        <w:rPr>
          <w:b/>
          <w:bCs/>
          <w:sz w:val="32"/>
          <w:szCs w:val="32"/>
        </w:rPr>
      </w:pPr>
    </w:p>
    <w:p w14:paraId="28DD5E24" w14:textId="77777777" w:rsidR="001B0952" w:rsidRDefault="001B0952" w:rsidP="001B0952">
      <w:pPr>
        <w:rPr>
          <w:rStyle w:val="ui-provider"/>
          <w:b/>
          <w:bCs/>
          <w:sz w:val="36"/>
          <w:szCs w:val="36"/>
        </w:rPr>
      </w:pPr>
    </w:p>
    <w:p w14:paraId="49CF58D9" w14:textId="77777777" w:rsidR="001B0952" w:rsidRDefault="001B0952" w:rsidP="001B0952">
      <w:pPr>
        <w:rPr>
          <w:rStyle w:val="ui-provider"/>
          <w:b/>
          <w:bCs/>
          <w:sz w:val="36"/>
          <w:szCs w:val="36"/>
        </w:rPr>
      </w:pPr>
    </w:p>
    <w:p w14:paraId="66D57098" w14:textId="77777777" w:rsidR="001B0952" w:rsidRDefault="001B0952" w:rsidP="001B0952">
      <w:pPr>
        <w:rPr>
          <w:rStyle w:val="ui-provider"/>
          <w:b/>
          <w:bCs/>
          <w:sz w:val="36"/>
          <w:szCs w:val="36"/>
        </w:rPr>
      </w:pPr>
    </w:p>
    <w:p w14:paraId="244AC5AE" w14:textId="77777777" w:rsidR="001B0952" w:rsidRDefault="001B0952" w:rsidP="001B0952">
      <w:pPr>
        <w:rPr>
          <w:rStyle w:val="ui-provider"/>
          <w:b/>
          <w:bCs/>
          <w:sz w:val="36"/>
          <w:szCs w:val="36"/>
        </w:rPr>
      </w:pPr>
    </w:p>
    <w:p w14:paraId="6AB7BF37" w14:textId="77777777" w:rsidR="001B0952" w:rsidRDefault="001B0952" w:rsidP="001B0952">
      <w:pPr>
        <w:rPr>
          <w:rStyle w:val="ui-provider"/>
          <w:b/>
          <w:bCs/>
          <w:sz w:val="36"/>
          <w:szCs w:val="36"/>
        </w:rPr>
      </w:pPr>
    </w:p>
    <w:p w14:paraId="08286936" w14:textId="77777777" w:rsidR="001B0952" w:rsidRDefault="001B0952" w:rsidP="001B0952">
      <w:pPr>
        <w:rPr>
          <w:rStyle w:val="ui-provider"/>
          <w:b/>
          <w:bCs/>
          <w:sz w:val="36"/>
          <w:szCs w:val="36"/>
        </w:rPr>
      </w:pPr>
    </w:p>
    <w:p w14:paraId="70E5C686" w14:textId="77777777" w:rsidR="001B0952" w:rsidRDefault="001B0952" w:rsidP="001B0952">
      <w:pPr>
        <w:rPr>
          <w:rStyle w:val="ui-provider"/>
          <w:b/>
          <w:bCs/>
          <w:sz w:val="36"/>
          <w:szCs w:val="36"/>
        </w:rPr>
      </w:pPr>
    </w:p>
    <w:p w14:paraId="3626F2CA" w14:textId="77777777" w:rsidR="00A81246" w:rsidRDefault="00A81246" w:rsidP="001B0952">
      <w:pPr>
        <w:rPr>
          <w:rStyle w:val="ui-provider"/>
          <w:b/>
          <w:bCs/>
          <w:sz w:val="36"/>
          <w:szCs w:val="36"/>
        </w:rPr>
      </w:pPr>
    </w:p>
    <w:p w14:paraId="7D23A98D" w14:textId="77777777" w:rsidR="00A81246" w:rsidRDefault="00A81246" w:rsidP="001B0952">
      <w:pPr>
        <w:rPr>
          <w:rStyle w:val="ui-provider"/>
          <w:b/>
          <w:bCs/>
          <w:sz w:val="36"/>
          <w:szCs w:val="36"/>
        </w:rPr>
      </w:pPr>
    </w:p>
    <w:p w14:paraId="5BE08251" w14:textId="55A02E79" w:rsidR="001B0952" w:rsidRPr="001B0952" w:rsidRDefault="001B0952" w:rsidP="001B0952">
      <w:pPr>
        <w:rPr>
          <w:rFonts w:asciiTheme="majorHAnsi" w:hAnsiTheme="majorHAnsi"/>
          <w:b/>
          <w:bCs/>
          <w:sz w:val="36"/>
          <w:szCs w:val="36"/>
        </w:rPr>
      </w:pPr>
      <w:r w:rsidRPr="001B0952">
        <w:rPr>
          <w:rStyle w:val="ui-provider"/>
          <w:b/>
          <w:bCs/>
          <w:sz w:val="36"/>
          <w:szCs w:val="36"/>
        </w:rPr>
        <w:lastRenderedPageBreak/>
        <w:t>Credit cards</w:t>
      </w:r>
    </w:p>
    <w:p w14:paraId="02E605EE" w14:textId="194A8BC3" w:rsidR="001B0952" w:rsidRDefault="001B0952" w:rsidP="001B0952">
      <w:pPr>
        <w:rPr>
          <w:rFonts w:asciiTheme="majorHAnsi" w:hAnsiTheme="majorHAnsi"/>
          <w:sz w:val="28"/>
          <w:szCs w:val="28"/>
        </w:rPr>
      </w:pPr>
      <w:r w:rsidRPr="001B0952">
        <w:rPr>
          <w:rFonts w:asciiTheme="majorHAnsi" w:hAnsiTheme="majorHAnsi"/>
          <w:sz w:val="28"/>
          <w:szCs w:val="28"/>
        </w:rPr>
        <w:t>A credit card is a physical payment card that allows you to get credit from a financial institution. You can use the pre-approved limit to make purchases and repay the borrowed amount with an interest each month within your billing cycle.</w:t>
      </w:r>
    </w:p>
    <w:p w14:paraId="0489D6CE" w14:textId="55D5B74E"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Types of Credit Cards</w:t>
      </w:r>
    </w:p>
    <w:p w14:paraId="7059AD04" w14:textId="31816F23" w:rsidR="001B0952" w:rsidRPr="001B0952" w:rsidRDefault="001B0952" w:rsidP="001B0952">
      <w:pPr>
        <w:rPr>
          <w:rFonts w:asciiTheme="majorHAnsi" w:hAnsiTheme="majorHAnsi"/>
          <w:sz w:val="28"/>
          <w:szCs w:val="28"/>
        </w:rPr>
      </w:pPr>
      <w:r w:rsidRPr="001B0952">
        <w:rPr>
          <w:rFonts w:asciiTheme="majorHAnsi" w:hAnsiTheme="majorHAnsi"/>
          <w:b/>
          <w:bCs/>
          <w:sz w:val="28"/>
          <w:szCs w:val="28"/>
        </w:rPr>
        <w:t>Rewards Credit Cards</w:t>
      </w:r>
      <w:r>
        <w:rPr>
          <w:rFonts w:asciiTheme="majorHAnsi" w:hAnsiTheme="majorHAnsi"/>
          <w:sz w:val="28"/>
          <w:szCs w:val="28"/>
        </w:rPr>
        <w:t xml:space="preserve"> - </w:t>
      </w:r>
      <w:r w:rsidRPr="001B0952">
        <w:rPr>
          <w:rFonts w:asciiTheme="majorHAnsi" w:hAnsiTheme="majorHAnsi"/>
          <w:sz w:val="28"/>
          <w:szCs w:val="28"/>
        </w:rPr>
        <w:t>Offer incentives for purchases, such as:</w:t>
      </w:r>
    </w:p>
    <w:p w14:paraId="7F21B12D" w14:textId="72563786" w:rsidR="001B0952" w:rsidRPr="001B0952" w:rsidRDefault="001B0952" w:rsidP="001B0952">
      <w:pPr>
        <w:rPr>
          <w:rFonts w:asciiTheme="majorHAnsi" w:hAnsiTheme="majorHAnsi"/>
          <w:sz w:val="28"/>
          <w:szCs w:val="28"/>
        </w:rPr>
      </w:pPr>
      <w:r w:rsidRPr="001B0952">
        <w:rPr>
          <w:rFonts w:asciiTheme="majorHAnsi" w:hAnsiTheme="majorHAnsi"/>
          <w:sz w:val="28"/>
          <w:szCs w:val="28"/>
        </w:rPr>
        <w:t>Airline miles</w:t>
      </w:r>
      <w:r>
        <w:rPr>
          <w:rFonts w:asciiTheme="majorHAnsi" w:hAnsiTheme="majorHAnsi"/>
          <w:sz w:val="28"/>
          <w:szCs w:val="28"/>
        </w:rPr>
        <w:t xml:space="preserve">, </w:t>
      </w:r>
      <w:r w:rsidRPr="001B0952">
        <w:rPr>
          <w:rFonts w:asciiTheme="majorHAnsi" w:hAnsiTheme="majorHAnsi"/>
          <w:sz w:val="28"/>
          <w:szCs w:val="28"/>
        </w:rPr>
        <w:t>Hotel room rentals</w:t>
      </w:r>
      <w:r>
        <w:rPr>
          <w:rFonts w:asciiTheme="majorHAnsi" w:hAnsiTheme="majorHAnsi"/>
          <w:sz w:val="28"/>
          <w:szCs w:val="28"/>
        </w:rPr>
        <w:t xml:space="preserve">, </w:t>
      </w:r>
      <w:r w:rsidRPr="001B0952">
        <w:rPr>
          <w:rFonts w:asciiTheme="majorHAnsi" w:hAnsiTheme="majorHAnsi"/>
          <w:sz w:val="28"/>
          <w:szCs w:val="28"/>
        </w:rPr>
        <w:t>Gift certificates</w:t>
      </w:r>
      <w:r>
        <w:rPr>
          <w:rFonts w:asciiTheme="majorHAnsi" w:hAnsiTheme="majorHAnsi"/>
          <w:sz w:val="28"/>
          <w:szCs w:val="28"/>
        </w:rPr>
        <w:t xml:space="preserve">, </w:t>
      </w:r>
      <w:r w:rsidRPr="001B0952">
        <w:rPr>
          <w:rFonts w:asciiTheme="majorHAnsi" w:hAnsiTheme="majorHAnsi"/>
          <w:sz w:val="28"/>
          <w:szCs w:val="28"/>
        </w:rPr>
        <w:t>Cash back</w:t>
      </w:r>
    </w:p>
    <w:p w14:paraId="79F77BB2" w14:textId="51388C02" w:rsidR="001B0952" w:rsidRPr="001B0952" w:rsidRDefault="001B0952" w:rsidP="00C52978">
      <w:pPr>
        <w:rPr>
          <w:rFonts w:asciiTheme="majorHAnsi" w:hAnsiTheme="majorHAnsi"/>
          <w:sz w:val="28"/>
          <w:szCs w:val="28"/>
        </w:rPr>
      </w:pPr>
      <w:r w:rsidRPr="001B0952">
        <w:rPr>
          <w:rFonts w:asciiTheme="majorHAnsi" w:hAnsiTheme="majorHAnsi"/>
          <w:sz w:val="28"/>
          <w:szCs w:val="28"/>
        </w:rPr>
        <w:t>Examples:</w:t>
      </w:r>
      <w:r w:rsidR="00C52978">
        <w:rPr>
          <w:rFonts w:asciiTheme="majorHAnsi" w:hAnsiTheme="majorHAnsi"/>
          <w:sz w:val="28"/>
          <w:szCs w:val="28"/>
        </w:rPr>
        <w:t xml:space="preserve"> </w:t>
      </w:r>
      <w:r w:rsidRPr="001B0952">
        <w:rPr>
          <w:rFonts w:asciiTheme="majorHAnsi" w:hAnsiTheme="majorHAnsi"/>
          <w:sz w:val="28"/>
          <w:szCs w:val="28"/>
        </w:rPr>
        <w:t>Chase Sapphire Preferred</w:t>
      </w:r>
      <w:r w:rsidR="00C52978">
        <w:rPr>
          <w:rFonts w:asciiTheme="majorHAnsi" w:hAnsiTheme="majorHAnsi"/>
          <w:sz w:val="28"/>
          <w:szCs w:val="28"/>
        </w:rPr>
        <w:t xml:space="preserve">, </w:t>
      </w:r>
      <w:r w:rsidRPr="001B0952">
        <w:rPr>
          <w:rFonts w:asciiTheme="majorHAnsi" w:hAnsiTheme="majorHAnsi"/>
          <w:sz w:val="28"/>
          <w:szCs w:val="28"/>
        </w:rPr>
        <w:t>American Express Gold Card</w:t>
      </w:r>
      <w:r w:rsidR="00C52978">
        <w:rPr>
          <w:rFonts w:asciiTheme="majorHAnsi" w:hAnsiTheme="majorHAnsi"/>
          <w:sz w:val="28"/>
          <w:szCs w:val="28"/>
        </w:rPr>
        <w:t xml:space="preserve">, </w:t>
      </w:r>
      <w:r w:rsidRPr="001B0952">
        <w:rPr>
          <w:rFonts w:asciiTheme="majorHAnsi" w:hAnsiTheme="majorHAnsi"/>
          <w:sz w:val="28"/>
          <w:szCs w:val="28"/>
        </w:rPr>
        <w:t>Citi Double Cash Card</w:t>
      </w:r>
    </w:p>
    <w:p w14:paraId="26514D8F" w14:textId="77777777"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Store Credit Cards</w:t>
      </w:r>
    </w:p>
    <w:p w14:paraId="18191E06"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Issued by retailers and can only be used for purchases from the issuing retailer</w:t>
      </w:r>
    </w:p>
    <w:p w14:paraId="16A19311"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Offer discounts, promotions, and rewards specific to the retailer</w:t>
      </w:r>
    </w:p>
    <w:p w14:paraId="52440380" w14:textId="02AC2866" w:rsidR="001B0952" w:rsidRPr="001B0952" w:rsidRDefault="001B0952" w:rsidP="001B0952">
      <w:pPr>
        <w:rPr>
          <w:rFonts w:asciiTheme="majorHAnsi" w:hAnsiTheme="majorHAnsi"/>
          <w:sz w:val="28"/>
          <w:szCs w:val="28"/>
        </w:rPr>
      </w:pPr>
      <w:r w:rsidRPr="001B0952">
        <w:rPr>
          <w:rFonts w:asciiTheme="majorHAnsi" w:hAnsiTheme="majorHAnsi"/>
          <w:sz w:val="28"/>
          <w:szCs w:val="28"/>
        </w:rPr>
        <w:t>Examples:</w:t>
      </w:r>
      <w:r w:rsidR="00C52978">
        <w:rPr>
          <w:rFonts w:asciiTheme="majorHAnsi" w:hAnsiTheme="majorHAnsi"/>
          <w:sz w:val="28"/>
          <w:szCs w:val="28"/>
        </w:rPr>
        <w:t xml:space="preserve"> </w:t>
      </w:r>
      <w:r w:rsidRPr="001B0952">
        <w:rPr>
          <w:rFonts w:asciiTheme="majorHAnsi" w:hAnsiTheme="majorHAnsi"/>
          <w:sz w:val="28"/>
          <w:szCs w:val="28"/>
        </w:rPr>
        <w:t>Macy's Credit Card</w:t>
      </w:r>
      <w:r w:rsidR="00C52978">
        <w:rPr>
          <w:rFonts w:asciiTheme="majorHAnsi" w:hAnsiTheme="majorHAnsi"/>
          <w:sz w:val="28"/>
          <w:szCs w:val="28"/>
        </w:rPr>
        <w:t xml:space="preserve">, </w:t>
      </w:r>
      <w:r w:rsidRPr="001B0952">
        <w:rPr>
          <w:rFonts w:asciiTheme="majorHAnsi" w:hAnsiTheme="majorHAnsi"/>
          <w:sz w:val="28"/>
          <w:szCs w:val="28"/>
        </w:rPr>
        <w:t>Best Buy Credit Card</w:t>
      </w:r>
      <w:r w:rsidR="00C52978">
        <w:rPr>
          <w:rFonts w:asciiTheme="majorHAnsi" w:hAnsiTheme="majorHAnsi"/>
          <w:sz w:val="28"/>
          <w:szCs w:val="28"/>
        </w:rPr>
        <w:t xml:space="preserve">, </w:t>
      </w:r>
      <w:r w:rsidRPr="001B0952">
        <w:rPr>
          <w:rFonts w:asciiTheme="majorHAnsi" w:hAnsiTheme="majorHAnsi"/>
          <w:sz w:val="28"/>
          <w:szCs w:val="28"/>
        </w:rPr>
        <w:t>Amazon Prime Rewards Visa Signature Card</w:t>
      </w:r>
    </w:p>
    <w:p w14:paraId="1647142D" w14:textId="77777777"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Secured Credit Cards</w:t>
      </w:r>
    </w:p>
    <w:p w14:paraId="3FDDD18C"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Require a refundable security deposit, which becomes the credit limit</w:t>
      </w:r>
    </w:p>
    <w:p w14:paraId="3BBCC179"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Useful for building or rebuilding credit history</w:t>
      </w:r>
    </w:p>
    <w:p w14:paraId="12658169" w14:textId="60BDF2BA" w:rsidR="001B0952" w:rsidRPr="00C52978" w:rsidRDefault="001B0952" w:rsidP="001B0952">
      <w:pPr>
        <w:rPr>
          <w:rFonts w:asciiTheme="majorHAnsi" w:hAnsiTheme="majorHAnsi"/>
          <w:sz w:val="28"/>
          <w:szCs w:val="28"/>
        </w:rPr>
      </w:pPr>
      <w:r w:rsidRPr="001B0952">
        <w:rPr>
          <w:rFonts w:asciiTheme="majorHAnsi" w:hAnsiTheme="majorHAnsi"/>
          <w:sz w:val="28"/>
          <w:szCs w:val="28"/>
        </w:rPr>
        <w:t>Examples:</w:t>
      </w:r>
      <w:r w:rsidR="00C52978">
        <w:rPr>
          <w:rFonts w:asciiTheme="majorHAnsi" w:hAnsiTheme="majorHAnsi"/>
          <w:sz w:val="28"/>
          <w:szCs w:val="28"/>
        </w:rPr>
        <w:t xml:space="preserve"> </w:t>
      </w:r>
      <w:r w:rsidRPr="001B0952">
        <w:rPr>
          <w:rFonts w:asciiTheme="majorHAnsi" w:hAnsiTheme="majorHAnsi"/>
          <w:sz w:val="28"/>
          <w:szCs w:val="28"/>
        </w:rPr>
        <w:t>Discover It Secured Credit Card</w:t>
      </w:r>
      <w:r w:rsidR="00C52978">
        <w:rPr>
          <w:rFonts w:asciiTheme="majorHAnsi" w:hAnsiTheme="majorHAnsi"/>
          <w:sz w:val="28"/>
          <w:szCs w:val="28"/>
        </w:rPr>
        <w:t xml:space="preserve">, </w:t>
      </w:r>
      <w:r w:rsidRPr="001B0952">
        <w:rPr>
          <w:rFonts w:asciiTheme="majorHAnsi" w:hAnsiTheme="majorHAnsi"/>
          <w:sz w:val="28"/>
          <w:szCs w:val="28"/>
        </w:rPr>
        <w:t>Capital One Secured Mastercard</w:t>
      </w:r>
      <w:r w:rsidR="00C52978">
        <w:rPr>
          <w:rFonts w:asciiTheme="majorHAnsi" w:hAnsiTheme="majorHAnsi"/>
          <w:sz w:val="28"/>
          <w:szCs w:val="28"/>
        </w:rPr>
        <w:t xml:space="preserve">, </w:t>
      </w:r>
      <w:r w:rsidRPr="001B0952">
        <w:rPr>
          <w:rFonts w:asciiTheme="majorHAnsi" w:hAnsiTheme="majorHAnsi"/>
          <w:sz w:val="28"/>
          <w:szCs w:val="28"/>
        </w:rPr>
        <w:t>Wells Fargo Secured Credit Card</w:t>
      </w:r>
    </w:p>
    <w:p w14:paraId="0AD1F301" w14:textId="5B7AD5B6"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Balance Transfer Credit Cards</w:t>
      </w:r>
    </w:p>
    <w:p w14:paraId="33642244"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Offer a promotional 0% APR for a limited period on balances transferred from other credit cards</w:t>
      </w:r>
    </w:p>
    <w:p w14:paraId="58A1099A" w14:textId="77777777" w:rsidR="001B0952" w:rsidRDefault="001B0952" w:rsidP="001B0952">
      <w:pPr>
        <w:rPr>
          <w:rFonts w:asciiTheme="majorHAnsi" w:hAnsiTheme="majorHAnsi"/>
          <w:sz w:val="28"/>
          <w:szCs w:val="28"/>
        </w:rPr>
      </w:pPr>
      <w:r w:rsidRPr="001B0952">
        <w:rPr>
          <w:rFonts w:asciiTheme="majorHAnsi" w:hAnsiTheme="majorHAnsi"/>
          <w:sz w:val="28"/>
          <w:szCs w:val="28"/>
        </w:rPr>
        <w:t>Useful for consolidating debt and saving on interest charges</w:t>
      </w:r>
    </w:p>
    <w:p w14:paraId="41E81737" w14:textId="454214D8" w:rsidR="001B0952" w:rsidRPr="001B0952" w:rsidRDefault="001B0952" w:rsidP="001B0952">
      <w:pPr>
        <w:rPr>
          <w:rFonts w:asciiTheme="majorHAnsi" w:hAnsiTheme="majorHAnsi"/>
          <w:sz w:val="28"/>
          <w:szCs w:val="28"/>
        </w:rPr>
      </w:pPr>
      <w:r w:rsidRPr="001B0952">
        <w:rPr>
          <w:rFonts w:asciiTheme="majorHAnsi" w:hAnsiTheme="majorHAnsi"/>
          <w:sz w:val="28"/>
          <w:szCs w:val="28"/>
        </w:rPr>
        <w:t>Examples:</w:t>
      </w:r>
      <w:r w:rsidR="00C52978">
        <w:rPr>
          <w:rFonts w:asciiTheme="majorHAnsi" w:hAnsiTheme="majorHAnsi"/>
          <w:sz w:val="28"/>
          <w:szCs w:val="28"/>
        </w:rPr>
        <w:t xml:space="preserve"> </w:t>
      </w:r>
      <w:r w:rsidRPr="001B0952">
        <w:rPr>
          <w:rFonts w:asciiTheme="majorHAnsi" w:hAnsiTheme="majorHAnsi"/>
          <w:sz w:val="28"/>
          <w:szCs w:val="28"/>
        </w:rPr>
        <w:t>Chase Slate Edge</w:t>
      </w:r>
      <w:r w:rsidR="00C52978">
        <w:rPr>
          <w:rFonts w:asciiTheme="majorHAnsi" w:hAnsiTheme="majorHAnsi"/>
          <w:sz w:val="28"/>
          <w:szCs w:val="28"/>
        </w:rPr>
        <w:t xml:space="preserve">, </w:t>
      </w:r>
      <w:r w:rsidRPr="001B0952">
        <w:rPr>
          <w:rFonts w:asciiTheme="majorHAnsi" w:hAnsiTheme="majorHAnsi"/>
          <w:sz w:val="28"/>
          <w:szCs w:val="28"/>
        </w:rPr>
        <w:t>Citi Double Cash Card</w:t>
      </w:r>
      <w:r w:rsidR="00C52978">
        <w:rPr>
          <w:rFonts w:asciiTheme="majorHAnsi" w:hAnsiTheme="majorHAnsi"/>
          <w:sz w:val="28"/>
          <w:szCs w:val="28"/>
        </w:rPr>
        <w:t xml:space="preserve">, </w:t>
      </w:r>
      <w:r w:rsidRPr="001B0952">
        <w:rPr>
          <w:rFonts w:asciiTheme="majorHAnsi" w:hAnsiTheme="majorHAnsi"/>
          <w:sz w:val="28"/>
          <w:szCs w:val="28"/>
        </w:rPr>
        <w:t>Wells Fargo Active Cash Card</w:t>
      </w:r>
    </w:p>
    <w:p w14:paraId="7FCF79EF" w14:textId="77777777"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Student Credit Cards</w:t>
      </w:r>
    </w:p>
    <w:p w14:paraId="5585C7AD"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Designed for college students with limited or no credit history</w:t>
      </w:r>
    </w:p>
    <w:p w14:paraId="084A0973" w14:textId="77777777" w:rsidR="001B0952" w:rsidRPr="001B0952" w:rsidRDefault="001B0952" w:rsidP="001B0952">
      <w:pPr>
        <w:rPr>
          <w:rFonts w:asciiTheme="majorHAnsi" w:hAnsiTheme="majorHAnsi"/>
          <w:sz w:val="28"/>
          <w:szCs w:val="28"/>
        </w:rPr>
      </w:pPr>
      <w:r w:rsidRPr="001B0952">
        <w:rPr>
          <w:rFonts w:asciiTheme="majorHAnsi" w:hAnsiTheme="majorHAnsi"/>
          <w:sz w:val="28"/>
          <w:szCs w:val="28"/>
        </w:rPr>
        <w:t>Offer rewards and features tailored to student needs</w:t>
      </w:r>
    </w:p>
    <w:p w14:paraId="66CE04CB" w14:textId="406636B3" w:rsidR="001B0952" w:rsidRDefault="00C52978" w:rsidP="001B0952">
      <w:pPr>
        <w:rPr>
          <w:rFonts w:asciiTheme="majorHAnsi" w:hAnsiTheme="majorHAnsi"/>
          <w:sz w:val="28"/>
          <w:szCs w:val="28"/>
        </w:rPr>
      </w:pPr>
      <w:r w:rsidRPr="001B0952">
        <w:rPr>
          <w:rFonts w:asciiTheme="majorHAnsi" w:hAnsiTheme="majorHAnsi"/>
          <w:sz w:val="28"/>
          <w:szCs w:val="28"/>
        </w:rPr>
        <w:lastRenderedPageBreak/>
        <w:t>Examples: Discover</w:t>
      </w:r>
      <w:r w:rsidR="001B0952" w:rsidRPr="001B0952">
        <w:rPr>
          <w:rFonts w:asciiTheme="majorHAnsi" w:hAnsiTheme="majorHAnsi"/>
          <w:sz w:val="28"/>
          <w:szCs w:val="28"/>
        </w:rPr>
        <w:t xml:space="preserve"> It Student Cash </w:t>
      </w:r>
      <w:r w:rsidRPr="001B0952">
        <w:rPr>
          <w:rFonts w:asciiTheme="majorHAnsi" w:hAnsiTheme="majorHAnsi"/>
          <w:sz w:val="28"/>
          <w:szCs w:val="28"/>
        </w:rPr>
        <w:t>Back</w:t>
      </w:r>
      <w:r>
        <w:rPr>
          <w:rFonts w:asciiTheme="majorHAnsi" w:hAnsiTheme="majorHAnsi"/>
          <w:sz w:val="28"/>
          <w:szCs w:val="28"/>
        </w:rPr>
        <w:t>,</w:t>
      </w:r>
      <w:r w:rsidRPr="001B0952">
        <w:rPr>
          <w:rFonts w:asciiTheme="majorHAnsi" w:hAnsiTheme="majorHAnsi"/>
          <w:sz w:val="28"/>
          <w:szCs w:val="28"/>
        </w:rPr>
        <w:t xml:space="preserve"> Bank</w:t>
      </w:r>
      <w:r w:rsidR="001B0952" w:rsidRPr="001B0952">
        <w:rPr>
          <w:rFonts w:asciiTheme="majorHAnsi" w:hAnsiTheme="majorHAnsi"/>
          <w:sz w:val="28"/>
          <w:szCs w:val="28"/>
        </w:rPr>
        <w:t xml:space="preserve"> of America Cash Rewards </w:t>
      </w:r>
      <w:r w:rsidRPr="001B0952">
        <w:rPr>
          <w:rFonts w:asciiTheme="majorHAnsi" w:hAnsiTheme="majorHAnsi"/>
          <w:sz w:val="28"/>
          <w:szCs w:val="28"/>
        </w:rPr>
        <w:t>Credit</w:t>
      </w:r>
      <w:r>
        <w:rPr>
          <w:rFonts w:asciiTheme="majorHAnsi" w:hAnsiTheme="majorHAnsi"/>
          <w:sz w:val="28"/>
          <w:szCs w:val="28"/>
        </w:rPr>
        <w:t>,</w:t>
      </w:r>
      <w:r w:rsidRPr="001B0952">
        <w:rPr>
          <w:rFonts w:asciiTheme="majorHAnsi" w:hAnsiTheme="majorHAnsi"/>
          <w:sz w:val="28"/>
          <w:szCs w:val="28"/>
        </w:rPr>
        <w:t xml:space="preserve"> Card</w:t>
      </w:r>
      <w:r w:rsidR="001B0952" w:rsidRPr="001B0952">
        <w:rPr>
          <w:rFonts w:asciiTheme="majorHAnsi" w:hAnsiTheme="majorHAnsi"/>
          <w:sz w:val="28"/>
          <w:szCs w:val="28"/>
        </w:rPr>
        <w:t xml:space="preserve"> for Students</w:t>
      </w:r>
      <w:r>
        <w:rPr>
          <w:rFonts w:asciiTheme="majorHAnsi" w:hAnsiTheme="majorHAnsi"/>
          <w:sz w:val="28"/>
          <w:szCs w:val="28"/>
        </w:rPr>
        <w:t xml:space="preserve">, </w:t>
      </w:r>
      <w:r w:rsidR="001B0952" w:rsidRPr="001B0952">
        <w:rPr>
          <w:rFonts w:asciiTheme="majorHAnsi" w:hAnsiTheme="majorHAnsi"/>
          <w:sz w:val="28"/>
          <w:szCs w:val="28"/>
        </w:rPr>
        <w:t>Wells Fargo Active Cash℠ Card for Students</w:t>
      </w:r>
    </w:p>
    <w:p w14:paraId="58D3D302" w14:textId="395480BA" w:rsidR="001B0952" w:rsidRPr="001B0952" w:rsidRDefault="001B0952" w:rsidP="001B0952">
      <w:pPr>
        <w:rPr>
          <w:rFonts w:asciiTheme="majorHAnsi" w:hAnsiTheme="majorHAnsi"/>
          <w:b/>
          <w:bCs/>
          <w:sz w:val="36"/>
          <w:szCs w:val="36"/>
        </w:rPr>
      </w:pPr>
      <w:r>
        <w:rPr>
          <w:rFonts w:asciiTheme="majorHAnsi" w:hAnsiTheme="majorHAnsi"/>
          <w:b/>
          <w:bCs/>
          <w:sz w:val="36"/>
          <w:szCs w:val="36"/>
        </w:rPr>
        <w:t>Comparison of</w:t>
      </w:r>
      <w:r w:rsidRPr="001B0952">
        <w:rPr>
          <w:rFonts w:asciiTheme="majorHAnsi" w:hAnsiTheme="majorHAnsi"/>
          <w:b/>
          <w:bCs/>
          <w:sz w:val="36"/>
          <w:szCs w:val="36"/>
        </w:rPr>
        <w:t xml:space="preserve"> some popular credit cards in the US:</w:t>
      </w:r>
    </w:p>
    <w:tbl>
      <w:tblPr>
        <w:tblStyle w:val="GridTable4"/>
        <w:tblW w:w="10120" w:type="dxa"/>
        <w:tblLook w:val="04A0" w:firstRow="1" w:lastRow="0" w:firstColumn="1" w:lastColumn="0" w:noHBand="0" w:noVBand="1"/>
      </w:tblPr>
      <w:tblGrid>
        <w:gridCol w:w="2119"/>
        <w:gridCol w:w="1354"/>
        <w:gridCol w:w="1469"/>
        <w:gridCol w:w="3543"/>
        <w:gridCol w:w="1635"/>
      </w:tblGrid>
      <w:tr w:rsidR="001B0952" w:rsidRPr="001B0952" w14:paraId="05CCAA80" w14:textId="77777777" w:rsidTr="001B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5FC352" w14:textId="77777777" w:rsidR="001B0952" w:rsidRPr="001B0952" w:rsidRDefault="001B0952" w:rsidP="001B0952">
            <w:pPr>
              <w:spacing w:before="240" w:after="240"/>
              <w:jc w:val="center"/>
              <w:rPr>
                <w:rFonts w:ascii="Segoe UI" w:eastAsia="Times New Roman" w:hAnsi="Segoe UI" w:cs="Segoe UI"/>
                <w:kern w:val="0"/>
                <w:sz w:val="24"/>
                <w:szCs w:val="24"/>
                <w:lang w:eastAsia="en-IN"/>
                <w14:ligatures w14:val="none"/>
              </w:rPr>
            </w:pPr>
            <w:r w:rsidRPr="001B0952">
              <w:rPr>
                <w:rFonts w:ascii="Segoe UI" w:eastAsia="Times New Roman" w:hAnsi="Segoe UI" w:cs="Segoe UI"/>
                <w:kern w:val="0"/>
                <w:sz w:val="24"/>
                <w:szCs w:val="24"/>
                <w:lang w:eastAsia="en-IN"/>
                <w14:ligatures w14:val="none"/>
              </w:rPr>
              <w:t>Card Name</w:t>
            </w:r>
          </w:p>
        </w:tc>
        <w:tc>
          <w:tcPr>
            <w:tcW w:w="0" w:type="auto"/>
            <w:noWrap/>
            <w:hideMark/>
          </w:tcPr>
          <w:p w14:paraId="43D4EF50" w14:textId="77777777" w:rsidR="001B0952" w:rsidRPr="001B0952" w:rsidRDefault="001B0952" w:rsidP="001B095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1B0952">
              <w:rPr>
                <w:rFonts w:ascii="Segoe UI" w:eastAsia="Times New Roman" w:hAnsi="Segoe UI" w:cs="Segoe UI"/>
                <w:kern w:val="0"/>
                <w:sz w:val="24"/>
                <w:szCs w:val="24"/>
                <w:lang w:eastAsia="en-IN"/>
                <w14:ligatures w14:val="none"/>
              </w:rPr>
              <w:t>Card Type</w:t>
            </w:r>
          </w:p>
        </w:tc>
        <w:tc>
          <w:tcPr>
            <w:tcW w:w="0" w:type="auto"/>
            <w:noWrap/>
            <w:hideMark/>
          </w:tcPr>
          <w:p w14:paraId="5AEDB7B0" w14:textId="77777777" w:rsidR="001B0952" w:rsidRPr="001B0952" w:rsidRDefault="001B0952" w:rsidP="001B095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1B0952">
              <w:rPr>
                <w:rFonts w:ascii="Segoe UI" w:eastAsia="Times New Roman" w:hAnsi="Segoe UI" w:cs="Segoe UI"/>
                <w:kern w:val="0"/>
                <w:sz w:val="24"/>
                <w:szCs w:val="24"/>
                <w:lang w:eastAsia="en-IN"/>
                <w14:ligatures w14:val="none"/>
              </w:rPr>
              <w:t>Annual Fee</w:t>
            </w:r>
          </w:p>
        </w:tc>
        <w:tc>
          <w:tcPr>
            <w:tcW w:w="0" w:type="auto"/>
            <w:noWrap/>
            <w:hideMark/>
          </w:tcPr>
          <w:p w14:paraId="6CACBCCB" w14:textId="77777777" w:rsidR="001B0952" w:rsidRPr="001B0952" w:rsidRDefault="001B0952" w:rsidP="001B095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1B0952">
              <w:rPr>
                <w:rFonts w:ascii="Segoe UI" w:eastAsia="Times New Roman" w:hAnsi="Segoe UI" w:cs="Segoe UI"/>
                <w:kern w:val="0"/>
                <w:sz w:val="24"/>
                <w:szCs w:val="24"/>
                <w:lang w:eastAsia="en-IN"/>
                <w14:ligatures w14:val="none"/>
              </w:rPr>
              <w:t>Rewards</w:t>
            </w:r>
          </w:p>
        </w:tc>
        <w:tc>
          <w:tcPr>
            <w:tcW w:w="0" w:type="auto"/>
            <w:noWrap/>
            <w:hideMark/>
          </w:tcPr>
          <w:p w14:paraId="39D39A21" w14:textId="77777777" w:rsidR="001B0952" w:rsidRPr="001B0952" w:rsidRDefault="001B0952" w:rsidP="001B095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1B0952">
              <w:rPr>
                <w:rFonts w:ascii="Segoe UI" w:eastAsia="Times New Roman" w:hAnsi="Segoe UI" w:cs="Segoe UI"/>
                <w:kern w:val="0"/>
                <w:sz w:val="24"/>
                <w:szCs w:val="24"/>
                <w:lang w:eastAsia="en-IN"/>
                <w14:ligatures w14:val="none"/>
              </w:rPr>
              <w:t>APR Range</w:t>
            </w:r>
          </w:p>
        </w:tc>
      </w:tr>
      <w:tr w:rsidR="001B0952" w:rsidRPr="001B0952" w14:paraId="1B4B09F9" w14:textId="77777777" w:rsidTr="001B0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5A10E"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Chase Sapphire Preferred</w:t>
            </w:r>
          </w:p>
        </w:tc>
        <w:tc>
          <w:tcPr>
            <w:tcW w:w="0" w:type="auto"/>
            <w:hideMark/>
          </w:tcPr>
          <w:p w14:paraId="2DF0648A"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Rewards</w:t>
            </w:r>
          </w:p>
        </w:tc>
        <w:tc>
          <w:tcPr>
            <w:tcW w:w="0" w:type="auto"/>
            <w:hideMark/>
          </w:tcPr>
          <w:p w14:paraId="7A4DBC6C"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$95</w:t>
            </w:r>
          </w:p>
        </w:tc>
        <w:tc>
          <w:tcPr>
            <w:tcW w:w="0" w:type="auto"/>
            <w:hideMark/>
          </w:tcPr>
          <w:p w14:paraId="13428794"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2X points on travel and dining, 1X on other purchases</w:t>
            </w:r>
          </w:p>
        </w:tc>
        <w:tc>
          <w:tcPr>
            <w:tcW w:w="0" w:type="auto"/>
            <w:hideMark/>
          </w:tcPr>
          <w:p w14:paraId="7A57F47B"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16.24% - 23.24% Variable</w:t>
            </w:r>
          </w:p>
        </w:tc>
      </w:tr>
      <w:tr w:rsidR="001B0952" w:rsidRPr="001B0952" w14:paraId="411067ED" w14:textId="77777777" w:rsidTr="001B0952">
        <w:tc>
          <w:tcPr>
            <w:cnfStyle w:val="001000000000" w:firstRow="0" w:lastRow="0" w:firstColumn="1" w:lastColumn="0" w:oddVBand="0" w:evenVBand="0" w:oddHBand="0" w:evenHBand="0" w:firstRowFirstColumn="0" w:firstRowLastColumn="0" w:lastRowFirstColumn="0" w:lastRowLastColumn="0"/>
            <w:tcW w:w="0" w:type="auto"/>
            <w:hideMark/>
          </w:tcPr>
          <w:p w14:paraId="28CA4F87"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American Express Gold Card</w:t>
            </w:r>
          </w:p>
        </w:tc>
        <w:tc>
          <w:tcPr>
            <w:tcW w:w="0" w:type="auto"/>
            <w:hideMark/>
          </w:tcPr>
          <w:p w14:paraId="7459BF1D"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Rewards</w:t>
            </w:r>
          </w:p>
        </w:tc>
        <w:tc>
          <w:tcPr>
            <w:tcW w:w="0" w:type="auto"/>
            <w:hideMark/>
          </w:tcPr>
          <w:p w14:paraId="3205A9E8"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$250</w:t>
            </w:r>
          </w:p>
        </w:tc>
        <w:tc>
          <w:tcPr>
            <w:tcW w:w="0" w:type="auto"/>
            <w:hideMark/>
          </w:tcPr>
          <w:p w14:paraId="1E53F230"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4X points at restaurants and at U.S. supermarkets, 3X points on flights booked directly with airlines or on amextravel.com</w:t>
            </w:r>
          </w:p>
        </w:tc>
        <w:tc>
          <w:tcPr>
            <w:tcW w:w="0" w:type="auto"/>
            <w:hideMark/>
          </w:tcPr>
          <w:p w14:paraId="157EEB2A"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16.24% - 23.24% Variable</w:t>
            </w:r>
          </w:p>
        </w:tc>
      </w:tr>
      <w:tr w:rsidR="001B0952" w:rsidRPr="001B0952" w14:paraId="3847049D" w14:textId="77777777" w:rsidTr="001B0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FB562"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Citi Double Cash Card</w:t>
            </w:r>
          </w:p>
        </w:tc>
        <w:tc>
          <w:tcPr>
            <w:tcW w:w="0" w:type="auto"/>
            <w:hideMark/>
          </w:tcPr>
          <w:p w14:paraId="318E329D"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37388BD9"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0F59E35E"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2% cash back (1% when you buy, 1% when you pay)</w:t>
            </w:r>
          </w:p>
        </w:tc>
        <w:tc>
          <w:tcPr>
            <w:tcW w:w="0" w:type="auto"/>
            <w:hideMark/>
          </w:tcPr>
          <w:p w14:paraId="06745755"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13.99% - 23.99% Variable</w:t>
            </w:r>
          </w:p>
        </w:tc>
      </w:tr>
      <w:tr w:rsidR="001B0952" w:rsidRPr="001B0952" w14:paraId="65855A29" w14:textId="77777777" w:rsidTr="001B0952">
        <w:tc>
          <w:tcPr>
            <w:cnfStyle w:val="001000000000" w:firstRow="0" w:lastRow="0" w:firstColumn="1" w:lastColumn="0" w:oddVBand="0" w:evenVBand="0" w:oddHBand="0" w:evenHBand="0" w:firstRowFirstColumn="0" w:firstRowLastColumn="0" w:lastRowFirstColumn="0" w:lastRowLastColumn="0"/>
            <w:tcW w:w="0" w:type="auto"/>
            <w:hideMark/>
          </w:tcPr>
          <w:p w14:paraId="1788BF5F"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Discover It Cash Back</w:t>
            </w:r>
          </w:p>
        </w:tc>
        <w:tc>
          <w:tcPr>
            <w:tcW w:w="0" w:type="auto"/>
            <w:hideMark/>
          </w:tcPr>
          <w:p w14:paraId="74226C29"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679C5A20"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743A79EE"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5% cash back in rotating quarterly categories, 1% on other purchases</w:t>
            </w:r>
          </w:p>
        </w:tc>
        <w:tc>
          <w:tcPr>
            <w:tcW w:w="0" w:type="auto"/>
            <w:hideMark/>
          </w:tcPr>
          <w:p w14:paraId="0264866B"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11.99% - 22.99% Variable</w:t>
            </w:r>
          </w:p>
        </w:tc>
      </w:tr>
      <w:tr w:rsidR="001B0952" w:rsidRPr="001B0952" w14:paraId="41DFDFDB" w14:textId="77777777" w:rsidTr="001B0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0C5F1"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 xml:space="preserve">Capital One </w:t>
            </w:r>
            <w:proofErr w:type="spellStart"/>
            <w:r w:rsidRPr="001B0952">
              <w:rPr>
                <w:rFonts w:ascii="Segoe UI" w:eastAsia="Times New Roman" w:hAnsi="Segoe UI" w:cs="Segoe UI"/>
                <w:color w:val="13343B"/>
                <w:kern w:val="0"/>
                <w:sz w:val="21"/>
                <w:szCs w:val="21"/>
                <w:lang w:eastAsia="en-IN"/>
                <w14:ligatures w14:val="none"/>
              </w:rPr>
              <w:t>SavorOne</w:t>
            </w:r>
            <w:proofErr w:type="spellEnd"/>
            <w:r w:rsidRPr="001B0952">
              <w:rPr>
                <w:rFonts w:ascii="Segoe UI" w:eastAsia="Times New Roman" w:hAnsi="Segoe UI" w:cs="Segoe UI"/>
                <w:color w:val="13343B"/>
                <w:kern w:val="0"/>
                <w:sz w:val="21"/>
                <w:szCs w:val="21"/>
                <w:lang w:eastAsia="en-IN"/>
                <w14:ligatures w14:val="none"/>
              </w:rPr>
              <w:t xml:space="preserve"> Cash Rewards Credit Card</w:t>
            </w:r>
          </w:p>
        </w:tc>
        <w:tc>
          <w:tcPr>
            <w:tcW w:w="0" w:type="auto"/>
            <w:hideMark/>
          </w:tcPr>
          <w:p w14:paraId="15168060"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1B47A3D7"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26653517"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3% cash back on dining and entertainment, 2% at grocery stores, 1% on other purchases</w:t>
            </w:r>
          </w:p>
        </w:tc>
        <w:tc>
          <w:tcPr>
            <w:tcW w:w="0" w:type="auto"/>
            <w:hideMark/>
          </w:tcPr>
          <w:p w14:paraId="13B27FDC"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15.24% - 25.24% Variable</w:t>
            </w:r>
          </w:p>
        </w:tc>
      </w:tr>
      <w:tr w:rsidR="001B0952" w:rsidRPr="001B0952" w14:paraId="7B41F431" w14:textId="77777777" w:rsidTr="001B0952">
        <w:tc>
          <w:tcPr>
            <w:cnfStyle w:val="001000000000" w:firstRow="0" w:lastRow="0" w:firstColumn="1" w:lastColumn="0" w:oddVBand="0" w:evenVBand="0" w:oddHBand="0" w:evenHBand="0" w:firstRowFirstColumn="0" w:firstRowLastColumn="0" w:lastRowFirstColumn="0" w:lastRowLastColumn="0"/>
            <w:tcW w:w="0" w:type="auto"/>
            <w:hideMark/>
          </w:tcPr>
          <w:p w14:paraId="449BB298"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Wells Fargo Active Cash Card</w:t>
            </w:r>
          </w:p>
        </w:tc>
        <w:tc>
          <w:tcPr>
            <w:tcW w:w="0" w:type="auto"/>
            <w:hideMark/>
          </w:tcPr>
          <w:p w14:paraId="241F497C"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5F52F2D6"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0C3ADEF3"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2% cash rewards on purchases</w:t>
            </w:r>
          </w:p>
        </w:tc>
        <w:tc>
          <w:tcPr>
            <w:tcW w:w="0" w:type="auto"/>
            <w:hideMark/>
          </w:tcPr>
          <w:p w14:paraId="4987D6A2"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14.99% - 24.99% Variable</w:t>
            </w:r>
          </w:p>
        </w:tc>
      </w:tr>
      <w:tr w:rsidR="001B0952" w:rsidRPr="001B0952" w14:paraId="7B0ADB3A" w14:textId="77777777" w:rsidTr="001B0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1F8DC"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Bank of America Customized Cash Rewards Credit Card</w:t>
            </w:r>
          </w:p>
        </w:tc>
        <w:tc>
          <w:tcPr>
            <w:tcW w:w="0" w:type="auto"/>
            <w:hideMark/>
          </w:tcPr>
          <w:p w14:paraId="79F4C98A"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3EE4A71F"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64EC30FE"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3% back in a category you choose, 2% at grocery stores and wholesale clubs, 1% on other purchases</w:t>
            </w:r>
          </w:p>
        </w:tc>
        <w:tc>
          <w:tcPr>
            <w:tcW w:w="0" w:type="auto"/>
            <w:hideMark/>
          </w:tcPr>
          <w:p w14:paraId="54206D38"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13.99% - 23.99% Variable</w:t>
            </w:r>
          </w:p>
        </w:tc>
      </w:tr>
      <w:tr w:rsidR="001B0952" w:rsidRPr="001B0952" w14:paraId="3486A40C" w14:textId="77777777" w:rsidTr="001B0952">
        <w:tc>
          <w:tcPr>
            <w:cnfStyle w:val="001000000000" w:firstRow="0" w:lastRow="0" w:firstColumn="1" w:lastColumn="0" w:oddVBand="0" w:evenVBand="0" w:oddHBand="0" w:evenHBand="0" w:firstRowFirstColumn="0" w:firstRowLastColumn="0" w:lastRowFirstColumn="0" w:lastRowLastColumn="0"/>
            <w:tcW w:w="0" w:type="auto"/>
            <w:hideMark/>
          </w:tcPr>
          <w:p w14:paraId="6A8930C3"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 xml:space="preserve">Capital One Quicksilver Cash </w:t>
            </w:r>
            <w:r w:rsidRPr="001B0952">
              <w:rPr>
                <w:rFonts w:ascii="Segoe UI" w:eastAsia="Times New Roman" w:hAnsi="Segoe UI" w:cs="Segoe UI"/>
                <w:color w:val="13343B"/>
                <w:kern w:val="0"/>
                <w:sz w:val="21"/>
                <w:szCs w:val="21"/>
                <w:lang w:eastAsia="en-IN"/>
                <w14:ligatures w14:val="none"/>
              </w:rPr>
              <w:lastRenderedPageBreak/>
              <w:t>Rewards Credit Card</w:t>
            </w:r>
          </w:p>
        </w:tc>
        <w:tc>
          <w:tcPr>
            <w:tcW w:w="0" w:type="auto"/>
            <w:hideMark/>
          </w:tcPr>
          <w:p w14:paraId="2C2089E0"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lastRenderedPageBreak/>
              <w:t>Cash Back</w:t>
            </w:r>
          </w:p>
        </w:tc>
        <w:tc>
          <w:tcPr>
            <w:tcW w:w="0" w:type="auto"/>
            <w:hideMark/>
          </w:tcPr>
          <w:p w14:paraId="77561277"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3C0F52FF"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1.5% cash back on every purchase</w:t>
            </w:r>
          </w:p>
        </w:tc>
        <w:tc>
          <w:tcPr>
            <w:tcW w:w="0" w:type="auto"/>
            <w:hideMark/>
          </w:tcPr>
          <w:p w14:paraId="32EFCC8A"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15.24% - 25.24% Variable</w:t>
            </w:r>
          </w:p>
        </w:tc>
      </w:tr>
      <w:tr w:rsidR="001B0952" w:rsidRPr="001B0952" w14:paraId="49A51BB7" w14:textId="77777777" w:rsidTr="001B0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03900"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 xml:space="preserve">Amex </w:t>
            </w:r>
            <w:proofErr w:type="spellStart"/>
            <w:r w:rsidRPr="001B0952">
              <w:rPr>
                <w:rFonts w:ascii="Segoe UI" w:eastAsia="Times New Roman" w:hAnsi="Segoe UI" w:cs="Segoe UI"/>
                <w:color w:val="13343B"/>
                <w:kern w:val="0"/>
                <w:sz w:val="21"/>
                <w:szCs w:val="21"/>
                <w:lang w:eastAsia="en-IN"/>
                <w14:ligatures w14:val="none"/>
              </w:rPr>
              <w:t>EveryDay</w:t>
            </w:r>
            <w:proofErr w:type="spellEnd"/>
            <w:r w:rsidRPr="001B0952">
              <w:rPr>
                <w:rFonts w:ascii="Segoe UI" w:eastAsia="Times New Roman" w:hAnsi="Segoe UI" w:cs="Segoe UI"/>
                <w:color w:val="13343B"/>
                <w:kern w:val="0"/>
                <w:sz w:val="21"/>
                <w:szCs w:val="21"/>
                <w:lang w:eastAsia="en-IN"/>
                <w14:ligatures w14:val="none"/>
              </w:rPr>
              <w:t xml:space="preserve"> Credit Card</w:t>
            </w:r>
          </w:p>
        </w:tc>
        <w:tc>
          <w:tcPr>
            <w:tcW w:w="0" w:type="auto"/>
            <w:hideMark/>
          </w:tcPr>
          <w:p w14:paraId="1CA78A45"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Rewards</w:t>
            </w:r>
          </w:p>
        </w:tc>
        <w:tc>
          <w:tcPr>
            <w:tcW w:w="0" w:type="auto"/>
            <w:hideMark/>
          </w:tcPr>
          <w:p w14:paraId="627047AA"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087A335B"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2X points at U.S. supermarkets, 1X on other purchases. 20% more points when you use your card 20 or more times on purchases in a billing period.</w:t>
            </w:r>
          </w:p>
        </w:tc>
        <w:tc>
          <w:tcPr>
            <w:tcW w:w="0" w:type="auto"/>
            <w:hideMark/>
          </w:tcPr>
          <w:p w14:paraId="5310E16E" w14:textId="77777777" w:rsidR="001B0952" w:rsidRPr="001B0952" w:rsidRDefault="001B0952" w:rsidP="001B095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13.99% - 23.99% Variable</w:t>
            </w:r>
          </w:p>
        </w:tc>
      </w:tr>
      <w:tr w:rsidR="001B0952" w:rsidRPr="001B0952" w14:paraId="535EC0A5" w14:textId="77777777" w:rsidTr="001B0952">
        <w:tc>
          <w:tcPr>
            <w:cnfStyle w:val="001000000000" w:firstRow="0" w:lastRow="0" w:firstColumn="1" w:lastColumn="0" w:oddVBand="0" w:evenVBand="0" w:oddHBand="0" w:evenHBand="0" w:firstRowFirstColumn="0" w:firstRowLastColumn="0" w:lastRowFirstColumn="0" w:lastRowLastColumn="0"/>
            <w:tcW w:w="0" w:type="auto"/>
            <w:hideMark/>
          </w:tcPr>
          <w:p w14:paraId="5E2524C1" w14:textId="77777777" w:rsidR="001B0952" w:rsidRPr="001B0952" w:rsidRDefault="001B0952" w:rsidP="001B0952">
            <w:pPr>
              <w:spacing w:before="240" w:after="24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Chase Freedom Unlimited</w:t>
            </w:r>
          </w:p>
        </w:tc>
        <w:tc>
          <w:tcPr>
            <w:tcW w:w="0" w:type="auto"/>
            <w:hideMark/>
          </w:tcPr>
          <w:p w14:paraId="51FFE1D2"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Cash Back</w:t>
            </w:r>
          </w:p>
        </w:tc>
        <w:tc>
          <w:tcPr>
            <w:tcW w:w="0" w:type="auto"/>
            <w:hideMark/>
          </w:tcPr>
          <w:p w14:paraId="608709BB"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$0</w:t>
            </w:r>
          </w:p>
        </w:tc>
        <w:tc>
          <w:tcPr>
            <w:tcW w:w="0" w:type="auto"/>
            <w:hideMark/>
          </w:tcPr>
          <w:p w14:paraId="378D3FF9"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1.5% cash back on every purchase</w:t>
            </w:r>
          </w:p>
        </w:tc>
        <w:tc>
          <w:tcPr>
            <w:tcW w:w="0" w:type="auto"/>
            <w:hideMark/>
          </w:tcPr>
          <w:p w14:paraId="40DC02A8" w14:textId="77777777" w:rsidR="001B0952" w:rsidRPr="001B0952" w:rsidRDefault="001B0952" w:rsidP="001B095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1B0952">
              <w:rPr>
                <w:rFonts w:ascii="Segoe UI" w:eastAsia="Times New Roman" w:hAnsi="Segoe UI" w:cs="Segoe UI"/>
                <w:color w:val="13343B"/>
                <w:kern w:val="0"/>
                <w:sz w:val="21"/>
                <w:szCs w:val="21"/>
                <w:lang w:eastAsia="en-IN"/>
                <w14:ligatures w14:val="none"/>
              </w:rPr>
              <w:t>14.99% - 23.74% Variable</w:t>
            </w:r>
          </w:p>
        </w:tc>
      </w:tr>
    </w:tbl>
    <w:p w14:paraId="4607C72F" w14:textId="77777777" w:rsidR="001B0952" w:rsidRPr="001B0952" w:rsidRDefault="001B0952" w:rsidP="001B0952">
      <w:pPr>
        <w:rPr>
          <w:rFonts w:asciiTheme="majorHAnsi" w:hAnsiTheme="majorHAnsi"/>
          <w:sz w:val="28"/>
          <w:szCs w:val="28"/>
        </w:rPr>
      </w:pPr>
    </w:p>
    <w:p w14:paraId="089AD53D" w14:textId="77777777" w:rsidR="001B0952" w:rsidRPr="001B0952" w:rsidRDefault="001B0952" w:rsidP="001B0952">
      <w:pPr>
        <w:rPr>
          <w:rFonts w:asciiTheme="majorHAnsi" w:hAnsiTheme="majorHAnsi"/>
          <w:b/>
          <w:bCs/>
          <w:sz w:val="28"/>
          <w:szCs w:val="28"/>
        </w:rPr>
      </w:pPr>
      <w:r w:rsidRPr="001B0952">
        <w:rPr>
          <w:rFonts w:asciiTheme="majorHAnsi" w:hAnsiTheme="majorHAnsi"/>
          <w:b/>
          <w:bCs/>
          <w:sz w:val="28"/>
          <w:szCs w:val="28"/>
        </w:rPr>
        <w:t>Credit Card Features and Terms</w:t>
      </w:r>
    </w:p>
    <w:p w14:paraId="36F33172"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Annual Percentage Rate (APR)</w:t>
      </w:r>
    </w:p>
    <w:p w14:paraId="2ABCA34E" w14:textId="77777777" w:rsidR="001B0952" w:rsidRPr="001B0952" w:rsidRDefault="001B0952" w:rsidP="00C52978">
      <w:pPr>
        <w:ind w:left="1080"/>
        <w:rPr>
          <w:rFonts w:asciiTheme="majorHAnsi" w:hAnsiTheme="majorHAnsi"/>
          <w:sz w:val="28"/>
          <w:szCs w:val="28"/>
        </w:rPr>
      </w:pPr>
      <w:r w:rsidRPr="001B0952">
        <w:rPr>
          <w:rFonts w:asciiTheme="majorHAnsi" w:hAnsiTheme="majorHAnsi"/>
          <w:sz w:val="28"/>
          <w:szCs w:val="28"/>
        </w:rPr>
        <w:t>The interest rate charged on unpaid balances</w:t>
      </w:r>
    </w:p>
    <w:p w14:paraId="21D1A65A" w14:textId="77777777" w:rsidR="001B0952" w:rsidRPr="001B0952" w:rsidRDefault="001B0952" w:rsidP="00C52978">
      <w:pPr>
        <w:ind w:left="1080"/>
        <w:rPr>
          <w:rFonts w:asciiTheme="majorHAnsi" w:hAnsiTheme="majorHAnsi"/>
          <w:sz w:val="28"/>
          <w:szCs w:val="28"/>
        </w:rPr>
      </w:pPr>
      <w:r w:rsidRPr="001B0952">
        <w:rPr>
          <w:rFonts w:asciiTheme="majorHAnsi" w:hAnsiTheme="majorHAnsi"/>
          <w:sz w:val="28"/>
          <w:szCs w:val="28"/>
        </w:rPr>
        <w:t>Credit cards typically have higher APRs compared to other consumer loans</w:t>
      </w:r>
    </w:p>
    <w:p w14:paraId="02E79B52" w14:textId="77777777" w:rsidR="001B0952" w:rsidRPr="001B0952" w:rsidRDefault="001B0952" w:rsidP="00C52978">
      <w:pPr>
        <w:ind w:left="1080"/>
        <w:rPr>
          <w:rFonts w:asciiTheme="majorHAnsi" w:hAnsiTheme="majorHAnsi"/>
          <w:sz w:val="28"/>
          <w:szCs w:val="28"/>
        </w:rPr>
      </w:pPr>
      <w:r w:rsidRPr="001B0952">
        <w:rPr>
          <w:rFonts w:asciiTheme="majorHAnsi" w:hAnsiTheme="majorHAnsi"/>
          <w:sz w:val="28"/>
          <w:szCs w:val="28"/>
        </w:rPr>
        <w:t>APRs can be fixed or variable</w:t>
      </w:r>
    </w:p>
    <w:p w14:paraId="0A3E5D5A"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Grace Period</w:t>
      </w:r>
    </w:p>
    <w:p w14:paraId="159000E5"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The time between the close of each billing cycle and the payment due date</w:t>
      </w:r>
    </w:p>
    <w:p w14:paraId="507F0854"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During this period, no interest is charged if the full balance is paid</w:t>
      </w:r>
    </w:p>
    <w:p w14:paraId="346F637C"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Fees</w:t>
      </w:r>
    </w:p>
    <w:p w14:paraId="3048497D"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Annual fees: charged yearly for holding the credit card</w:t>
      </w:r>
    </w:p>
    <w:p w14:paraId="60381826"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Late payment fees: charged for making a payment after the due date</w:t>
      </w:r>
    </w:p>
    <w:p w14:paraId="63035E8B"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Over-the-limit fees: charged for exceeding the credit limit</w:t>
      </w:r>
    </w:p>
    <w:p w14:paraId="134ED430"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Balance transfer fees: charged for transferring a balance from another card</w:t>
      </w:r>
    </w:p>
    <w:p w14:paraId="522EF92C"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Cash advance fees: charged for withdrawing cash using the credit card</w:t>
      </w:r>
    </w:p>
    <w:p w14:paraId="6F19EE9D"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lastRenderedPageBreak/>
        <w:t>Credit Limit</w:t>
      </w:r>
    </w:p>
    <w:p w14:paraId="50E3F0E0"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The maximum amount of credit a cardholder can use</w:t>
      </w:r>
    </w:p>
    <w:p w14:paraId="539C9452"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Exceeding the credit limit may result in over-the-limit fees and a negative impact on credit score</w:t>
      </w:r>
    </w:p>
    <w:p w14:paraId="38F2EA8D"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Minimum Payment</w:t>
      </w:r>
    </w:p>
    <w:p w14:paraId="5A1CF81D"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The minimum amount due each month to keep the account in good standing</w:t>
      </w:r>
    </w:p>
    <w:p w14:paraId="24676906" w14:textId="77777777" w:rsidR="001B0952" w:rsidRPr="001B0952" w:rsidRDefault="001B0952" w:rsidP="001B0952">
      <w:pPr>
        <w:numPr>
          <w:ilvl w:val="1"/>
          <w:numId w:val="7"/>
        </w:numPr>
        <w:rPr>
          <w:rFonts w:asciiTheme="majorHAnsi" w:hAnsiTheme="majorHAnsi"/>
          <w:sz w:val="28"/>
          <w:szCs w:val="28"/>
        </w:rPr>
      </w:pPr>
      <w:proofErr w:type="gramStart"/>
      <w:r w:rsidRPr="001B0952">
        <w:rPr>
          <w:rFonts w:asciiTheme="majorHAnsi" w:hAnsiTheme="majorHAnsi"/>
          <w:sz w:val="28"/>
          <w:szCs w:val="28"/>
        </w:rPr>
        <w:t>Typically</w:t>
      </w:r>
      <w:proofErr w:type="gramEnd"/>
      <w:r w:rsidRPr="001B0952">
        <w:rPr>
          <w:rFonts w:asciiTheme="majorHAnsi" w:hAnsiTheme="majorHAnsi"/>
          <w:sz w:val="28"/>
          <w:szCs w:val="28"/>
        </w:rPr>
        <w:t xml:space="preserve"> a percentage of the outstanding balance or a fixed amount</w:t>
      </w:r>
    </w:p>
    <w:p w14:paraId="2E34C1A7"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Billing Cycle</w:t>
      </w:r>
    </w:p>
    <w:p w14:paraId="38F5FF88"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The period between each monthly statement</w:t>
      </w:r>
    </w:p>
    <w:p w14:paraId="5058D268"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Varies by issuer, but typically 28-31 days</w:t>
      </w:r>
    </w:p>
    <w:p w14:paraId="7A8CBCFD" w14:textId="77777777" w:rsidR="001B0952" w:rsidRPr="001B0952" w:rsidRDefault="001B0952" w:rsidP="001B0952">
      <w:pPr>
        <w:numPr>
          <w:ilvl w:val="0"/>
          <w:numId w:val="7"/>
        </w:numPr>
        <w:rPr>
          <w:rFonts w:asciiTheme="majorHAnsi" w:hAnsiTheme="majorHAnsi"/>
          <w:sz w:val="28"/>
          <w:szCs w:val="28"/>
        </w:rPr>
      </w:pPr>
      <w:r w:rsidRPr="001B0952">
        <w:rPr>
          <w:rFonts w:asciiTheme="majorHAnsi" w:hAnsiTheme="majorHAnsi"/>
          <w:sz w:val="28"/>
          <w:szCs w:val="28"/>
        </w:rPr>
        <w:t>Credit Utilization</w:t>
      </w:r>
    </w:p>
    <w:p w14:paraId="043B349E"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The ratio of credit used to credit available</w:t>
      </w:r>
    </w:p>
    <w:p w14:paraId="6E5E4ADE" w14:textId="77777777" w:rsidR="001B0952" w:rsidRPr="001B0952" w:rsidRDefault="001B0952" w:rsidP="001B0952">
      <w:pPr>
        <w:numPr>
          <w:ilvl w:val="1"/>
          <w:numId w:val="7"/>
        </w:numPr>
        <w:rPr>
          <w:rFonts w:asciiTheme="majorHAnsi" w:hAnsiTheme="majorHAnsi"/>
          <w:sz w:val="28"/>
          <w:szCs w:val="28"/>
        </w:rPr>
      </w:pPr>
      <w:r w:rsidRPr="001B0952">
        <w:rPr>
          <w:rFonts w:asciiTheme="majorHAnsi" w:hAnsiTheme="majorHAnsi"/>
          <w:sz w:val="28"/>
          <w:szCs w:val="28"/>
        </w:rPr>
        <w:t>Keeping credit utilization below 30% is recommended for a good credit score</w:t>
      </w:r>
    </w:p>
    <w:p w14:paraId="546035EC" w14:textId="77777777" w:rsidR="001B0952" w:rsidRPr="001B0952" w:rsidRDefault="001B0952" w:rsidP="001B0952">
      <w:pPr>
        <w:rPr>
          <w:rFonts w:asciiTheme="majorHAnsi" w:hAnsiTheme="majorHAnsi"/>
          <w:sz w:val="28"/>
          <w:szCs w:val="28"/>
        </w:rPr>
      </w:pPr>
    </w:p>
    <w:sectPr w:rsidR="001B0952" w:rsidRPr="001B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A45"/>
    <w:multiLevelType w:val="multilevel"/>
    <w:tmpl w:val="FDA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70EC0"/>
    <w:multiLevelType w:val="multilevel"/>
    <w:tmpl w:val="036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F4EDC"/>
    <w:multiLevelType w:val="multilevel"/>
    <w:tmpl w:val="171E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F44FB"/>
    <w:multiLevelType w:val="multilevel"/>
    <w:tmpl w:val="1E1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E28A9"/>
    <w:multiLevelType w:val="multilevel"/>
    <w:tmpl w:val="162A8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00324"/>
    <w:multiLevelType w:val="multilevel"/>
    <w:tmpl w:val="5360F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5073C"/>
    <w:multiLevelType w:val="multilevel"/>
    <w:tmpl w:val="4F8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D7F8E"/>
    <w:multiLevelType w:val="multilevel"/>
    <w:tmpl w:val="94A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680816">
    <w:abstractNumId w:val="1"/>
  </w:num>
  <w:num w:numId="2" w16cid:durableId="2012365579">
    <w:abstractNumId w:val="7"/>
  </w:num>
  <w:num w:numId="3" w16cid:durableId="623804121">
    <w:abstractNumId w:val="3"/>
  </w:num>
  <w:num w:numId="4" w16cid:durableId="2132356157">
    <w:abstractNumId w:val="0"/>
  </w:num>
  <w:num w:numId="5" w16cid:durableId="1733231856">
    <w:abstractNumId w:val="6"/>
  </w:num>
  <w:num w:numId="6" w16cid:durableId="1899783530">
    <w:abstractNumId w:val="5"/>
  </w:num>
  <w:num w:numId="7" w16cid:durableId="769396127">
    <w:abstractNumId w:val="4"/>
  </w:num>
  <w:num w:numId="8" w16cid:durableId="129213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52"/>
    <w:rsid w:val="001B0952"/>
    <w:rsid w:val="00561F04"/>
    <w:rsid w:val="007E3B41"/>
    <w:rsid w:val="009F6B2D"/>
    <w:rsid w:val="00A81246"/>
    <w:rsid w:val="00C52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4957"/>
  <w15:chartTrackingRefBased/>
  <w15:docId w15:val="{8C39B722-49D8-4EE4-9C00-A4FF3B2E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952"/>
    <w:rPr>
      <w:rFonts w:eastAsiaTheme="majorEastAsia" w:cstheme="majorBidi"/>
      <w:color w:val="272727" w:themeColor="text1" w:themeTint="D8"/>
    </w:rPr>
  </w:style>
  <w:style w:type="paragraph" w:styleId="Title">
    <w:name w:val="Title"/>
    <w:basedOn w:val="Normal"/>
    <w:next w:val="Normal"/>
    <w:link w:val="TitleChar"/>
    <w:uiPriority w:val="10"/>
    <w:qFormat/>
    <w:rsid w:val="001B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952"/>
    <w:pPr>
      <w:spacing w:before="160"/>
      <w:jc w:val="center"/>
    </w:pPr>
    <w:rPr>
      <w:i/>
      <w:iCs/>
      <w:color w:val="404040" w:themeColor="text1" w:themeTint="BF"/>
    </w:rPr>
  </w:style>
  <w:style w:type="character" w:customStyle="1" w:styleId="QuoteChar">
    <w:name w:val="Quote Char"/>
    <w:basedOn w:val="DefaultParagraphFont"/>
    <w:link w:val="Quote"/>
    <w:uiPriority w:val="29"/>
    <w:rsid w:val="001B0952"/>
    <w:rPr>
      <w:i/>
      <w:iCs/>
      <w:color w:val="404040" w:themeColor="text1" w:themeTint="BF"/>
    </w:rPr>
  </w:style>
  <w:style w:type="paragraph" w:styleId="ListParagraph">
    <w:name w:val="List Paragraph"/>
    <w:basedOn w:val="Normal"/>
    <w:uiPriority w:val="34"/>
    <w:qFormat/>
    <w:rsid w:val="001B0952"/>
    <w:pPr>
      <w:ind w:left="720"/>
      <w:contextualSpacing/>
    </w:pPr>
  </w:style>
  <w:style w:type="character" w:styleId="IntenseEmphasis">
    <w:name w:val="Intense Emphasis"/>
    <w:basedOn w:val="DefaultParagraphFont"/>
    <w:uiPriority w:val="21"/>
    <w:qFormat/>
    <w:rsid w:val="001B0952"/>
    <w:rPr>
      <w:i/>
      <w:iCs/>
      <w:color w:val="0F4761" w:themeColor="accent1" w:themeShade="BF"/>
    </w:rPr>
  </w:style>
  <w:style w:type="paragraph" w:styleId="IntenseQuote">
    <w:name w:val="Intense Quote"/>
    <w:basedOn w:val="Normal"/>
    <w:next w:val="Normal"/>
    <w:link w:val="IntenseQuoteChar"/>
    <w:uiPriority w:val="30"/>
    <w:qFormat/>
    <w:rsid w:val="001B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952"/>
    <w:rPr>
      <w:i/>
      <w:iCs/>
      <w:color w:val="0F4761" w:themeColor="accent1" w:themeShade="BF"/>
    </w:rPr>
  </w:style>
  <w:style w:type="character" w:styleId="IntenseReference">
    <w:name w:val="Intense Reference"/>
    <w:basedOn w:val="DefaultParagraphFont"/>
    <w:uiPriority w:val="32"/>
    <w:qFormat/>
    <w:rsid w:val="001B0952"/>
    <w:rPr>
      <w:b/>
      <w:bCs/>
      <w:smallCaps/>
      <w:color w:val="0F4761" w:themeColor="accent1" w:themeShade="BF"/>
      <w:spacing w:val="5"/>
    </w:rPr>
  </w:style>
  <w:style w:type="table" w:styleId="TableGrid">
    <w:name w:val="Table Grid"/>
    <w:basedOn w:val="TableNormal"/>
    <w:uiPriority w:val="39"/>
    <w:rsid w:val="001B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09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1B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2903">
      <w:bodyDiv w:val="1"/>
      <w:marLeft w:val="0"/>
      <w:marRight w:val="0"/>
      <w:marTop w:val="0"/>
      <w:marBottom w:val="0"/>
      <w:divBdr>
        <w:top w:val="none" w:sz="0" w:space="0" w:color="auto"/>
        <w:left w:val="none" w:sz="0" w:space="0" w:color="auto"/>
        <w:bottom w:val="none" w:sz="0" w:space="0" w:color="auto"/>
        <w:right w:val="none" w:sz="0" w:space="0" w:color="auto"/>
      </w:divBdr>
    </w:div>
    <w:div w:id="168715525">
      <w:bodyDiv w:val="1"/>
      <w:marLeft w:val="0"/>
      <w:marRight w:val="0"/>
      <w:marTop w:val="0"/>
      <w:marBottom w:val="0"/>
      <w:divBdr>
        <w:top w:val="none" w:sz="0" w:space="0" w:color="auto"/>
        <w:left w:val="none" w:sz="0" w:space="0" w:color="auto"/>
        <w:bottom w:val="none" w:sz="0" w:space="0" w:color="auto"/>
        <w:right w:val="none" w:sz="0" w:space="0" w:color="auto"/>
      </w:divBdr>
    </w:div>
    <w:div w:id="249388369">
      <w:bodyDiv w:val="1"/>
      <w:marLeft w:val="0"/>
      <w:marRight w:val="0"/>
      <w:marTop w:val="0"/>
      <w:marBottom w:val="0"/>
      <w:divBdr>
        <w:top w:val="none" w:sz="0" w:space="0" w:color="auto"/>
        <w:left w:val="none" w:sz="0" w:space="0" w:color="auto"/>
        <w:bottom w:val="none" w:sz="0" w:space="0" w:color="auto"/>
        <w:right w:val="none" w:sz="0" w:space="0" w:color="auto"/>
      </w:divBdr>
    </w:div>
    <w:div w:id="803162679">
      <w:bodyDiv w:val="1"/>
      <w:marLeft w:val="0"/>
      <w:marRight w:val="0"/>
      <w:marTop w:val="0"/>
      <w:marBottom w:val="0"/>
      <w:divBdr>
        <w:top w:val="none" w:sz="0" w:space="0" w:color="auto"/>
        <w:left w:val="none" w:sz="0" w:space="0" w:color="auto"/>
        <w:bottom w:val="none" w:sz="0" w:space="0" w:color="auto"/>
        <w:right w:val="none" w:sz="0" w:space="0" w:color="auto"/>
      </w:divBdr>
    </w:div>
    <w:div w:id="982123891">
      <w:bodyDiv w:val="1"/>
      <w:marLeft w:val="0"/>
      <w:marRight w:val="0"/>
      <w:marTop w:val="0"/>
      <w:marBottom w:val="0"/>
      <w:divBdr>
        <w:top w:val="none" w:sz="0" w:space="0" w:color="auto"/>
        <w:left w:val="none" w:sz="0" w:space="0" w:color="auto"/>
        <w:bottom w:val="none" w:sz="0" w:space="0" w:color="auto"/>
        <w:right w:val="none" w:sz="0" w:space="0" w:color="auto"/>
      </w:divBdr>
    </w:div>
    <w:div w:id="1256283010">
      <w:bodyDiv w:val="1"/>
      <w:marLeft w:val="0"/>
      <w:marRight w:val="0"/>
      <w:marTop w:val="0"/>
      <w:marBottom w:val="0"/>
      <w:divBdr>
        <w:top w:val="none" w:sz="0" w:space="0" w:color="auto"/>
        <w:left w:val="none" w:sz="0" w:space="0" w:color="auto"/>
        <w:bottom w:val="none" w:sz="0" w:space="0" w:color="auto"/>
        <w:right w:val="none" w:sz="0" w:space="0" w:color="auto"/>
      </w:divBdr>
    </w:div>
    <w:div w:id="1298217508">
      <w:bodyDiv w:val="1"/>
      <w:marLeft w:val="0"/>
      <w:marRight w:val="0"/>
      <w:marTop w:val="0"/>
      <w:marBottom w:val="0"/>
      <w:divBdr>
        <w:top w:val="none" w:sz="0" w:space="0" w:color="auto"/>
        <w:left w:val="none" w:sz="0" w:space="0" w:color="auto"/>
        <w:bottom w:val="none" w:sz="0" w:space="0" w:color="auto"/>
        <w:right w:val="none" w:sz="0" w:space="0" w:color="auto"/>
      </w:divBdr>
    </w:div>
    <w:div w:id="1442725323">
      <w:bodyDiv w:val="1"/>
      <w:marLeft w:val="0"/>
      <w:marRight w:val="0"/>
      <w:marTop w:val="0"/>
      <w:marBottom w:val="0"/>
      <w:divBdr>
        <w:top w:val="none" w:sz="0" w:space="0" w:color="auto"/>
        <w:left w:val="none" w:sz="0" w:space="0" w:color="auto"/>
        <w:bottom w:val="none" w:sz="0" w:space="0" w:color="auto"/>
        <w:right w:val="none" w:sz="0" w:space="0" w:color="auto"/>
      </w:divBdr>
    </w:div>
    <w:div w:id="1854802322">
      <w:bodyDiv w:val="1"/>
      <w:marLeft w:val="0"/>
      <w:marRight w:val="0"/>
      <w:marTop w:val="0"/>
      <w:marBottom w:val="0"/>
      <w:divBdr>
        <w:top w:val="none" w:sz="0" w:space="0" w:color="auto"/>
        <w:left w:val="none" w:sz="0" w:space="0" w:color="auto"/>
        <w:bottom w:val="none" w:sz="0" w:space="0" w:color="auto"/>
        <w:right w:val="none" w:sz="0" w:space="0" w:color="auto"/>
      </w:divBdr>
    </w:div>
    <w:div w:id="21203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BOGZ1FL893065215Q.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BOGZ1FL893065215Q!$B$1</c:f>
              <c:strCache>
                <c:ptCount val="1"/>
                <c:pt idx="0">
                  <c:v>BOGZ1FL893065215Q</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BOGZ1FL893065215Q!$A$2:$A$136</c:f>
              <c:numCache>
                <c:formatCode>m/d/yyyy</c:formatCode>
                <c:ptCount val="135"/>
                <c:pt idx="0">
                  <c:v>33055</c:v>
                </c:pt>
                <c:pt idx="1">
                  <c:v>33147</c:v>
                </c:pt>
                <c:pt idx="2">
                  <c:v>33239</c:v>
                </c:pt>
                <c:pt idx="3">
                  <c:v>33329</c:v>
                </c:pt>
                <c:pt idx="4">
                  <c:v>33420</c:v>
                </c:pt>
                <c:pt idx="5">
                  <c:v>33512</c:v>
                </c:pt>
                <c:pt idx="6">
                  <c:v>33604</c:v>
                </c:pt>
                <c:pt idx="7">
                  <c:v>33695</c:v>
                </c:pt>
                <c:pt idx="8">
                  <c:v>33786</c:v>
                </c:pt>
                <c:pt idx="9">
                  <c:v>33878</c:v>
                </c:pt>
                <c:pt idx="10">
                  <c:v>33970</c:v>
                </c:pt>
                <c:pt idx="11">
                  <c:v>34060</c:v>
                </c:pt>
                <c:pt idx="12">
                  <c:v>34151</c:v>
                </c:pt>
                <c:pt idx="13">
                  <c:v>34243</c:v>
                </c:pt>
                <c:pt idx="14">
                  <c:v>34335</c:v>
                </c:pt>
                <c:pt idx="15">
                  <c:v>34425</c:v>
                </c:pt>
                <c:pt idx="16">
                  <c:v>34516</c:v>
                </c:pt>
                <c:pt idx="17">
                  <c:v>34608</c:v>
                </c:pt>
                <c:pt idx="18">
                  <c:v>34700</c:v>
                </c:pt>
                <c:pt idx="19">
                  <c:v>34790</c:v>
                </c:pt>
                <c:pt idx="20">
                  <c:v>34881</c:v>
                </c:pt>
                <c:pt idx="21">
                  <c:v>34973</c:v>
                </c:pt>
                <c:pt idx="22">
                  <c:v>35065</c:v>
                </c:pt>
                <c:pt idx="23">
                  <c:v>35156</c:v>
                </c:pt>
                <c:pt idx="24">
                  <c:v>35247</c:v>
                </c:pt>
                <c:pt idx="25">
                  <c:v>35339</c:v>
                </c:pt>
                <c:pt idx="26">
                  <c:v>35431</c:v>
                </c:pt>
                <c:pt idx="27">
                  <c:v>35521</c:v>
                </c:pt>
                <c:pt idx="28">
                  <c:v>35612</c:v>
                </c:pt>
                <c:pt idx="29">
                  <c:v>35704</c:v>
                </c:pt>
                <c:pt idx="30">
                  <c:v>35796</c:v>
                </c:pt>
                <c:pt idx="31">
                  <c:v>35886</c:v>
                </c:pt>
                <c:pt idx="32">
                  <c:v>35977</c:v>
                </c:pt>
                <c:pt idx="33">
                  <c:v>36069</c:v>
                </c:pt>
                <c:pt idx="34">
                  <c:v>36161</c:v>
                </c:pt>
                <c:pt idx="35">
                  <c:v>36251</c:v>
                </c:pt>
                <c:pt idx="36">
                  <c:v>36342</c:v>
                </c:pt>
                <c:pt idx="37">
                  <c:v>36434</c:v>
                </c:pt>
                <c:pt idx="38">
                  <c:v>36526</c:v>
                </c:pt>
                <c:pt idx="39">
                  <c:v>36617</c:v>
                </c:pt>
                <c:pt idx="40">
                  <c:v>36708</c:v>
                </c:pt>
                <c:pt idx="41">
                  <c:v>36800</c:v>
                </c:pt>
                <c:pt idx="42">
                  <c:v>36892</c:v>
                </c:pt>
                <c:pt idx="43">
                  <c:v>36982</c:v>
                </c:pt>
                <c:pt idx="44">
                  <c:v>37073</c:v>
                </c:pt>
                <c:pt idx="45">
                  <c:v>37165</c:v>
                </c:pt>
                <c:pt idx="46">
                  <c:v>37257</c:v>
                </c:pt>
                <c:pt idx="47">
                  <c:v>37347</c:v>
                </c:pt>
                <c:pt idx="48">
                  <c:v>37438</c:v>
                </c:pt>
                <c:pt idx="49">
                  <c:v>37530</c:v>
                </c:pt>
                <c:pt idx="50">
                  <c:v>37622</c:v>
                </c:pt>
                <c:pt idx="51">
                  <c:v>37712</c:v>
                </c:pt>
                <c:pt idx="52">
                  <c:v>37803</c:v>
                </c:pt>
                <c:pt idx="53">
                  <c:v>37895</c:v>
                </c:pt>
                <c:pt idx="54">
                  <c:v>37987</c:v>
                </c:pt>
                <c:pt idx="55">
                  <c:v>38078</c:v>
                </c:pt>
                <c:pt idx="56">
                  <c:v>38169</c:v>
                </c:pt>
                <c:pt idx="57">
                  <c:v>38261</c:v>
                </c:pt>
                <c:pt idx="58">
                  <c:v>38353</c:v>
                </c:pt>
                <c:pt idx="59">
                  <c:v>38443</c:v>
                </c:pt>
                <c:pt idx="60">
                  <c:v>38534</c:v>
                </c:pt>
                <c:pt idx="61">
                  <c:v>38626</c:v>
                </c:pt>
                <c:pt idx="62">
                  <c:v>38718</c:v>
                </c:pt>
                <c:pt idx="63">
                  <c:v>38808</c:v>
                </c:pt>
                <c:pt idx="64">
                  <c:v>38899</c:v>
                </c:pt>
                <c:pt idx="65">
                  <c:v>38991</c:v>
                </c:pt>
                <c:pt idx="66">
                  <c:v>39083</c:v>
                </c:pt>
                <c:pt idx="67">
                  <c:v>39173</c:v>
                </c:pt>
                <c:pt idx="68">
                  <c:v>39264</c:v>
                </c:pt>
                <c:pt idx="69">
                  <c:v>39356</c:v>
                </c:pt>
                <c:pt idx="70">
                  <c:v>39448</c:v>
                </c:pt>
                <c:pt idx="71">
                  <c:v>39539</c:v>
                </c:pt>
                <c:pt idx="72">
                  <c:v>39630</c:v>
                </c:pt>
                <c:pt idx="73">
                  <c:v>39722</c:v>
                </c:pt>
                <c:pt idx="74">
                  <c:v>39814</c:v>
                </c:pt>
                <c:pt idx="75">
                  <c:v>39904</c:v>
                </c:pt>
                <c:pt idx="76">
                  <c:v>39995</c:v>
                </c:pt>
                <c:pt idx="77">
                  <c:v>40087</c:v>
                </c:pt>
                <c:pt idx="78">
                  <c:v>40179</c:v>
                </c:pt>
                <c:pt idx="79">
                  <c:v>40269</c:v>
                </c:pt>
                <c:pt idx="80">
                  <c:v>40360</c:v>
                </c:pt>
                <c:pt idx="81">
                  <c:v>40452</c:v>
                </c:pt>
                <c:pt idx="82">
                  <c:v>40544</c:v>
                </c:pt>
                <c:pt idx="83">
                  <c:v>40634</c:v>
                </c:pt>
                <c:pt idx="84">
                  <c:v>40725</c:v>
                </c:pt>
                <c:pt idx="85">
                  <c:v>40817</c:v>
                </c:pt>
                <c:pt idx="86">
                  <c:v>40909</c:v>
                </c:pt>
                <c:pt idx="87">
                  <c:v>41000</c:v>
                </c:pt>
                <c:pt idx="88">
                  <c:v>41091</c:v>
                </c:pt>
                <c:pt idx="89">
                  <c:v>41183</c:v>
                </c:pt>
                <c:pt idx="90">
                  <c:v>41275</c:v>
                </c:pt>
                <c:pt idx="91">
                  <c:v>41365</c:v>
                </c:pt>
                <c:pt idx="92">
                  <c:v>41456</c:v>
                </c:pt>
                <c:pt idx="93">
                  <c:v>41548</c:v>
                </c:pt>
                <c:pt idx="94">
                  <c:v>41640</c:v>
                </c:pt>
                <c:pt idx="95">
                  <c:v>41730</c:v>
                </c:pt>
                <c:pt idx="96">
                  <c:v>41821</c:v>
                </c:pt>
                <c:pt idx="97">
                  <c:v>41913</c:v>
                </c:pt>
                <c:pt idx="98">
                  <c:v>42005</c:v>
                </c:pt>
                <c:pt idx="99">
                  <c:v>42095</c:v>
                </c:pt>
                <c:pt idx="100">
                  <c:v>42186</c:v>
                </c:pt>
                <c:pt idx="101">
                  <c:v>42278</c:v>
                </c:pt>
                <c:pt idx="102">
                  <c:v>42370</c:v>
                </c:pt>
                <c:pt idx="103">
                  <c:v>42461</c:v>
                </c:pt>
                <c:pt idx="104">
                  <c:v>42552</c:v>
                </c:pt>
                <c:pt idx="105">
                  <c:v>42644</c:v>
                </c:pt>
                <c:pt idx="106">
                  <c:v>42736</c:v>
                </c:pt>
                <c:pt idx="107">
                  <c:v>42826</c:v>
                </c:pt>
                <c:pt idx="108">
                  <c:v>42917</c:v>
                </c:pt>
                <c:pt idx="109">
                  <c:v>43009</c:v>
                </c:pt>
                <c:pt idx="110">
                  <c:v>43101</c:v>
                </c:pt>
                <c:pt idx="111">
                  <c:v>43191</c:v>
                </c:pt>
                <c:pt idx="112">
                  <c:v>43282</c:v>
                </c:pt>
                <c:pt idx="113">
                  <c:v>43374</c:v>
                </c:pt>
                <c:pt idx="114">
                  <c:v>43466</c:v>
                </c:pt>
                <c:pt idx="115">
                  <c:v>43556</c:v>
                </c:pt>
                <c:pt idx="116">
                  <c:v>43647</c:v>
                </c:pt>
                <c:pt idx="117">
                  <c:v>43739</c:v>
                </c:pt>
                <c:pt idx="118">
                  <c:v>43831</c:v>
                </c:pt>
                <c:pt idx="119">
                  <c:v>43922</c:v>
                </c:pt>
                <c:pt idx="120">
                  <c:v>44013</c:v>
                </c:pt>
                <c:pt idx="121">
                  <c:v>44105</c:v>
                </c:pt>
                <c:pt idx="122">
                  <c:v>44197</c:v>
                </c:pt>
                <c:pt idx="123">
                  <c:v>44287</c:v>
                </c:pt>
                <c:pt idx="124">
                  <c:v>44378</c:v>
                </c:pt>
                <c:pt idx="125">
                  <c:v>44470</c:v>
                </c:pt>
                <c:pt idx="126">
                  <c:v>44562</c:v>
                </c:pt>
                <c:pt idx="127">
                  <c:v>44652</c:v>
                </c:pt>
                <c:pt idx="128">
                  <c:v>44743</c:v>
                </c:pt>
                <c:pt idx="129">
                  <c:v>44835</c:v>
                </c:pt>
                <c:pt idx="130">
                  <c:v>44927</c:v>
                </c:pt>
                <c:pt idx="131">
                  <c:v>45017</c:v>
                </c:pt>
                <c:pt idx="132">
                  <c:v>45108</c:v>
                </c:pt>
                <c:pt idx="133">
                  <c:v>45200</c:v>
                </c:pt>
                <c:pt idx="134">
                  <c:v>45292</c:v>
                </c:pt>
              </c:numCache>
            </c:numRef>
          </c:cat>
          <c:val>
            <c:numRef>
              <c:f>BOGZ1FL893065215Q!$B$2:$B$136</c:f>
              <c:numCache>
                <c:formatCode>General</c:formatCode>
                <c:ptCount val="135"/>
                <c:pt idx="0">
                  <c:v>100746</c:v>
                </c:pt>
                <c:pt idx="1">
                  <c:v>102810</c:v>
                </c:pt>
                <c:pt idx="2">
                  <c:v>104570</c:v>
                </c:pt>
                <c:pt idx="3">
                  <c:v>107096</c:v>
                </c:pt>
                <c:pt idx="4">
                  <c:v>109953</c:v>
                </c:pt>
                <c:pt idx="5">
                  <c:v>111668</c:v>
                </c:pt>
                <c:pt idx="6">
                  <c:v>110938</c:v>
                </c:pt>
                <c:pt idx="7">
                  <c:v>111347</c:v>
                </c:pt>
                <c:pt idx="8">
                  <c:v>112294</c:v>
                </c:pt>
                <c:pt idx="9">
                  <c:v>111448</c:v>
                </c:pt>
                <c:pt idx="10">
                  <c:v>111124</c:v>
                </c:pt>
                <c:pt idx="11">
                  <c:v>111022</c:v>
                </c:pt>
                <c:pt idx="12">
                  <c:v>109581</c:v>
                </c:pt>
                <c:pt idx="13">
                  <c:v>107341</c:v>
                </c:pt>
                <c:pt idx="14">
                  <c:v>105880</c:v>
                </c:pt>
                <c:pt idx="15">
                  <c:v>107334</c:v>
                </c:pt>
                <c:pt idx="16">
                  <c:v>109056</c:v>
                </c:pt>
                <c:pt idx="17">
                  <c:v>110555</c:v>
                </c:pt>
                <c:pt idx="18">
                  <c:v>111189</c:v>
                </c:pt>
                <c:pt idx="19">
                  <c:v>114832</c:v>
                </c:pt>
                <c:pt idx="20">
                  <c:v>116042</c:v>
                </c:pt>
                <c:pt idx="21">
                  <c:v>116243</c:v>
                </c:pt>
                <c:pt idx="22">
                  <c:v>114609</c:v>
                </c:pt>
                <c:pt idx="23">
                  <c:v>118359</c:v>
                </c:pt>
                <c:pt idx="24">
                  <c:v>120070</c:v>
                </c:pt>
                <c:pt idx="25">
                  <c:v>125132</c:v>
                </c:pt>
                <c:pt idx="26">
                  <c:v>127446</c:v>
                </c:pt>
                <c:pt idx="27">
                  <c:v>132615</c:v>
                </c:pt>
                <c:pt idx="28">
                  <c:v>137639</c:v>
                </c:pt>
                <c:pt idx="29">
                  <c:v>140683</c:v>
                </c:pt>
                <c:pt idx="30">
                  <c:v>139699</c:v>
                </c:pt>
                <c:pt idx="31">
                  <c:v>140519</c:v>
                </c:pt>
                <c:pt idx="32">
                  <c:v>141490</c:v>
                </c:pt>
                <c:pt idx="33">
                  <c:v>142039</c:v>
                </c:pt>
                <c:pt idx="34">
                  <c:v>141482</c:v>
                </c:pt>
                <c:pt idx="35">
                  <c:v>139268</c:v>
                </c:pt>
                <c:pt idx="36">
                  <c:v>147451</c:v>
                </c:pt>
                <c:pt idx="37">
                  <c:v>154180</c:v>
                </c:pt>
                <c:pt idx="38">
                  <c:v>161817</c:v>
                </c:pt>
                <c:pt idx="39">
                  <c:v>172515</c:v>
                </c:pt>
                <c:pt idx="40">
                  <c:v>182964</c:v>
                </c:pt>
                <c:pt idx="41">
                  <c:v>190518</c:v>
                </c:pt>
                <c:pt idx="42">
                  <c:v>195265</c:v>
                </c:pt>
                <c:pt idx="43">
                  <c:v>203336</c:v>
                </c:pt>
                <c:pt idx="44">
                  <c:v>219280</c:v>
                </c:pt>
                <c:pt idx="45">
                  <c:v>226583</c:v>
                </c:pt>
                <c:pt idx="46">
                  <c:v>242042</c:v>
                </c:pt>
                <c:pt idx="47">
                  <c:v>268083</c:v>
                </c:pt>
                <c:pt idx="48">
                  <c:v>286650</c:v>
                </c:pt>
                <c:pt idx="49">
                  <c:v>305869</c:v>
                </c:pt>
                <c:pt idx="50">
                  <c:v>325851</c:v>
                </c:pt>
                <c:pt idx="51">
                  <c:v>347752</c:v>
                </c:pt>
                <c:pt idx="52">
                  <c:v>369905</c:v>
                </c:pt>
                <c:pt idx="53">
                  <c:v>402993</c:v>
                </c:pt>
                <c:pt idx="54">
                  <c:v>436397</c:v>
                </c:pt>
                <c:pt idx="55">
                  <c:v>479434</c:v>
                </c:pt>
                <c:pt idx="56">
                  <c:v>527768</c:v>
                </c:pt>
                <c:pt idx="57">
                  <c:v>563320</c:v>
                </c:pt>
                <c:pt idx="58">
                  <c:v>583027</c:v>
                </c:pt>
                <c:pt idx="59">
                  <c:v>612411</c:v>
                </c:pt>
                <c:pt idx="60">
                  <c:v>621225</c:v>
                </c:pt>
                <c:pt idx="61">
                  <c:v>653234</c:v>
                </c:pt>
                <c:pt idx="62">
                  <c:v>593145</c:v>
                </c:pt>
                <c:pt idx="63">
                  <c:v>620068</c:v>
                </c:pt>
                <c:pt idx="64">
                  <c:v>620630</c:v>
                </c:pt>
                <c:pt idx="65">
                  <c:v>626027</c:v>
                </c:pt>
                <c:pt idx="66">
                  <c:v>623624</c:v>
                </c:pt>
                <c:pt idx="67">
                  <c:v>642347</c:v>
                </c:pt>
                <c:pt idx="68">
                  <c:v>656357</c:v>
                </c:pt>
                <c:pt idx="69">
                  <c:v>674223</c:v>
                </c:pt>
                <c:pt idx="70">
                  <c:v>686643</c:v>
                </c:pt>
                <c:pt idx="71">
                  <c:v>707248</c:v>
                </c:pt>
                <c:pt idx="72">
                  <c:v>714566</c:v>
                </c:pt>
                <c:pt idx="73">
                  <c:v>729935</c:v>
                </c:pt>
                <c:pt idx="74">
                  <c:v>736250</c:v>
                </c:pt>
                <c:pt idx="75">
                  <c:v>734115</c:v>
                </c:pt>
                <c:pt idx="76">
                  <c:v>728105</c:v>
                </c:pt>
                <c:pt idx="77">
                  <c:v>721506</c:v>
                </c:pt>
                <c:pt idx="78">
                  <c:v>719141</c:v>
                </c:pt>
                <c:pt idx="79">
                  <c:v>712614</c:v>
                </c:pt>
                <c:pt idx="80">
                  <c:v>706081</c:v>
                </c:pt>
                <c:pt idx="81">
                  <c:v>689792</c:v>
                </c:pt>
                <c:pt idx="82">
                  <c:v>675935</c:v>
                </c:pt>
                <c:pt idx="83">
                  <c:v>666890</c:v>
                </c:pt>
                <c:pt idx="84">
                  <c:v>659108</c:v>
                </c:pt>
                <c:pt idx="85">
                  <c:v>653567</c:v>
                </c:pt>
                <c:pt idx="86">
                  <c:v>640002</c:v>
                </c:pt>
                <c:pt idx="87">
                  <c:v>628698</c:v>
                </c:pt>
                <c:pt idx="88">
                  <c:v>615960</c:v>
                </c:pt>
                <c:pt idx="89">
                  <c:v>602326</c:v>
                </c:pt>
                <c:pt idx="90">
                  <c:v>585621</c:v>
                </c:pt>
                <c:pt idx="91">
                  <c:v>574643</c:v>
                </c:pt>
                <c:pt idx="92">
                  <c:v>563307</c:v>
                </c:pt>
                <c:pt idx="93">
                  <c:v>555883</c:v>
                </c:pt>
                <c:pt idx="94">
                  <c:v>548804</c:v>
                </c:pt>
                <c:pt idx="95">
                  <c:v>546315</c:v>
                </c:pt>
                <c:pt idx="96">
                  <c:v>544418</c:v>
                </c:pt>
                <c:pt idx="97">
                  <c:v>541580</c:v>
                </c:pt>
                <c:pt idx="98">
                  <c:v>532846</c:v>
                </c:pt>
                <c:pt idx="99">
                  <c:v>528039</c:v>
                </c:pt>
                <c:pt idx="100">
                  <c:v>521666</c:v>
                </c:pt>
                <c:pt idx="101">
                  <c:v>517321</c:v>
                </c:pt>
                <c:pt idx="102">
                  <c:v>509531</c:v>
                </c:pt>
                <c:pt idx="103">
                  <c:v>506173</c:v>
                </c:pt>
                <c:pt idx="104">
                  <c:v>498452</c:v>
                </c:pt>
                <c:pt idx="105">
                  <c:v>489306</c:v>
                </c:pt>
                <c:pt idx="106">
                  <c:v>485255</c:v>
                </c:pt>
                <c:pt idx="107">
                  <c:v>480759</c:v>
                </c:pt>
                <c:pt idx="108">
                  <c:v>474287</c:v>
                </c:pt>
                <c:pt idx="109">
                  <c:v>469050</c:v>
                </c:pt>
                <c:pt idx="110">
                  <c:v>456091</c:v>
                </c:pt>
                <c:pt idx="111">
                  <c:v>448239</c:v>
                </c:pt>
                <c:pt idx="112">
                  <c:v>440928</c:v>
                </c:pt>
                <c:pt idx="113">
                  <c:v>435799</c:v>
                </c:pt>
                <c:pt idx="114">
                  <c:v>425931</c:v>
                </c:pt>
                <c:pt idx="115">
                  <c:v>420082</c:v>
                </c:pt>
                <c:pt idx="116">
                  <c:v>411556</c:v>
                </c:pt>
                <c:pt idx="117">
                  <c:v>403820</c:v>
                </c:pt>
                <c:pt idx="118">
                  <c:v>400372</c:v>
                </c:pt>
                <c:pt idx="119">
                  <c:v>385314</c:v>
                </c:pt>
                <c:pt idx="120">
                  <c:v>373226</c:v>
                </c:pt>
                <c:pt idx="121">
                  <c:v>358441</c:v>
                </c:pt>
                <c:pt idx="122">
                  <c:v>343102</c:v>
                </c:pt>
                <c:pt idx="123">
                  <c:v>343336</c:v>
                </c:pt>
                <c:pt idx="124">
                  <c:v>336801</c:v>
                </c:pt>
                <c:pt idx="125">
                  <c:v>333047</c:v>
                </c:pt>
                <c:pt idx="126">
                  <c:v>325622</c:v>
                </c:pt>
                <c:pt idx="127">
                  <c:v>337195</c:v>
                </c:pt>
                <c:pt idx="128">
                  <c:v>346903</c:v>
                </c:pt>
                <c:pt idx="129">
                  <c:v>354569</c:v>
                </c:pt>
                <c:pt idx="130">
                  <c:v>354011</c:v>
                </c:pt>
                <c:pt idx="131">
                  <c:v>356541</c:v>
                </c:pt>
                <c:pt idx="132">
                  <c:v>361348</c:v>
                </c:pt>
                <c:pt idx="133">
                  <c:v>367838</c:v>
                </c:pt>
                <c:pt idx="134">
                  <c:v>373246</c:v>
                </c:pt>
              </c:numCache>
            </c:numRef>
          </c:val>
          <c:smooth val="0"/>
          <c:extLst>
            <c:ext xmlns:c16="http://schemas.microsoft.com/office/drawing/2014/chart" uri="{C3380CC4-5D6E-409C-BE32-E72D297353CC}">
              <c16:uniqueId val="{00000000-5401-426E-908A-F800B1A65F7E}"/>
            </c:ext>
          </c:extLst>
        </c:ser>
        <c:dLbls>
          <c:showLegendKey val="0"/>
          <c:showVal val="0"/>
          <c:showCatName val="0"/>
          <c:showSerName val="0"/>
          <c:showPercent val="0"/>
          <c:showBubbleSize val="0"/>
        </c:dLbls>
        <c:smooth val="0"/>
        <c:axId val="17748640"/>
        <c:axId val="17753920"/>
      </c:lineChart>
      <c:dateAx>
        <c:axId val="17748640"/>
        <c:scaling>
          <c:orientation val="minMax"/>
        </c:scaling>
        <c:delete val="0"/>
        <c:axPos val="b"/>
        <c:numFmt formatCode="yyyy" sourceLinked="0"/>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53920"/>
        <c:crosses val="autoZero"/>
        <c:auto val="1"/>
        <c:lblOffset val="100"/>
        <c:baseTimeUnit val="months"/>
        <c:majorUnit val="5"/>
        <c:majorTimeUnit val="years"/>
      </c:dateAx>
      <c:valAx>
        <c:axId val="17753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Millions</a:t>
                </a:r>
                <a:r>
                  <a:rPr lang="en-IN" baseline="0"/>
                  <a:t> of Dollars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4864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2024-06-28T13:13:00Z</dcterms:created>
  <dcterms:modified xsi:type="dcterms:W3CDTF">2024-06-28T13:45:00Z</dcterms:modified>
</cp:coreProperties>
</file>