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ABC74" w14:textId="6A74C078" w:rsidR="00417C11" w:rsidRPr="00417C11" w:rsidRDefault="00417C11">
      <w:pPr>
        <w:rPr>
          <w:b/>
          <w:bCs/>
          <w:sz w:val="36"/>
          <w:szCs w:val="36"/>
        </w:rPr>
      </w:pPr>
      <w:r w:rsidRPr="00417C11">
        <w:rPr>
          <w:b/>
          <w:bCs/>
          <w:sz w:val="36"/>
          <w:szCs w:val="36"/>
        </w:rPr>
        <w:t>Volcker Rule</w:t>
      </w:r>
    </w:p>
    <w:p w14:paraId="168DA88D" w14:textId="3988C217" w:rsidR="00561F04" w:rsidRPr="00417C11" w:rsidRDefault="00417C11">
      <w:pPr>
        <w:rPr>
          <w:sz w:val="28"/>
          <w:szCs w:val="28"/>
        </w:rPr>
      </w:pPr>
      <w:r w:rsidRPr="00417C11">
        <w:rPr>
          <w:sz w:val="28"/>
          <w:szCs w:val="28"/>
        </w:rPr>
        <w:drawing>
          <wp:inline distT="0" distB="0" distL="0" distR="0" wp14:anchorId="58DDCA20" wp14:editId="21E3C1A6">
            <wp:extent cx="5731510" cy="2754630"/>
            <wp:effectExtent l="0" t="0" r="2540" b="7620"/>
            <wp:docPr id="127906938"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6938" name="Picture 1" descr="A screenshot of a white page&#10;&#10;Description automatically generated"/>
                    <pic:cNvPicPr/>
                  </pic:nvPicPr>
                  <pic:blipFill>
                    <a:blip r:embed="rId5"/>
                    <a:stretch>
                      <a:fillRect/>
                    </a:stretch>
                  </pic:blipFill>
                  <pic:spPr>
                    <a:xfrm>
                      <a:off x="0" y="0"/>
                      <a:ext cx="5731510" cy="2754630"/>
                    </a:xfrm>
                    <a:prstGeom prst="rect">
                      <a:avLst/>
                    </a:prstGeom>
                  </pic:spPr>
                </pic:pic>
              </a:graphicData>
            </a:graphic>
          </wp:inline>
        </w:drawing>
      </w:r>
    </w:p>
    <w:p w14:paraId="09F70B58" w14:textId="77777777" w:rsidR="00417C11" w:rsidRPr="00417C11" w:rsidRDefault="00417C11" w:rsidP="00417C11">
      <w:pPr>
        <w:rPr>
          <w:sz w:val="28"/>
          <w:szCs w:val="28"/>
        </w:rPr>
      </w:pPr>
      <w:r w:rsidRPr="00417C11">
        <w:rPr>
          <w:sz w:val="28"/>
          <w:szCs w:val="28"/>
        </w:rPr>
        <w:t>The Volcker Rule is a federal regulation designed to safeguard bank customers by prohibiting specific investment activities of banks with their own accounts. It restricts banks from engaging in short-term proprietary trading of securities, derivatives, commodity futures, and options on these instruments. The rule aims to minimize risk and maintain financial stability by preventing banks from using their own accounts for speculative investments that contributed to the 2007-2008 financial crisis.</w:t>
      </w:r>
    </w:p>
    <w:p w14:paraId="657AEF7B" w14:textId="77777777" w:rsidR="00417C11" w:rsidRPr="00417C11" w:rsidRDefault="00417C11" w:rsidP="00417C11">
      <w:pPr>
        <w:rPr>
          <w:sz w:val="28"/>
          <w:szCs w:val="28"/>
        </w:rPr>
      </w:pPr>
      <w:r w:rsidRPr="00417C11">
        <w:rPr>
          <w:sz w:val="28"/>
          <w:szCs w:val="28"/>
        </w:rPr>
        <w:t>Key Provisions and Evolution</w:t>
      </w:r>
    </w:p>
    <w:p w14:paraId="38422A96" w14:textId="77777777" w:rsidR="00417C11" w:rsidRPr="00417C11" w:rsidRDefault="00417C11" w:rsidP="00417C11">
      <w:pPr>
        <w:numPr>
          <w:ilvl w:val="0"/>
          <w:numId w:val="1"/>
        </w:numPr>
        <w:rPr>
          <w:sz w:val="28"/>
          <w:szCs w:val="28"/>
        </w:rPr>
      </w:pPr>
      <w:r w:rsidRPr="00417C11">
        <w:rPr>
          <w:b/>
          <w:bCs/>
          <w:sz w:val="28"/>
          <w:szCs w:val="28"/>
        </w:rPr>
        <w:t>Prohibition on Short-Term Proprietary Trading</w:t>
      </w:r>
      <w:r w:rsidRPr="00417C11">
        <w:rPr>
          <w:sz w:val="28"/>
          <w:szCs w:val="28"/>
        </w:rPr>
        <w:t>: The Volcker Rule prohibits banks from using their own accounts for short-term proprietary trading of securities, derivatives, commodity futures, and options on these instruments.</w:t>
      </w:r>
    </w:p>
    <w:p w14:paraId="5D687B5B" w14:textId="77777777" w:rsidR="00417C11" w:rsidRPr="00417C11" w:rsidRDefault="00417C11" w:rsidP="00417C11">
      <w:pPr>
        <w:numPr>
          <w:ilvl w:val="0"/>
          <w:numId w:val="1"/>
        </w:numPr>
        <w:rPr>
          <w:sz w:val="28"/>
          <w:szCs w:val="28"/>
        </w:rPr>
      </w:pPr>
      <w:r w:rsidRPr="00417C11">
        <w:rPr>
          <w:b/>
          <w:bCs/>
          <w:sz w:val="28"/>
          <w:szCs w:val="28"/>
        </w:rPr>
        <w:t>Exceptions and Loosening Restrictions</w:t>
      </w:r>
      <w:r w:rsidRPr="00417C11">
        <w:rPr>
          <w:sz w:val="28"/>
          <w:szCs w:val="28"/>
        </w:rPr>
        <w:t>: The rule includes exceptions for certain activities, such as market-making and hedging. In 2020, bank regulators loosened restrictions to allow lenders to invest in venture capital funds and other assets.</w:t>
      </w:r>
    </w:p>
    <w:p w14:paraId="0C513B1D" w14:textId="77777777" w:rsidR="00417C11" w:rsidRPr="00417C11" w:rsidRDefault="00417C11" w:rsidP="00417C11">
      <w:pPr>
        <w:numPr>
          <w:ilvl w:val="0"/>
          <w:numId w:val="1"/>
        </w:numPr>
        <w:rPr>
          <w:sz w:val="28"/>
          <w:szCs w:val="28"/>
        </w:rPr>
      </w:pPr>
      <w:r w:rsidRPr="00417C11">
        <w:rPr>
          <w:b/>
          <w:bCs/>
          <w:sz w:val="28"/>
          <w:szCs w:val="28"/>
        </w:rPr>
        <w:t>Implementation and Timeline</w:t>
      </w:r>
      <w:r w:rsidRPr="00417C11">
        <w:rPr>
          <w:sz w:val="28"/>
          <w:szCs w:val="28"/>
        </w:rPr>
        <w:t>: The rule was first proposed by Paul Volcker in 2010 as part of the Dodd-Frank Wall Street Reform and Consumer Protection Act. It went into effect on April 1, 2014, with full compliance required by July 21, 2015.</w:t>
      </w:r>
    </w:p>
    <w:p w14:paraId="23556DFA" w14:textId="77777777" w:rsidR="00417C11" w:rsidRPr="00417C11" w:rsidRDefault="00417C11" w:rsidP="00417C11">
      <w:pPr>
        <w:rPr>
          <w:sz w:val="28"/>
          <w:szCs w:val="28"/>
        </w:rPr>
      </w:pPr>
      <w:r w:rsidRPr="00417C11">
        <w:rPr>
          <w:sz w:val="28"/>
          <w:szCs w:val="28"/>
        </w:rPr>
        <w:t>Purpose and Criticisms</w:t>
      </w:r>
    </w:p>
    <w:p w14:paraId="1F68CA44" w14:textId="77777777" w:rsidR="00417C11" w:rsidRPr="00417C11" w:rsidRDefault="00417C11" w:rsidP="00417C11">
      <w:pPr>
        <w:numPr>
          <w:ilvl w:val="0"/>
          <w:numId w:val="2"/>
        </w:numPr>
        <w:rPr>
          <w:sz w:val="28"/>
          <w:szCs w:val="28"/>
        </w:rPr>
      </w:pPr>
      <w:r w:rsidRPr="00417C11">
        <w:rPr>
          <w:b/>
          <w:bCs/>
          <w:sz w:val="28"/>
          <w:szCs w:val="28"/>
        </w:rPr>
        <w:lastRenderedPageBreak/>
        <w:t>Purpose</w:t>
      </w:r>
      <w:r w:rsidRPr="00417C11">
        <w:rPr>
          <w:sz w:val="28"/>
          <w:szCs w:val="28"/>
        </w:rPr>
        <w:t>: The Volcker Rule aims to protect bank customers from the speculative investments that contributed to the financial crisis by restricting banks from using their own accounts for short-term proprietary trading.</w:t>
      </w:r>
    </w:p>
    <w:p w14:paraId="12246042" w14:textId="77777777" w:rsidR="00417C11" w:rsidRPr="00417C11" w:rsidRDefault="00417C11" w:rsidP="00417C11">
      <w:pPr>
        <w:numPr>
          <w:ilvl w:val="0"/>
          <w:numId w:val="2"/>
        </w:numPr>
        <w:rPr>
          <w:sz w:val="28"/>
          <w:szCs w:val="28"/>
        </w:rPr>
      </w:pPr>
      <w:r w:rsidRPr="00417C11">
        <w:rPr>
          <w:b/>
          <w:bCs/>
          <w:sz w:val="28"/>
          <w:szCs w:val="28"/>
        </w:rPr>
        <w:t>Criticisms</w:t>
      </w:r>
      <w:r w:rsidRPr="00417C11">
        <w:rPr>
          <w:sz w:val="28"/>
          <w:szCs w:val="28"/>
        </w:rPr>
        <w:t>: Critics argue that the rule could reduce liquidity due to a decrease in banks' market-making activities. Some have also expressed concerns about the costs associated with implementing the rule and the potential impact on the competitiveness of American banks.</w:t>
      </w:r>
    </w:p>
    <w:p w14:paraId="188D7761" w14:textId="77777777" w:rsidR="00417C11" w:rsidRPr="00417C11" w:rsidRDefault="00417C11" w:rsidP="00417C11">
      <w:pPr>
        <w:rPr>
          <w:sz w:val="28"/>
          <w:szCs w:val="28"/>
        </w:rPr>
      </w:pPr>
      <w:r w:rsidRPr="00417C11">
        <w:rPr>
          <w:sz w:val="28"/>
          <w:szCs w:val="28"/>
        </w:rPr>
        <w:t>Future Developments</w:t>
      </w:r>
    </w:p>
    <w:p w14:paraId="06298EF2" w14:textId="77777777" w:rsidR="00417C11" w:rsidRPr="00417C11" w:rsidRDefault="00417C11" w:rsidP="00417C11">
      <w:pPr>
        <w:numPr>
          <w:ilvl w:val="0"/>
          <w:numId w:val="3"/>
        </w:numPr>
        <w:rPr>
          <w:sz w:val="28"/>
          <w:szCs w:val="28"/>
        </w:rPr>
      </w:pPr>
      <w:r w:rsidRPr="00417C11">
        <w:rPr>
          <w:b/>
          <w:bCs/>
          <w:sz w:val="28"/>
          <w:szCs w:val="28"/>
        </w:rPr>
        <w:t>Revisions and Rollbacks</w:t>
      </w:r>
      <w:r w:rsidRPr="00417C11">
        <w:rPr>
          <w:sz w:val="28"/>
          <w:szCs w:val="28"/>
        </w:rPr>
        <w:t>: Since President Donald Trump's election in 2016, there have been efforts to revise the Volcker Rule. The Treasury Department recommended significant changes to the rule in June 2017, and the OCC has led efforts to revise the rule in accordance with some of these recommendations. In June 2020, bank regulators loosened one of the Volcker Rule provisions to allow lenders to invest in venture capital funds and other assets.</w:t>
      </w:r>
    </w:p>
    <w:p w14:paraId="035D9111" w14:textId="77777777" w:rsidR="00417C11" w:rsidRPr="00417C11" w:rsidRDefault="00417C11" w:rsidP="00417C11">
      <w:pPr>
        <w:numPr>
          <w:ilvl w:val="0"/>
          <w:numId w:val="3"/>
        </w:numPr>
        <w:rPr>
          <w:sz w:val="28"/>
          <w:szCs w:val="28"/>
        </w:rPr>
      </w:pPr>
      <w:r w:rsidRPr="00417C11">
        <w:rPr>
          <w:b/>
          <w:bCs/>
          <w:sz w:val="28"/>
          <w:szCs w:val="28"/>
        </w:rPr>
        <w:t>Future Directions</w:t>
      </w:r>
      <w:r w:rsidRPr="00417C11">
        <w:rPr>
          <w:sz w:val="28"/>
          <w:szCs w:val="28"/>
        </w:rPr>
        <w:t xml:space="preserve">: After President Joe Biden's election in 2020, the new administration </w:t>
      </w:r>
      <w:proofErr w:type="spellStart"/>
      <w:r w:rsidRPr="00417C11">
        <w:rPr>
          <w:sz w:val="28"/>
          <w:szCs w:val="28"/>
        </w:rPr>
        <w:t>signaled</w:t>
      </w:r>
      <w:proofErr w:type="spellEnd"/>
      <w:r w:rsidRPr="00417C11">
        <w:rPr>
          <w:sz w:val="28"/>
          <w:szCs w:val="28"/>
        </w:rPr>
        <w:t xml:space="preserve"> its support to reverse the Trump-era diminutions to financial system regulations, which could potentially impact the future of the Volcker Rule.</w:t>
      </w:r>
    </w:p>
    <w:p w14:paraId="3792E0AA" w14:textId="77777777" w:rsidR="00417C11" w:rsidRPr="00417C11" w:rsidRDefault="00417C11" w:rsidP="00417C11">
      <w:pPr>
        <w:rPr>
          <w:sz w:val="28"/>
          <w:szCs w:val="28"/>
        </w:rPr>
      </w:pPr>
      <w:r w:rsidRPr="00417C11">
        <w:rPr>
          <w:sz w:val="28"/>
          <w:szCs w:val="28"/>
        </w:rPr>
        <w:t>Background and Context</w:t>
      </w:r>
    </w:p>
    <w:p w14:paraId="18C1A909" w14:textId="77777777" w:rsidR="00417C11" w:rsidRPr="00417C11" w:rsidRDefault="00417C11" w:rsidP="00417C11">
      <w:pPr>
        <w:numPr>
          <w:ilvl w:val="0"/>
          <w:numId w:val="4"/>
        </w:numPr>
        <w:rPr>
          <w:sz w:val="28"/>
          <w:szCs w:val="28"/>
        </w:rPr>
      </w:pPr>
      <w:r w:rsidRPr="00417C11">
        <w:rPr>
          <w:b/>
          <w:bCs/>
          <w:sz w:val="28"/>
          <w:szCs w:val="28"/>
        </w:rPr>
        <w:t>Paul Volcker</w:t>
      </w:r>
      <w:r w:rsidRPr="00417C11">
        <w:rPr>
          <w:sz w:val="28"/>
          <w:szCs w:val="28"/>
        </w:rPr>
        <w:t>: The rule is named after Paul Volcker, a former Federal Reserve Chairman who argued that banks' high-risk speculation created an unacceptable level of systemic risk and contributed to the financial crisis.</w:t>
      </w:r>
    </w:p>
    <w:p w14:paraId="587E787D" w14:textId="77777777" w:rsidR="00417C11" w:rsidRPr="00417C11" w:rsidRDefault="00417C11" w:rsidP="00417C11">
      <w:pPr>
        <w:numPr>
          <w:ilvl w:val="0"/>
          <w:numId w:val="4"/>
        </w:numPr>
        <w:rPr>
          <w:sz w:val="28"/>
          <w:szCs w:val="28"/>
        </w:rPr>
      </w:pPr>
      <w:r w:rsidRPr="00417C11">
        <w:rPr>
          <w:b/>
          <w:bCs/>
          <w:sz w:val="28"/>
          <w:szCs w:val="28"/>
        </w:rPr>
        <w:t>Financial Crisis</w:t>
      </w:r>
      <w:r w:rsidRPr="00417C11">
        <w:rPr>
          <w:sz w:val="28"/>
          <w:szCs w:val="28"/>
        </w:rPr>
        <w:t>: The Volcker Rule was introduced in response to the 2007-2008 financial crisis, which was characterized by excessive risk-taking and speculative investments by banks.</w:t>
      </w:r>
    </w:p>
    <w:p w14:paraId="06E1326C" w14:textId="77777777" w:rsidR="00417C11" w:rsidRPr="00417C11" w:rsidRDefault="00417C11" w:rsidP="00417C11">
      <w:pPr>
        <w:numPr>
          <w:ilvl w:val="0"/>
          <w:numId w:val="4"/>
        </w:numPr>
        <w:rPr>
          <w:sz w:val="28"/>
          <w:szCs w:val="28"/>
        </w:rPr>
      </w:pPr>
      <w:r w:rsidRPr="00417C11">
        <w:rPr>
          <w:b/>
          <w:bCs/>
          <w:sz w:val="28"/>
          <w:szCs w:val="28"/>
        </w:rPr>
        <w:t>International Monetary Fund (IMF) Analysis</w:t>
      </w:r>
      <w:r w:rsidRPr="00417C11">
        <w:rPr>
          <w:sz w:val="28"/>
          <w:szCs w:val="28"/>
        </w:rPr>
        <w:t>: IMF analysts have argued that regulations to prevent speculative bets are hard to enforce, highlighting the challenges in implementing and enforcing the Volcker Rule effectively.</w:t>
      </w:r>
    </w:p>
    <w:p w14:paraId="08581901" w14:textId="77777777" w:rsidR="00417C11" w:rsidRPr="00417C11" w:rsidRDefault="00417C11" w:rsidP="00417C11">
      <w:pPr>
        <w:rPr>
          <w:sz w:val="28"/>
          <w:szCs w:val="28"/>
        </w:rPr>
      </w:pPr>
      <w:r w:rsidRPr="00417C11">
        <w:rPr>
          <w:sz w:val="28"/>
          <w:szCs w:val="28"/>
        </w:rPr>
        <w:t>Implementation and Challenges</w:t>
      </w:r>
    </w:p>
    <w:p w14:paraId="36C3DE95" w14:textId="77777777" w:rsidR="00417C11" w:rsidRPr="00417C11" w:rsidRDefault="00417C11" w:rsidP="00417C11">
      <w:pPr>
        <w:numPr>
          <w:ilvl w:val="0"/>
          <w:numId w:val="5"/>
        </w:numPr>
        <w:rPr>
          <w:sz w:val="28"/>
          <w:szCs w:val="28"/>
        </w:rPr>
      </w:pPr>
      <w:r w:rsidRPr="00417C11">
        <w:rPr>
          <w:b/>
          <w:bCs/>
          <w:sz w:val="28"/>
          <w:szCs w:val="28"/>
        </w:rPr>
        <w:lastRenderedPageBreak/>
        <w:t>Public Comments and Lobbying</w:t>
      </w:r>
      <w:r w:rsidRPr="00417C11">
        <w:rPr>
          <w:sz w:val="28"/>
          <w:szCs w:val="28"/>
        </w:rPr>
        <w:t>: The rule has faced intense lobbying and legal challenges from affected financial firms, which has complicated the implementation process.</w:t>
      </w:r>
    </w:p>
    <w:p w14:paraId="133EBBD8" w14:textId="77777777" w:rsidR="00417C11" w:rsidRPr="00417C11" w:rsidRDefault="00417C11" w:rsidP="00417C11">
      <w:pPr>
        <w:numPr>
          <w:ilvl w:val="0"/>
          <w:numId w:val="5"/>
        </w:numPr>
        <w:rPr>
          <w:sz w:val="28"/>
          <w:szCs w:val="28"/>
        </w:rPr>
      </w:pPr>
      <w:r w:rsidRPr="00417C11">
        <w:rPr>
          <w:b/>
          <w:bCs/>
          <w:sz w:val="28"/>
          <w:szCs w:val="28"/>
        </w:rPr>
        <w:t>Regulatory Complexity</w:t>
      </w:r>
      <w:r w:rsidRPr="00417C11">
        <w:rPr>
          <w:sz w:val="28"/>
          <w:szCs w:val="28"/>
        </w:rPr>
        <w:t>: The rule is a 71-page document due to the difficulty of distinguishing speculative activities from more legitimate business practices, making it challenging for banks to comply.</w:t>
      </w:r>
    </w:p>
    <w:p w14:paraId="7387C49B" w14:textId="1C67235F" w:rsidR="00417C11" w:rsidRPr="00417C11" w:rsidRDefault="00417C11" w:rsidP="00417C11">
      <w:pPr>
        <w:rPr>
          <w:sz w:val="28"/>
          <w:szCs w:val="28"/>
        </w:rPr>
      </w:pPr>
      <w:r w:rsidRPr="00417C11">
        <w:rPr>
          <w:sz w:val="28"/>
          <w:szCs w:val="28"/>
        </w:rPr>
        <w:t>Overall, the Volcker Rule is a significant regulation aimed at promoting financial stability by restricting banks' speculative activities. While it has faced criticisms and challenges, its purpose remains to protect bank customers and prevent a repeat of the financial crisis.</w:t>
      </w:r>
    </w:p>
    <w:p w14:paraId="028C07DD" w14:textId="77777777" w:rsidR="00417C11" w:rsidRPr="00417C11" w:rsidRDefault="00417C11" w:rsidP="00417C11">
      <w:pPr>
        <w:rPr>
          <w:sz w:val="28"/>
          <w:szCs w:val="28"/>
        </w:rPr>
      </w:pPr>
    </w:p>
    <w:p w14:paraId="58381A07" w14:textId="2F74517E" w:rsidR="00417C11" w:rsidRPr="00417C11" w:rsidRDefault="00417C11" w:rsidP="00417C11">
      <w:pPr>
        <w:rPr>
          <w:b/>
          <w:bCs/>
          <w:sz w:val="36"/>
          <w:szCs w:val="36"/>
        </w:rPr>
      </w:pPr>
      <w:r>
        <w:rPr>
          <w:b/>
          <w:bCs/>
          <w:sz w:val="36"/>
          <w:szCs w:val="36"/>
        </w:rPr>
        <w:t>R</w:t>
      </w:r>
      <w:r w:rsidRPr="00417C11">
        <w:rPr>
          <w:b/>
          <w:bCs/>
          <w:sz w:val="36"/>
          <w:szCs w:val="36"/>
        </w:rPr>
        <w:t xml:space="preserve">etail </w:t>
      </w:r>
      <w:r>
        <w:rPr>
          <w:b/>
          <w:bCs/>
          <w:sz w:val="36"/>
          <w:szCs w:val="36"/>
        </w:rPr>
        <w:t>B</w:t>
      </w:r>
      <w:r w:rsidRPr="00417C11">
        <w:rPr>
          <w:b/>
          <w:bCs/>
          <w:sz w:val="36"/>
          <w:szCs w:val="36"/>
        </w:rPr>
        <w:t xml:space="preserve">anking </w:t>
      </w:r>
      <w:r>
        <w:rPr>
          <w:b/>
          <w:bCs/>
          <w:sz w:val="36"/>
          <w:szCs w:val="36"/>
        </w:rPr>
        <w:t>O</w:t>
      </w:r>
      <w:r w:rsidRPr="00417C11">
        <w:rPr>
          <w:b/>
          <w:bCs/>
          <w:sz w:val="36"/>
          <w:szCs w:val="36"/>
        </w:rPr>
        <w:t>perations</w:t>
      </w:r>
    </w:p>
    <w:p w14:paraId="26FCB2DA" w14:textId="77777777" w:rsidR="00417C11" w:rsidRPr="00417C11" w:rsidRDefault="00417C11" w:rsidP="00417C11">
      <w:pPr>
        <w:numPr>
          <w:ilvl w:val="0"/>
          <w:numId w:val="6"/>
        </w:numPr>
        <w:rPr>
          <w:sz w:val="28"/>
          <w:szCs w:val="28"/>
        </w:rPr>
      </w:pPr>
      <w:r w:rsidRPr="00417C11">
        <w:rPr>
          <w:b/>
          <w:bCs/>
          <w:sz w:val="28"/>
          <w:szCs w:val="28"/>
        </w:rPr>
        <w:t>Definition and Importance</w:t>
      </w:r>
      <w:r w:rsidRPr="00417C11">
        <w:rPr>
          <w:sz w:val="28"/>
          <w:szCs w:val="28"/>
        </w:rPr>
        <w:t>: Retail banking refers to the division of a bank that caters to individual consumers, providing essential financial services such as checking and savings accounts, mortgages, loans, and credit cards. It has become a crucial area of strategic emphasis in the US banking industry, with rising trends in retail loan and deposit shares on commercial bank balance sheets and a growing number of bank branches.</w:t>
      </w:r>
    </w:p>
    <w:p w14:paraId="47662525" w14:textId="77777777" w:rsidR="00417C11" w:rsidRPr="00417C11" w:rsidRDefault="00417C11" w:rsidP="00417C11">
      <w:pPr>
        <w:numPr>
          <w:ilvl w:val="0"/>
          <w:numId w:val="6"/>
        </w:numPr>
        <w:rPr>
          <w:sz w:val="28"/>
          <w:szCs w:val="28"/>
        </w:rPr>
      </w:pPr>
      <w:r w:rsidRPr="00417C11">
        <w:rPr>
          <w:b/>
          <w:bCs/>
          <w:sz w:val="28"/>
          <w:szCs w:val="28"/>
        </w:rPr>
        <w:t>Key Services and Products</w:t>
      </w:r>
      <w:r w:rsidRPr="00417C11">
        <w:rPr>
          <w:sz w:val="28"/>
          <w:szCs w:val="28"/>
        </w:rPr>
        <w:t>: Retail banks offer a wide range of products and services, including:</w:t>
      </w:r>
    </w:p>
    <w:p w14:paraId="34ABCF03" w14:textId="77777777" w:rsidR="00417C11" w:rsidRPr="00417C11" w:rsidRDefault="00417C11" w:rsidP="00417C11">
      <w:pPr>
        <w:numPr>
          <w:ilvl w:val="1"/>
          <w:numId w:val="6"/>
        </w:numPr>
        <w:rPr>
          <w:sz w:val="28"/>
          <w:szCs w:val="28"/>
        </w:rPr>
      </w:pPr>
      <w:r w:rsidRPr="00417C11">
        <w:rPr>
          <w:sz w:val="28"/>
          <w:szCs w:val="28"/>
        </w:rPr>
        <w:t>Checking and savings accounts</w:t>
      </w:r>
    </w:p>
    <w:p w14:paraId="3E318660" w14:textId="77777777" w:rsidR="00417C11" w:rsidRPr="00417C11" w:rsidRDefault="00417C11" w:rsidP="00417C11">
      <w:pPr>
        <w:numPr>
          <w:ilvl w:val="1"/>
          <w:numId w:val="6"/>
        </w:numPr>
        <w:rPr>
          <w:sz w:val="28"/>
          <w:szCs w:val="28"/>
        </w:rPr>
      </w:pPr>
      <w:r w:rsidRPr="00417C11">
        <w:rPr>
          <w:sz w:val="28"/>
          <w:szCs w:val="28"/>
        </w:rPr>
        <w:t>Mortgages</w:t>
      </w:r>
    </w:p>
    <w:p w14:paraId="0CFCD404" w14:textId="77777777" w:rsidR="00417C11" w:rsidRPr="00417C11" w:rsidRDefault="00417C11" w:rsidP="00417C11">
      <w:pPr>
        <w:numPr>
          <w:ilvl w:val="1"/>
          <w:numId w:val="6"/>
        </w:numPr>
        <w:rPr>
          <w:sz w:val="28"/>
          <w:szCs w:val="28"/>
        </w:rPr>
      </w:pPr>
      <w:r w:rsidRPr="00417C11">
        <w:rPr>
          <w:sz w:val="28"/>
          <w:szCs w:val="28"/>
        </w:rPr>
        <w:t>Loans (e.g., automobile financing, home equity lending)</w:t>
      </w:r>
    </w:p>
    <w:p w14:paraId="5A5E4756" w14:textId="77777777" w:rsidR="00417C11" w:rsidRPr="00417C11" w:rsidRDefault="00417C11" w:rsidP="00417C11">
      <w:pPr>
        <w:numPr>
          <w:ilvl w:val="1"/>
          <w:numId w:val="6"/>
        </w:numPr>
        <w:rPr>
          <w:sz w:val="28"/>
          <w:szCs w:val="28"/>
        </w:rPr>
      </w:pPr>
      <w:r w:rsidRPr="00417C11">
        <w:rPr>
          <w:sz w:val="28"/>
          <w:szCs w:val="28"/>
        </w:rPr>
        <w:t>Credit cards</w:t>
      </w:r>
    </w:p>
    <w:p w14:paraId="6DE39CAF" w14:textId="77777777" w:rsidR="00417C11" w:rsidRPr="00417C11" w:rsidRDefault="00417C11" w:rsidP="00417C11">
      <w:pPr>
        <w:numPr>
          <w:ilvl w:val="1"/>
          <w:numId w:val="6"/>
        </w:numPr>
        <w:rPr>
          <w:sz w:val="28"/>
          <w:szCs w:val="28"/>
        </w:rPr>
      </w:pPr>
      <w:r w:rsidRPr="00417C11">
        <w:rPr>
          <w:sz w:val="28"/>
          <w:szCs w:val="28"/>
        </w:rPr>
        <w:t>Lines of credit</w:t>
      </w:r>
    </w:p>
    <w:p w14:paraId="4FFEDBBC" w14:textId="77777777" w:rsidR="00417C11" w:rsidRPr="00417C11" w:rsidRDefault="00417C11" w:rsidP="00417C11">
      <w:pPr>
        <w:numPr>
          <w:ilvl w:val="1"/>
          <w:numId w:val="6"/>
        </w:numPr>
        <w:rPr>
          <w:sz w:val="28"/>
          <w:szCs w:val="28"/>
        </w:rPr>
      </w:pPr>
      <w:r w:rsidRPr="00417C11">
        <w:rPr>
          <w:sz w:val="28"/>
          <w:szCs w:val="28"/>
        </w:rPr>
        <w:t>Foreign currency services</w:t>
      </w:r>
    </w:p>
    <w:p w14:paraId="7F40A65E" w14:textId="77777777" w:rsidR="00417C11" w:rsidRPr="00417C11" w:rsidRDefault="00417C11" w:rsidP="00417C11">
      <w:pPr>
        <w:numPr>
          <w:ilvl w:val="1"/>
          <w:numId w:val="6"/>
        </w:numPr>
        <w:rPr>
          <w:sz w:val="28"/>
          <w:szCs w:val="28"/>
        </w:rPr>
      </w:pPr>
      <w:r w:rsidRPr="00417C11">
        <w:rPr>
          <w:sz w:val="28"/>
          <w:szCs w:val="28"/>
        </w:rPr>
        <w:t>Ancillary services like stockbrokerage, insurance, wealth management, and private banking.</w:t>
      </w:r>
    </w:p>
    <w:p w14:paraId="6E3B53A4" w14:textId="77777777" w:rsidR="00417C11" w:rsidRPr="00417C11" w:rsidRDefault="00417C11" w:rsidP="00417C11">
      <w:pPr>
        <w:numPr>
          <w:ilvl w:val="0"/>
          <w:numId w:val="6"/>
        </w:numPr>
        <w:rPr>
          <w:sz w:val="28"/>
          <w:szCs w:val="28"/>
        </w:rPr>
      </w:pPr>
      <w:r w:rsidRPr="00417C11">
        <w:rPr>
          <w:b/>
          <w:bCs/>
          <w:sz w:val="28"/>
          <w:szCs w:val="28"/>
        </w:rPr>
        <w:t>Delivery Channels</w:t>
      </w:r>
      <w:r w:rsidRPr="00417C11">
        <w:rPr>
          <w:sz w:val="28"/>
          <w:szCs w:val="28"/>
        </w:rPr>
        <w:t>: Retail banking delivery channels include:</w:t>
      </w:r>
    </w:p>
    <w:p w14:paraId="75049F34" w14:textId="77777777" w:rsidR="00417C11" w:rsidRPr="00417C11" w:rsidRDefault="00417C11" w:rsidP="00417C11">
      <w:pPr>
        <w:numPr>
          <w:ilvl w:val="1"/>
          <w:numId w:val="6"/>
        </w:numPr>
        <w:rPr>
          <w:sz w:val="28"/>
          <w:szCs w:val="28"/>
        </w:rPr>
      </w:pPr>
      <w:r w:rsidRPr="00417C11">
        <w:rPr>
          <w:sz w:val="28"/>
          <w:szCs w:val="28"/>
        </w:rPr>
        <w:lastRenderedPageBreak/>
        <w:t>Branches: The primary retail banking delivery channel, which plays a pivotal role in attracting and retaining consumer deposits, the core retail banking product.</w:t>
      </w:r>
    </w:p>
    <w:p w14:paraId="4D5C8BFF" w14:textId="77777777" w:rsidR="00417C11" w:rsidRPr="00417C11" w:rsidRDefault="00417C11" w:rsidP="00417C11">
      <w:pPr>
        <w:numPr>
          <w:ilvl w:val="1"/>
          <w:numId w:val="6"/>
        </w:numPr>
        <w:rPr>
          <w:sz w:val="28"/>
          <w:szCs w:val="28"/>
        </w:rPr>
      </w:pPr>
      <w:r w:rsidRPr="00417C11">
        <w:rPr>
          <w:sz w:val="28"/>
          <w:szCs w:val="28"/>
        </w:rPr>
        <w:t>Automated Teller Machines (ATMs)</w:t>
      </w:r>
    </w:p>
    <w:p w14:paraId="72738415" w14:textId="77777777" w:rsidR="00417C11" w:rsidRPr="00417C11" w:rsidRDefault="00417C11" w:rsidP="00417C11">
      <w:pPr>
        <w:numPr>
          <w:ilvl w:val="1"/>
          <w:numId w:val="6"/>
        </w:numPr>
        <w:rPr>
          <w:sz w:val="28"/>
          <w:szCs w:val="28"/>
        </w:rPr>
      </w:pPr>
      <w:r w:rsidRPr="00417C11">
        <w:rPr>
          <w:sz w:val="28"/>
          <w:szCs w:val="28"/>
        </w:rPr>
        <w:t>Online and telephone banking: Technological advancements have significantly impacted retail banking, with the widespread use of ATMs and the growing popularity of online and telephone banking.</w:t>
      </w:r>
    </w:p>
    <w:p w14:paraId="549F20A6" w14:textId="77777777" w:rsidR="00417C11" w:rsidRPr="00417C11" w:rsidRDefault="00417C11" w:rsidP="00417C11">
      <w:pPr>
        <w:numPr>
          <w:ilvl w:val="0"/>
          <w:numId w:val="6"/>
        </w:numPr>
        <w:rPr>
          <w:sz w:val="28"/>
          <w:szCs w:val="28"/>
        </w:rPr>
      </w:pPr>
      <w:r w:rsidRPr="00417C11">
        <w:rPr>
          <w:b/>
          <w:bCs/>
          <w:sz w:val="28"/>
          <w:szCs w:val="28"/>
        </w:rPr>
        <w:t>Internal Operations</w:t>
      </w:r>
      <w:r w:rsidRPr="00417C11">
        <w:rPr>
          <w:sz w:val="28"/>
          <w:szCs w:val="28"/>
        </w:rPr>
        <w:t>: Internal banking operations at retail banks involve:</w:t>
      </w:r>
    </w:p>
    <w:p w14:paraId="77B4666E" w14:textId="77777777" w:rsidR="00417C11" w:rsidRPr="00417C11" w:rsidRDefault="00417C11" w:rsidP="00417C11">
      <w:pPr>
        <w:numPr>
          <w:ilvl w:val="1"/>
          <w:numId w:val="6"/>
        </w:numPr>
        <w:rPr>
          <w:sz w:val="28"/>
          <w:szCs w:val="28"/>
        </w:rPr>
      </w:pPr>
      <w:r w:rsidRPr="00417C11">
        <w:rPr>
          <w:sz w:val="28"/>
          <w:szCs w:val="28"/>
        </w:rPr>
        <w:t>Opening new accounts</w:t>
      </w:r>
    </w:p>
    <w:p w14:paraId="5ECA79E7" w14:textId="77777777" w:rsidR="00417C11" w:rsidRPr="00417C11" w:rsidRDefault="00417C11" w:rsidP="00417C11">
      <w:pPr>
        <w:numPr>
          <w:ilvl w:val="1"/>
          <w:numId w:val="6"/>
        </w:numPr>
        <w:rPr>
          <w:sz w:val="28"/>
          <w:szCs w:val="28"/>
        </w:rPr>
      </w:pPr>
      <w:r w:rsidRPr="00417C11">
        <w:rPr>
          <w:sz w:val="28"/>
          <w:szCs w:val="28"/>
        </w:rPr>
        <w:t>Transferring money between accounts</w:t>
      </w:r>
    </w:p>
    <w:p w14:paraId="18B37B25" w14:textId="77777777" w:rsidR="00417C11" w:rsidRPr="00417C11" w:rsidRDefault="00417C11" w:rsidP="00417C11">
      <w:pPr>
        <w:numPr>
          <w:ilvl w:val="1"/>
          <w:numId w:val="6"/>
        </w:numPr>
        <w:rPr>
          <w:sz w:val="28"/>
          <w:szCs w:val="28"/>
        </w:rPr>
      </w:pPr>
      <w:r w:rsidRPr="00417C11">
        <w:rPr>
          <w:sz w:val="28"/>
          <w:szCs w:val="28"/>
        </w:rPr>
        <w:t>Assisting customers with managing deposits.</w:t>
      </w:r>
    </w:p>
    <w:p w14:paraId="38880752" w14:textId="77777777" w:rsidR="00417C11" w:rsidRPr="00417C11" w:rsidRDefault="00417C11" w:rsidP="00417C11">
      <w:pPr>
        <w:numPr>
          <w:ilvl w:val="0"/>
          <w:numId w:val="6"/>
        </w:numPr>
        <w:rPr>
          <w:sz w:val="28"/>
          <w:szCs w:val="28"/>
        </w:rPr>
      </w:pPr>
      <w:r w:rsidRPr="00417C11">
        <w:rPr>
          <w:b/>
          <w:bCs/>
          <w:sz w:val="28"/>
          <w:szCs w:val="28"/>
        </w:rPr>
        <w:t>Role in the Economy</w:t>
      </w:r>
      <w:r w:rsidRPr="00417C11">
        <w:rPr>
          <w:sz w:val="28"/>
          <w:szCs w:val="28"/>
        </w:rPr>
        <w:t>: Retail banking plays a crucial role in the economy by providing essential financial services to individual consumers, which in turn supports economic growth and job creation.</w:t>
      </w:r>
    </w:p>
    <w:p w14:paraId="558D9633" w14:textId="77777777" w:rsidR="00417C11" w:rsidRDefault="00417C11" w:rsidP="00417C11">
      <w:pPr>
        <w:numPr>
          <w:ilvl w:val="0"/>
          <w:numId w:val="6"/>
        </w:numPr>
        <w:rPr>
          <w:sz w:val="28"/>
          <w:szCs w:val="28"/>
        </w:rPr>
      </w:pPr>
      <w:r w:rsidRPr="00417C11">
        <w:rPr>
          <w:b/>
          <w:bCs/>
          <w:sz w:val="28"/>
          <w:szCs w:val="28"/>
        </w:rPr>
        <w:t>Comparison with Corporate Banking</w:t>
      </w:r>
      <w:r w:rsidRPr="00417C11">
        <w:rPr>
          <w:sz w:val="28"/>
          <w:szCs w:val="28"/>
        </w:rPr>
        <w:t>: Retail banking is distinct from corporate banking, which caters to businesses and corporations, offering products and services such as loans, credit products, treasury and cash management services, and more.</w:t>
      </w:r>
    </w:p>
    <w:p w14:paraId="7E2186CD" w14:textId="77777777" w:rsidR="009E64D7" w:rsidRDefault="009E64D7" w:rsidP="009E64D7">
      <w:pPr>
        <w:rPr>
          <w:sz w:val="28"/>
          <w:szCs w:val="28"/>
        </w:rPr>
      </w:pPr>
    </w:p>
    <w:p w14:paraId="3AE35DCC" w14:textId="77777777" w:rsidR="009E64D7" w:rsidRPr="00417C11" w:rsidRDefault="009E64D7" w:rsidP="009E64D7">
      <w:pPr>
        <w:rPr>
          <w:sz w:val="28"/>
          <w:szCs w:val="28"/>
        </w:rPr>
      </w:pPr>
    </w:p>
    <w:p w14:paraId="67034014" w14:textId="77777777" w:rsidR="009E64D7" w:rsidRDefault="009E64D7" w:rsidP="00417C11">
      <w:pPr>
        <w:rPr>
          <w:sz w:val="28"/>
          <w:szCs w:val="28"/>
        </w:rPr>
      </w:pPr>
    </w:p>
    <w:p w14:paraId="5262CC25" w14:textId="77777777" w:rsidR="009E64D7" w:rsidRDefault="009E64D7" w:rsidP="00417C11">
      <w:pPr>
        <w:rPr>
          <w:sz w:val="28"/>
          <w:szCs w:val="28"/>
        </w:rPr>
      </w:pPr>
    </w:p>
    <w:p w14:paraId="52373A17" w14:textId="77777777" w:rsidR="009E64D7" w:rsidRDefault="009E64D7" w:rsidP="00417C11">
      <w:pPr>
        <w:rPr>
          <w:sz w:val="28"/>
          <w:szCs w:val="28"/>
        </w:rPr>
      </w:pPr>
    </w:p>
    <w:p w14:paraId="70B81F56" w14:textId="77777777" w:rsidR="009E64D7" w:rsidRDefault="009E64D7" w:rsidP="00417C11">
      <w:pPr>
        <w:rPr>
          <w:sz w:val="28"/>
          <w:szCs w:val="28"/>
        </w:rPr>
      </w:pPr>
    </w:p>
    <w:p w14:paraId="5899F88A" w14:textId="77777777" w:rsidR="009E64D7" w:rsidRDefault="009E64D7" w:rsidP="00417C11">
      <w:pPr>
        <w:rPr>
          <w:sz w:val="28"/>
          <w:szCs w:val="28"/>
        </w:rPr>
      </w:pPr>
    </w:p>
    <w:p w14:paraId="394B5841" w14:textId="77777777" w:rsidR="009E64D7" w:rsidRDefault="009E64D7" w:rsidP="00417C11">
      <w:pPr>
        <w:rPr>
          <w:sz w:val="28"/>
          <w:szCs w:val="28"/>
        </w:rPr>
      </w:pPr>
    </w:p>
    <w:p w14:paraId="7465369C" w14:textId="77777777" w:rsidR="009E64D7" w:rsidRDefault="009E64D7" w:rsidP="00417C11">
      <w:pPr>
        <w:rPr>
          <w:sz w:val="28"/>
          <w:szCs w:val="28"/>
        </w:rPr>
      </w:pPr>
    </w:p>
    <w:p w14:paraId="23C8B9BF" w14:textId="1FE86EBC" w:rsidR="009E64D7" w:rsidRPr="00F7715A" w:rsidRDefault="009E64D7" w:rsidP="00417C11">
      <w:pPr>
        <w:rPr>
          <w:b/>
          <w:bCs/>
          <w:sz w:val="36"/>
          <w:szCs w:val="36"/>
        </w:rPr>
      </w:pPr>
      <w:r w:rsidRPr="009E64D7">
        <w:rPr>
          <w:b/>
          <w:bCs/>
          <w:sz w:val="36"/>
          <w:szCs w:val="36"/>
        </w:rPr>
        <w:lastRenderedPageBreak/>
        <w:t>US Retail Banking Market</w:t>
      </w:r>
      <w:r w:rsidRPr="009E64D7">
        <w:rPr>
          <w:b/>
          <w:bCs/>
          <w:sz w:val="36"/>
          <w:szCs w:val="36"/>
        </w:rPr>
        <w:t xml:space="preserve"> Size</w:t>
      </w:r>
    </w:p>
    <w:p w14:paraId="50953D07" w14:textId="0681272E" w:rsidR="00417C11" w:rsidRDefault="009E64D7" w:rsidP="00417C11">
      <w:pPr>
        <w:rPr>
          <w:sz w:val="28"/>
          <w:szCs w:val="28"/>
        </w:rPr>
      </w:pPr>
      <w:r>
        <w:rPr>
          <w:noProof/>
        </w:rPr>
        <w:drawing>
          <wp:inline distT="0" distB="0" distL="0" distR="0" wp14:anchorId="21152974" wp14:editId="43E417EA">
            <wp:extent cx="4572000" cy="2743200"/>
            <wp:effectExtent l="0" t="0" r="0" b="0"/>
            <wp:docPr id="482435848" name="Chart 1">
              <a:extLst xmlns:a="http://schemas.openxmlformats.org/drawingml/2006/main">
                <a:ext uri="{FF2B5EF4-FFF2-40B4-BE49-F238E27FC236}">
                  <a16:creationId xmlns:a16="http://schemas.microsoft.com/office/drawing/2014/main" id="{735D9025-EF23-738C-2446-E6A5A4588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6CE70B" w14:textId="77777777" w:rsidR="00F7715A" w:rsidRDefault="00F7715A" w:rsidP="00417C11">
      <w:pPr>
        <w:rPr>
          <w:sz w:val="28"/>
          <w:szCs w:val="28"/>
        </w:rPr>
      </w:pPr>
      <w:r>
        <w:rPr>
          <w:sz w:val="28"/>
          <w:szCs w:val="28"/>
        </w:rPr>
        <w:t>T</w:t>
      </w:r>
      <w:r w:rsidRPr="00F7715A">
        <w:rPr>
          <w:sz w:val="28"/>
          <w:szCs w:val="28"/>
        </w:rPr>
        <w:t>he graph</w:t>
      </w:r>
      <w:r>
        <w:rPr>
          <w:sz w:val="28"/>
          <w:szCs w:val="28"/>
        </w:rPr>
        <w:t xml:space="preserve"> shows that</w:t>
      </w:r>
      <w:r w:rsidRPr="00F7715A">
        <w:rPr>
          <w:sz w:val="28"/>
          <w:szCs w:val="28"/>
        </w:rPr>
        <w:t xml:space="preserve"> the US retail banking market has been steadily growing over the past seven years. </w:t>
      </w:r>
    </w:p>
    <w:p w14:paraId="0DA631FB" w14:textId="7C3D1C20" w:rsidR="00F7715A" w:rsidRDefault="00F7715A" w:rsidP="00417C11">
      <w:pPr>
        <w:rPr>
          <w:sz w:val="28"/>
          <w:szCs w:val="28"/>
        </w:rPr>
      </w:pPr>
      <w:r w:rsidRPr="00F7715A">
        <w:rPr>
          <w:sz w:val="28"/>
          <w:szCs w:val="28"/>
        </w:rPr>
        <w:t>The market size has increased from an estimated $300 billion in 2018 to $340 billion in 2024.</w:t>
      </w:r>
    </w:p>
    <w:p w14:paraId="4427EF36" w14:textId="5A7138CF" w:rsidR="00F7715A" w:rsidRDefault="00F7715A" w:rsidP="00417C11">
      <w:pPr>
        <w:rPr>
          <w:sz w:val="28"/>
          <w:szCs w:val="28"/>
        </w:rPr>
      </w:pPr>
      <w:r w:rsidRPr="00F7715A">
        <w:rPr>
          <w:sz w:val="28"/>
          <w:szCs w:val="28"/>
        </w:rPr>
        <w:t>The growth appears to be linear, indicating a consistent increase in market size year over year.</w:t>
      </w:r>
    </w:p>
    <w:p w14:paraId="7E5D4210" w14:textId="77777777" w:rsidR="009E64D7" w:rsidRDefault="009E64D7" w:rsidP="00417C11">
      <w:pPr>
        <w:rPr>
          <w:sz w:val="28"/>
          <w:szCs w:val="28"/>
        </w:rPr>
      </w:pPr>
    </w:p>
    <w:p w14:paraId="7B5F5521" w14:textId="07089CA7" w:rsidR="00F7715A" w:rsidRDefault="00F7715A" w:rsidP="00417C11">
      <w:pPr>
        <w:rPr>
          <w:sz w:val="28"/>
          <w:szCs w:val="28"/>
        </w:rPr>
      </w:pPr>
      <w:r>
        <w:rPr>
          <w:noProof/>
        </w:rPr>
        <w:drawing>
          <wp:inline distT="0" distB="0" distL="0" distR="0" wp14:anchorId="706E73B4" wp14:editId="5859B3B4">
            <wp:extent cx="4572000" cy="2743200"/>
            <wp:effectExtent l="0" t="0" r="0" b="0"/>
            <wp:docPr id="601207500" name="Chart 1">
              <a:extLst xmlns:a="http://schemas.openxmlformats.org/drawingml/2006/main">
                <a:ext uri="{FF2B5EF4-FFF2-40B4-BE49-F238E27FC236}">
                  <a16:creationId xmlns:a16="http://schemas.microsoft.com/office/drawing/2014/main" id="{D20B13BD-C0CA-E419-EFC6-33B8F7C13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CF738D" w14:textId="1422B009" w:rsidR="00F7715A" w:rsidRPr="00F7715A" w:rsidRDefault="00F7715A" w:rsidP="00F7715A">
      <w:pPr>
        <w:rPr>
          <w:sz w:val="28"/>
          <w:szCs w:val="28"/>
        </w:rPr>
      </w:pPr>
      <w:r>
        <w:rPr>
          <w:sz w:val="28"/>
          <w:szCs w:val="28"/>
        </w:rPr>
        <w:t>T</w:t>
      </w:r>
      <w:r w:rsidRPr="00F7715A">
        <w:rPr>
          <w:sz w:val="28"/>
          <w:szCs w:val="28"/>
        </w:rPr>
        <w:t>he graph</w:t>
      </w:r>
      <w:r>
        <w:rPr>
          <w:sz w:val="28"/>
          <w:szCs w:val="28"/>
        </w:rPr>
        <w:t xml:space="preserve"> shows</w:t>
      </w:r>
      <w:r w:rsidRPr="00F7715A">
        <w:rPr>
          <w:sz w:val="28"/>
          <w:szCs w:val="28"/>
        </w:rPr>
        <w:t xml:space="preserve">, spending on digital banking has steadily increased over the five years, from an estimated $30 billion in 2016 to $50 billion in 2020. </w:t>
      </w:r>
      <w:r w:rsidRPr="00F7715A">
        <w:rPr>
          <w:sz w:val="28"/>
          <w:szCs w:val="28"/>
        </w:rPr>
        <w:lastRenderedPageBreak/>
        <w:t>This suggests that retail banks are investing more and more in digital channels as they look to meet the changing needs of their customers.</w:t>
      </w:r>
    </w:p>
    <w:p w14:paraId="7790D71D" w14:textId="77777777" w:rsidR="00F7715A" w:rsidRPr="00F7715A" w:rsidRDefault="00F7715A" w:rsidP="00F7715A">
      <w:pPr>
        <w:rPr>
          <w:sz w:val="28"/>
          <w:szCs w:val="28"/>
        </w:rPr>
      </w:pPr>
      <w:r w:rsidRPr="00F7715A">
        <w:rPr>
          <w:sz w:val="28"/>
          <w:szCs w:val="28"/>
        </w:rPr>
        <w:t xml:space="preserve">Spending on branches appears to have declined slightly over the same period, from an estimated $40 billion in 2016 to $30 billion in 2020. This could be due to </w:t>
      </w:r>
      <w:proofErr w:type="gramStart"/>
      <w:r w:rsidRPr="00F7715A">
        <w:rPr>
          <w:sz w:val="28"/>
          <w:szCs w:val="28"/>
        </w:rPr>
        <w:t>a number of</w:t>
      </w:r>
      <w:proofErr w:type="gramEnd"/>
      <w:r w:rsidRPr="00F7715A">
        <w:rPr>
          <w:sz w:val="28"/>
          <w:szCs w:val="28"/>
        </w:rPr>
        <w:t xml:space="preserve"> factors, such as the increasing popularity of mobile and online banking, as well as the consolidation of branches by some banks.</w:t>
      </w:r>
    </w:p>
    <w:p w14:paraId="0A996D26" w14:textId="77777777" w:rsidR="00F7715A" w:rsidRPr="00F7715A" w:rsidRDefault="00F7715A" w:rsidP="00F7715A">
      <w:pPr>
        <w:rPr>
          <w:sz w:val="28"/>
          <w:szCs w:val="28"/>
        </w:rPr>
      </w:pPr>
      <w:r w:rsidRPr="00F7715A">
        <w:rPr>
          <w:sz w:val="28"/>
          <w:szCs w:val="28"/>
        </w:rPr>
        <w:t xml:space="preserve">Call </w:t>
      </w:r>
      <w:proofErr w:type="spellStart"/>
      <w:r w:rsidRPr="00F7715A">
        <w:rPr>
          <w:sz w:val="28"/>
          <w:szCs w:val="28"/>
        </w:rPr>
        <w:t>center</w:t>
      </w:r>
      <w:proofErr w:type="spellEnd"/>
      <w:r w:rsidRPr="00F7715A">
        <w:rPr>
          <w:sz w:val="28"/>
          <w:szCs w:val="28"/>
        </w:rPr>
        <w:t xml:space="preserve"> spending also appears to have decreased slightly, from an estimated $15 billion in 2016 to $11 billion in 2020. This could be due to the same factors that are driving the decline in branch spending, as well as the increasing use of self-service options for customer support.</w:t>
      </w:r>
    </w:p>
    <w:p w14:paraId="3AFCF6CA" w14:textId="77777777" w:rsidR="00F7715A" w:rsidRPr="00F7715A" w:rsidRDefault="00F7715A" w:rsidP="00F7715A">
      <w:pPr>
        <w:rPr>
          <w:sz w:val="28"/>
          <w:szCs w:val="28"/>
        </w:rPr>
      </w:pPr>
      <w:r w:rsidRPr="00F7715A">
        <w:rPr>
          <w:sz w:val="28"/>
          <w:szCs w:val="28"/>
        </w:rPr>
        <w:t>ATM spending has also seen a decline, from an estimated $15 billion in 2016 to $10 billion in 2020. This is likely due to the growing adoption of cashless payment methods, such as debit cards and mobile wallets.</w:t>
      </w:r>
    </w:p>
    <w:p w14:paraId="663C5AF9" w14:textId="77777777" w:rsidR="00F7715A" w:rsidRPr="00417C11" w:rsidRDefault="00F7715A" w:rsidP="00417C11">
      <w:pPr>
        <w:rPr>
          <w:sz w:val="28"/>
          <w:szCs w:val="28"/>
        </w:rPr>
      </w:pPr>
    </w:p>
    <w:sectPr w:rsidR="00F7715A" w:rsidRPr="0041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640"/>
    <w:multiLevelType w:val="multilevel"/>
    <w:tmpl w:val="D1F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A4531"/>
    <w:multiLevelType w:val="multilevel"/>
    <w:tmpl w:val="760C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2374F"/>
    <w:multiLevelType w:val="multilevel"/>
    <w:tmpl w:val="06625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B61F1"/>
    <w:multiLevelType w:val="multilevel"/>
    <w:tmpl w:val="56A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06B45"/>
    <w:multiLevelType w:val="multilevel"/>
    <w:tmpl w:val="10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D35D33"/>
    <w:multiLevelType w:val="multilevel"/>
    <w:tmpl w:val="8BE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567788">
    <w:abstractNumId w:val="3"/>
  </w:num>
  <w:num w:numId="2" w16cid:durableId="214388520">
    <w:abstractNumId w:val="0"/>
  </w:num>
  <w:num w:numId="3" w16cid:durableId="1123840579">
    <w:abstractNumId w:val="1"/>
  </w:num>
  <w:num w:numId="4" w16cid:durableId="89786914">
    <w:abstractNumId w:val="4"/>
  </w:num>
  <w:num w:numId="5" w16cid:durableId="47264559">
    <w:abstractNumId w:val="5"/>
  </w:num>
  <w:num w:numId="6" w16cid:durableId="155381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11"/>
    <w:rsid w:val="002E14F4"/>
    <w:rsid w:val="00417C11"/>
    <w:rsid w:val="00561F04"/>
    <w:rsid w:val="007E3B41"/>
    <w:rsid w:val="009E64D7"/>
    <w:rsid w:val="00AF2FA6"/>
    <w:rsid w:val="00F7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AF94"/>
  <w15:chartTrackingRefBased/>
  <w15:docId w15:val="{27408B1E-4953-47F4-A4FF-C96C1151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11"/>
    <w:rPr>
      <w:rFonts w:eastAsiaTheme="majorEastAsia" w:cstheme="majorBidi"/>
      <w:color w:val="272727" w:themeColor="text1" w:themeTint="D8"/>
    </w:rPr>
  </w:style>
  <w:style w:type="paragraph" w:styleId="Title">
    <w:name w:val="Title"/>
    <w:basedOn w:val="Normal"/>
    <w:next w:val="Normal"/>
    <w:link w:val="TitleChar"/>
    <w:uiPriority w:val="10"/>
    <w:qFormat/>
    <w:rsid w:val="00417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11"/>
    <w:pPr>
      <w:spacing w:before="160"/>
      <w:jc w:val="center"/>
    </w:pPr>
    <w:rPr>
      <w:i/>
      <w:iCs/>
      <w:color w:val="404040" w:themeColor="text1" w:themeTint="BF"/>
    </w:rPr>
  </w:style>
  <w:style w:type="character" w:customStyle="1" w:styleId="QuoteChar">
    <w:name w:val="Quote Char"/>
    <w:basedOn w:val="DefaultParagraphFont"/>
    <w:link w:val="Quote"/>
    <w:uiPriority w:val="29"/>
    <w:rsid w:val="00417C11"/>
    <w:rPr>
      <w:i/>
      <w:iCs/>
      <w:color w:val="404040" w:themeColor="text1" w:themeTint="BF"/>
    </w:rPr>
  </w:style>
  <w:style w:type="paragraph" w:styleId="ListParagraph">
    <w:name w:val="List Paragraph"/>
    <w:basedOn w:val="Normal"/>
    <w:uiPriority w:val="34"/>
    <w:qFormat/>
    <w:rsid w:val="00417C11"/>
    <w:pPr>
      <w:ind w:left="720"/>
      <w:contextualSpacing/>
    </w:pPr>
  </w:style>
  <w:style w:type="character" w:styleId="IntenseEmphasis">
    <w:name w:val="Intense Emphasis"/>
    <w:basedOn w:val="DefaultParagraphFont"/>
    <w:uiPriority w:val="21"/>
    <w:qFormat/>
    <w:rsid w:val="00417C11"/>
    <w:rPr>
      <w:i/>
      <w:iCs/>
      <w:color w:val="0F4761" w:themeColor="accent1" w:themeShade="BF"/>
    </w:rPr>
  </w:style>
  <w:style w:type="paragraph" w:styleId="IntenseQuote">
    <w:name w:val="Intense Quote"/>
    <w:basedOn w:val="Normal"/>
    <w:next w:val="Normal"/>
    <w:link w:val="IntenseQuoteChar"/>
    <w:uiPriority w:val="30"/>
    <w:qFormat/>
    <w:rsid w:val="00417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11"/>
    <w:rPr>
      <w:i/>
      <w:iCs/>
      <w:color w:val="0F4761" w:themeColor="accent1" w:themeShade="BF"/>
    </w:rPr>
  </w:style>
  <w:style w:type="character" w:styleId="IntenseReference">
    <w:name w:val="Intense Reference"/>
    <w:basedOn w:val="DefaultParagraphFont"/>
    <w:uiPriority w:val="32"/>
    <w:qFormat/>
    <w:rsid w:val="00417C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7613">
      <w:bodyDiv w:val="1"/>
      <w:marLeft w:val="0"/>
      <w:marRight w:val="0"/>
      <w:marTop w:val="0"/>
      <w:marBottom w:val="0"/>
      <w:divBdr>
        <w:top w:val="none" w:sz="0" w:space="0" w:color="auto"/>
        <w:left w:val="none" w:sz="0" w:space="0" w:color="auto"/>
        <w:bottom w:val="none" w:sz="0" w:space="0" w:color="auto"/>
        <w:right w:val="none" w:sz="0" w:space="0" w:color="auto"/>
      </w:divBdr>
    </w:div>
    <w:div w:id="688533781">
      <w:bodyDiv w:val="1"/>
      <w:marLeft w:val="0"/>
      <w:marRight w:val="0"/>
      <w:marTop w:val="0"/>
      <w:marBottom w:val="0"/>
      <w:divBdr>
        <w:top w:val="none" w:sz="0" w:space="0" w:color="auto"/>
        <w:left w:val="none" w:sz="0" w:space="0" w:color="auto"/>
        <w:bottom w:val="none" w:sz="0" w:space="0" w:color="auto"/>
        <w:right w:val="none" w:sz="0" w:space="0" w:color="auto"/>
      </w:divBdr>
    </w:div>
    <w:div w:id="982150685">
      <w:bodyDiv w:val="1"/>
      <w:marLeft w:val="0"/>
      <w:marRight w:val="0"/>
      <w:marTop w:val="0"/>
      <w:marBottom w:val="0"/>
      <w:divBdr>
        <w:top w:val="none" w:sz="0" w:space="0" w:color="auto"/>
        <w:left w:val="none" w:sz="0" w:space="0" w:color="auto"/>
        <w:bottom w:val="none" w:sz="0" w:space="0" w:color="auto"/>
        <w:right w:val="none" w:sz="0" w:space="0" w:color="auto"/>
      </w:divBdr>
    </w:div>
    <w:div w:id="1254782122">
      <w:bodyDiv w:val="1"/>
      <w:marLeft w:val="0"/>
      <w:marRight w:val="0"/>
      <w:marTop w:val="0"/>
      <w:marBottom w:val="0"/>
      <w:divBdr>
        <w:top w:val="none" w:sz="0" w:space="0" w:color="auto"/>
        <w:left w:val="none" w:sz="0" w:space="0" w:color="auto"/>
        <w:bottom w:val="none" w:sz="0" w:space="0" w:color="auto"/>
        <w:right w:val="none" w:sz="0" w:space="0" w:color="auto"/>
      </w:divBdr>
    </w:div>
    <w:div w:id="1357582275">
      <w:bodyDiv w:val="1"/>
      <w:marLeft w:val="0"/>
      <w:marRight w:val="0"/>
      <w:marTop w:val="0"/>
      <w:marBottom w:val="0"/>
      <w:divBdr>
        <w:top w:val="none" w:sz="0" w:space="0" w:color="auto"/>
        <w:left w:val="none" w:sz="0" w:space="0" w:color="auto"/>
        <w:bottom w:val="none" w:sz="0" w:space="0" w:color="auto"/>
        <w:right w:val="none" w:sz="0" w:space="0" w:color="auto"/>
      </w:divBdr>
    </w:div>
    <w:div w:id="1385979963">
      <w:bodyDiv w:val="1"/>
      <w:marLeft w:val="0"/>
      <w:marRight w:val="0"/>
      <w:marTop w:val="0"/>
      <w:marBottom w:val="0"/>
      <w:divBdr>
        <w:top w:val="none" w:sz="0" w:space="0" w:color="auto"/>
        <w:left w:val="none" w:sz="0" w:space="0" w:color="auto"/>
        <w:bottom w:val="none" w:sz="0" w:space="0" w:color="auto"/>
        <w:right w:val="none" w:sz="0" w:space="0" w:color="auto"/>
      </w:divBdr>
    </w:div>
    <w:div w:id="1413284460">
      <w:bodyDiv w:val="1"/>
      <w:marLeft w:val="0"/>
      <w:marRight w:val="0"/>
      <w:marTop w:val="0"/>
      <w:marBottom w:val="0"/>
      <w:divBdr>
        <w:top w:val="none" w:sz="0" w:space="0" w:color="auto"/>
        <w:left w:val="none" w:sz="0" w:space="0" w:color="auto"/>
        <w:bottom w:val="none" w:sz="0" w:space="0" w:color="auto"/>
        <w:right w:val="none" w:sz="0" w:space="0" w:color="auto"/>
      </w:divBdr>
    </w:div>
    <w:div w:id="16736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Market Size (USD Billion)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Sheet1!$A$2:$A$8</c:f>
              <c:numCache>
                <c:formatCode>General</c:formatCode>
                <c:ptCount val="7"/>
                <c:pt idx="0">
                  <c:v>2018</c:v>
                </c:pt>
                <c:pt idx="1">
                  <c:v>2019</c:v>
                </c:pt>
                <c:pt idx="2">
                  <c:v>2020</c:v>
                </c:pt>
                <c:pt idx="3">
                  <c:v>2021</c:v>
                </c:pt>
                <c:pt idx="4">
                  <c:v>2022</c:v>
                </c:pt>
                <c:pt idx="5">
                  <c:v>2023</c:v>
                </c:pt>
                <c:pt idx="6">
                  <c:v>2024</c:v>
                </c:pt>
              </c:numCache>
            </c:numRef>
          </c:cat>
          <c:val>
            <c:numRef>
              <c:f>Sheet1!$B$2:$B$8</c:f>
              <c:numCache>
                <c:formatCode>General</c:formatCode>
                <c:ptCount val="7"/>
                <c:pt idx="0">
                  <c:v>333.13</c:v>
                </c:pt>
                <c:pt idx="1">
                  <c:v>334.23</c:v>
                </c:pt>
                <c:pt idx="2">
                  <c:v>335.02</c:v>
                </c:pt>
                <c:pt idx="3">
                  <c:v>336.56</c:v>
                </c:pt>
                <c:pt idx="4">
                  <c:v>337.65</c:v>
                </c:pt>
                <c:pt idx="5">
                  <c:v>338.31</c:v>
                </c:pt>
                <c:pt idx="6">
                  <c:v>340</c:v>
                </c:pt>
              </c:numCache>
            </c:numRef>
          </c:val>
          <c:extLst>
            <c:ext xmlns:c16="http://schemas.microsoft.com/office/drawing/2014/chart" uri="{C3380CC4-5D6E-409C-BE32-E72D297353CC}">
              <c16:uniqueId val="{00000000-66DC-4D0C-9B46-63FB206095D2}"/>
            </c:ext>
          </c:extLst>
        </c:ser>
        <c:dLbls>
          <c:dLblPos val="outEnd"/>
          <c:showLegendKey val="0"/>
          <c:showVal val="1"/>
          <c:showCatName val="0"/>
          <c:showSerName val="0"/>
          <c:showPercent val="0"/>
          <c:showBubbleSize val="0"/>
        </c:dLbls>
        <c:gapWidth val="100"/>
        <c:overlap val="-24"/>
        <c:axId val="1825716767"/>
        <c:axId val="1825706687"/>
      </c:barChart>
      <c:catAx>
        <c:axId val="182571676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25706687"/>
        <c:crosses val="autoZero"/>
        <c:auto val="1"/>
        <c:lblAlgn val="ctr"/>
        <c:lblOffset val="100"/>
        <c:noMultiLvlLbl val="0"/>
      </c:catAx>
      <c:valAx>
        <c:axId val="1825706687"/>
        <c:scaling>
          <c:orientation val="minMax"/>
          <c:max val="355"/>
          <c:min val="3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2571676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Spending</a:t>
            </a:r>
            <a:r>
              <a:rPr lang="en-IN" baseline="0"/>
              <a:t> by Retail Banks in US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Sheet2!$B$1</c:f>
              <c:strCache>
                <c:ptCount val="1"/>
                <c:pt idx="0">
                  <c:v>Digital Banking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Sheet2!$A$2:$A$6</c:f>
              <c:numCache>
                <c:formatCode>General</c:formatCode>
                <c:ptCount val="5"/>
                <c:pt idx="0">
                  <c:v>2016</c:v>
                </c:pt>
                <c:pt idx="1">
                  <c:v>2017</c:v>
                </c:pt>
                <c:pt idx="2">
                  <c:v>2018</c:v>
                </c:pt>
                <c:pt idx="3">
                  <c:v>2019</c:v>
                </c:pt>
                <c:pt idx="4">
                  <c:v>2020</c:v>
                </c:pt>
              </c:numCache>
            </c:numRef>
          </c:cat>
          <c:val>
            <c:numRef>
              <c:f>Sheet2!$B$2:$B$6</c:f>
              <c:numCache>
                <c:formatCode>General</c:formatCode>
                <c:ptCount val="5"/>
                <c:pt idx="0">
                  <c:v>26</c:v>
                </c:pt>
                <c:pt idx="1">
                  <c:v>32</c:v>
                </c:pt>
                <c:pt idx="2">
                  <c:v>37</c:v>
                </c:pt>
                <c:pt idx="3">
                  <c:v>41</c:v>
                </c:pt>
                <c:pt idx="4">
                  <c:v>46</c:v>
                </c:pt>
              </c:numCache>
            </c:numRef>
          </c:val>
          <c:extLst>
            <c:ext xmlns:c16="http://schemas.microsoft.com/office/drawing/2014/chart" uri="{C3380CC4-5D6E-409C-BE32-E72D297353CC}">
              <c16:uniqueId val="{00000000-15C9-42DF-B3C3-F547C8481DB4}"/>
            </c:ext>
          </c:extLst>
        </c:ser>
        <c:ser>
          <c:idx val="1"/>
          <c:order val="1"/>
          <c:tx>
            <c:strRef>
              <c:f>Sheet2!$C$1</c:f>
              <c:strCache>
                <c:ptCount val="1"/>
                <c:pt idx="0">
                  <c:v>Branch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Sheet2!$A$2:$A$6</c:f>
              <c:numCache>
                <c:formatCode>General</c:formatCode>
                <c:ptCount val="5"/>
                <c:pt idx="0">
                  <c:v>2016</c:v>
                </c:pt>
                <c:pt idx="1">
                  <c:v>2017</c:v>
                </c:pt>
                <c:pt idx="2">
                  <c:v>2018</c:v>
                </c:pt>
                <c:pt idx="3">
                  <c:v>2019</c:v>
                </c:pt>
                <c:pt idx="4">
                  <c:v>2020</c:v>
                </c:pt>
              </c:numCache>
            </c:numRef>
          </c:cat>
          <c:val>
            <c:numRef>
              <c:f>Sheet2!$C$2:$C$6</c:f>
              <c:numCache>
                <c:formatCode>General</c:formatCode>
                <c:ptCount val="5"/>
                <c:pt idx="0">
                  <c:v>33</c:v>
                </c:pt>
                <c:pt idx="1">
                  <c:v>31</c:v>
                </c:pt>
                <c:pt idx="2">
                  <c:v>32</c:v>
                </c:pt>
                <c:pt idx="3">
                  <c:v>28</c:v>
                </c:pt>
                <c:pt idx="4">
                  <c:v>30</c:v>
                </c:pt>
              </c:numCache>
            </c:numRef>
          </c:val>
          <c:extLst>
            <c:ext xmlns:c16="http://schemas.microsoft.com/office/drawing/2014/chart" uri="{C3380CC4-5D6E-409C-BE32-E72D297353CC}">
              <c16:uniqueId val="{00000001-15C9-42DF-B3C3-F547C8481DB4}"/>
            </c:ext>
          </c:extLst>
        </c:ser>
        <c:ser>
          <c:idx val="2"/>
          <c:order val="2"/>
          <c:tx>
            <c:strRef>
              <c:f>Sheet2!$D$1</c:f>
              <c:strCache>
                <c:ptCount val="1"/>
                <c:pt idx="0">
                  <c:v>Call Center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Sheet2!$A$2:$A$6</c:f>
              <c:numCache>
                <c:formatCode>General</c:formatCode>
                <c:ptCount val="5"/>
                <c:pt idx="0">
                  <c:v>2016</c:v>
                </c:pt>
                <c:pt idx="1">
                  <c:v>2017</c:v>
                </c:pt>
                <c:pt idx="2">
                  <c:v>2018</c:v>
                </c:pt>
                <c:pt idx="3">
                  <c:v>2019</c:v>
                </c:pt>
                <c:pt idx="4">
                  <c:v>2020</c:v>
                </c:pt>
              </c:numCache>
            </c:numRef>
          </c:cat>
          <c:val>
            <c:numRef>
              <c:f>Sheet2!$D$2:$D$6</c:f>
              <c:numCache>
                <c:formatCode>General</c:formatCode>
                <c:ptCount val="5"/>
                <c:pt idx="0">
                  <c:v>12</c:v>
                </c:pt>
                <c:pt idx="1">
                  <c:v>12</c:v>
                </c:pt>
                <c:pt idx="2">
                  <c:v>11</c:v>
                </c:pt>
                <c:pt idx="3">
                  <c:v>12</c:v>
                </c:pt>
                <c:pt idx="4">
                  <c:v>11</c:v>
                </c:pt>
              </c:numCache>
            </c:numRef>
          </c:val>
          <c:extLst>
            <c:ext xmlns:c16="http://schemas.microsoft.com/office/drawing/2014/chart" uri="{C3380CC4-5D6E-409C-BE32-E72D297353CC}">
              <c16:uniqueId val="{00000002-15C9-42DF-B3C3-F547C8481DB4}"/>
            </c:ext>
          </c:extLst>
        </c:ser>
        <c:ser>
          <c:idx val="3"/>
          <c:order val="3"/>
          <c:tx>
            <c:strRef>
              <c:f>Sheet2!$E$1</c:f>
              <c:strCache>
                <c:ptCount val="1"/>
                <c:pt idx="0">
                  <c:v>ATM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Sheet2!$A$2:$A$6</c:f>
              <c:numCache>
                <c:formatCode>General</c:formatCode>
                <c:ptCount val="5"/>
                <c:pt idx="0">
                  <c:v>2016</c:v>
                </c:pt>
                <c:pt idx="1">
                  <c:v>2017</c:v>
                </c:pt>
                <c:pt idx="2">
                  <c:v>2018</c:v>
                </c:pt>
                <c:pt idx="3">
                  <c:v>2019</c:v>
                </c:pt>
                <c:pt idx="4">
                  <c:v>2020</c:v>
                </c:pt>
              </c:numCache>
            </c:numRef>
          </c:cat>
          <c:val>
            <c:numRef>
              <c:f>Sheet2!$E$2:$E$6</c:f>
              <c:numCache>
                <c:formatCode>General</c:formatCode>
                <c:ptCount val="5"/>
                <c:pt idx="0">
                  <c:v>13</c:v>
                </c:pt>
                <c:pt idx="1">
                  <c:v>11</c:v>
                </c:pt>
                <c:pt idx="2">
                  <c:v>10</c:v>
                </c:pt>
                <c:pt idx="3">
                  <c:v>11</c:v>
                </c:pt>
                <c:pt idx="4">
                  <c:v>10</c:v>
                </c:pt>
              </c:numCache>
            </c:numRef>
          </c:val>
          <c:extLst>
            <c:ext xmlns:c16="http://schemas.microsoft.com/office/drawing/2014/chart" uri="{C3380CC4-5D6E-409C-BE32-E72D297353CC}">
              <c16:uniqueId val="{00000003-15C9-42DF-B3C3-F547C8481DB4}"/>
            </c:ext>
          </c:extLst>
        </c:ser>
        <c:dLbls>
          <c:showLegendKey val="0"/>
          <c:showVal val="0"/>
          <c:showCatName val="0"/>
          <c:showSerName val="0"/>
          <c:showPercent val="0"/>
          <c:showBubbleSize val="0"/>
        </c:dLbls>
        <c:gapWidth val="150"/>
        <c:overlap val="100"/>
        <c:axId val="1902792287"/>
        <c:axId val="1902791807"/>
      </c:barChart>
      <c:catAx>
        <c:axId val="190279228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02791807"/>
        <c:crosses val="autoZero"/>
        <c:auto val="1"/>
        <c:lblAlgn val="ctr"/>
        <c:lblOffset val="100"/>
        <c:noMultiLvlLbl val="0"/>
      </c:catAx>
      <c:valAx>
        <c:axId val="1902791807"/>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1902792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2024-06-17T11:40:00Z</dcterms:created>
  <dcterms:modified xsi:type="dcterms:W3CDTF">2024-06-17T13:25:00Z</dcterms:modified>
</cp:coreProperties>
</file>