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rFonts w:ascii="Times New Roman" w:hAnsi="Times New Roman"/>
          <w:color w:val="2F5496" w:themeColor="accent1" w:themeShade="bf"/>
          <w:sz w:val="32"/>
          <w:szCs w:val="36"/>
        </w:rPr>
      </w:pPr>
      <w:r>
        <w:rPr>
          <w:rFonts w:ascii="Times New Roman" w:hAnsi="Times New Roman"/>
          <w:color w:val="2F5496" w:themeColor="accent1" w:themeShade="bf"/>
          <w:sz w:val="32"/>
          <w:szCs w:val="36"/>
        </w:rPr>
        <w:t>CUATS coding competition: low volatility and momentum effects</w:t>
      </w:r>
    </w:p>
    <w:p>
      <w:pPr>
        <w:pStyle w:val="Normal"/>
        <w:spacing w:before="0" w:after="240"/>
        <w:rPr>
          <w:rFonts w:ascii="Times New Roman" w:hAnsi="Times New Roman"/>
          <w:color w:val="2F5496" w:themeColor="accent1" w:themeShade="bf"/>
          <w:sz w:val="32"/>
          <w:szCs w:val="36"/>
        </w:rPr>
      </w:pPr>
      <w:r>
        <w:rPr>
          <w:rFonts w:ascii="Times New Roman" w:hAnsi="Times New Roman"/>
          <w:color w:val="2F5496" w:themeColor="accent1" w:themeShade="bf"/>
          <w:sz w:val="32"/>
          <w:szCs w:val="36"/>
        </w:rPr>
        <w:t>Summary strategy</w:t>
      </w:r>
    </w:p>
    <w:p>
      <w:pPr>
        <w:pStyle w:val="Normal"/>
        <w:jc w:val="left"/>
        <w:rPr>
          <w:rFonts w:ascii="Times New Roman" w:hAnsi="Times New Roman"/>
          <w:szCs w:val="22"/>
        </w:rPr>
      </w:pPr>
      <w:r>
        <w:rPr>
          <w:rFonts w:ascii="Times New Roman" w:hAnsi="Times New Roman"/>
          <w:szCs w:val="22"/>
        </w:rPr>
        <w:t xml:space="preserve">Team name: </w:t>
        <w:tab/>
        <w:tab/>
        <w:t>Coders love cookies</w:t>
      </w:r>
    </w:p>
    <w:p>
      <w:pPr>
        <w:pStyle w:val="Normal"/>
        <w:ind w:left="2160" w:hanging="2160"/>
        <w:jc w:val="left"/>
        <w:rPr>
          <w:rFonts w:ascii="Times New Roman" w:hAnsi="Times New Roman"/>
          <w:szCs w:val="22"/>
          <w:lang w:val="de-DE"/>
        </w:rPr>
      </w:pPr>
      <w:r>
        <w:rPr>
          <w:rFonts w:ascii="Times New Roman" w:hAnsi="Times New Roman"/>
          <w:szCs w:val="22"/>
          <w:lang w:val="de-DE"/>
        </w:rPr>
        <w:t xml:space="preserve">Team members: </w:t>
        <w:tab/>
        <w:t>Yu Chen Lim (</w:t>
      </w:r>
      <w:r>
        <w:rPr>
          <w:rFonts w:ascii="Times New Roman" w:hAnsi="Times New Roman"/>
          <w:color w:val="222222"/>
          <w:szCs w:val="22"/>
          <w:lang w:val="de-DE"/>
        </w:rPr>
        <w:t>y</w:t>
      </w:r>
      <w:r>
        <w:rPr>
          <w:rFonts w:ascii="Times New Roman" w:hAnsi="Times New Roman"/>
          <w:color w:val="222222"/>
          <w:szCs w:val="22"/>
          <w:lang w:val="de-DE"/>
        </w:rPr>
        <w:t>cl62</w:t>
      </w:r>
      <w:r>
        <w:rPr>
          <w:rFonts w:ascii="Times New Roman" w:hAnsi="Times New Roman"/>
          <w:color w:val="222222"/>
          <w:szCs w:val="22"/>
          <w:lang w:val="de-DE"/>
        </w:rPr>
        <w:t>; yuchenlim7@gmail.com</w:t>
      </w:r>
      <w:r>
        <w:rPr>
          <w:rFonts w:ascii="Times New Roman" w:hAnsi="Times New Roman"/>
          <w:szCs w:val="22"/>
          <w:lang w:val="de-DE"/>
        </w:rPr>
        <w:t xml:space="preserve">) &amp; Vivian Karsten (vk353; </w:t>
      </w:r>
      <w:r>
        <w:rPr>
          <w:rStyle w:val="InternetLink"/>
          <w:rFonts w:ascii="Times New Roman" w:hAnsi="Times New Roman"/>
          <w:szCs w:val="22"/>
          <w:lang w:val="de-DE"/>
        </w:rPr>
        <w:t>viviankarsten@gmail.com</w:t>
      </w:r>
      <w:r>
        <w:rPr>
          <w:rFonts w:ascii="Times New Roman" w:hAnsi="Times New Roman"/>
          <w:szCs w:val="22"/>
          <w:lang w:val="de-DE"/>
        </w:rPr>
        <w:t>)</w:t>
      </w:r>
    </w:p>
    <w:p>
      <w:pPr>
        <w:pStyle w:val="Normal"/>
        <w:rPr>
          <w:rFonts w:ascii="Times New Roman" w:hAnsi="Times New Roman"/>
          <w:szCs w:val="22"/>
          <w:lang w:val="de-DE"/>
        </w:rPr>
      </w:pPr>
      <w:r>
        <w:rPr>
          <w:rFonts w:ascii="Times New Roman" w:hAnsi="Times New Roman"/>
          <w:szCs w:val="22"/>
          <w:lang w:val="de-DE"/>
        </w:rPr>
      </w:r>
    </w:p>
    <w:p>
      <w:pPr>
        <w:pStyle w:val="Normal"/>
        <w:spacing w:lineRule="atLeast" w:line="300"/>
        <w:jc w:val="left"/>
        <w:rPr>
          <w:rFonts w:ascii="Times New Roman" w:hAnsi="Times New Roman"/>
          <w:szCs w:val="22"/>
        </w:rPr>
      </w:pPr>
      <w:r>
        <w:rPr>
          <w:rFonts w:ascii="Times New Roman" w:hAnsi="Times New Roman"/>
          <w:color w:val="222222"/>
          <w:szCs w:val="22"/>
        </w:rPr>
        <w:t>The strategy is based on low volatility factor effects in stocks [1,2]. The performance of a basic low volatility strategy is enhanced by combining it with a momentum filter [3]. In literature it is reported that momentum strategies give higher returns when used on mid-cap stocks [4], therefore stocks are selected based on market capitalisation. Th</w:t>
      </w:r>
      <w:r>
        <w:rPr>
          <w:rFonts w:ascii="Times New Roman" w:hAnsi="Times New Roman"/>
          <w:color w:val="000000"/>
          <w:szCs w:val="22"/>
        </w:rPr>
        <w:t xml:space="preserve">e drawdown of the strategy is </w:t>
      </w:r>
      <w:r>
        <w:rPr>
          <w:rFonts w:ascii="Times New Roman" w:hAnsi="Times New Roman"/>
          <w:color w:val="000000"/>
          <w:szCs w:val="22"/>
        </w:rPr>
        <w:t xml:space="preserve">improved by investing in US Treasuries during bear markets. A back test of the strategy over </w:t>
      </w:r>
      <w:r>
        <w:rPr>
          <w:rFonts w:ascii="Times New Roman" w:hAnsi="Times New Roman"/>
          <w:color w:val="000000"/>
          <w:szCs w:val="22"/>
        </w:rPr>
        <w:t xml:space="preserve">01/01/2007 – 01/01/2014 and has resulted in a </w:t>
      </w:r>
      <w:r>
        <w:rPr>
          <w:rFonts w:ascii="Times New Roman" w:hAnsi="Times New Roman"/>
          <w:color w:val="000000"/>
          <w:szCs w:val="22"/>
        </w:rPr>
        <w:t>S</w:t>
      </w:r>
      <w:r>
        <w:rPr>
          <w:rFonts w:ascii="Times New Roman" w:hAnsi="Times New Roman"/>
          <w:color w:val="000000"/>
          <w:szCs w:val="22"/>
        </w:rPr>
        <w:t>harpe ratio of 1.2 and maximum drawdown of 9.7% and CAGR of 10.0%.</w:t>
      </w:r>
      <w:r>
        <w:rPr>
          <w:rFonts w:ascii="Times New Roman" w:hAnsi="Times New Roman"/>
          <w:color w:val="000000"/>
          <w:szCs w:val="22"/>
        </w:rPr>
        <w:t xml:space="preserve"> </w:t>
      </w:r>
    </w:p>
    <w:p>
      <w:pPr>
        <w:pStyle w:val="Normal"/>
        <w:spacing w:lineRule="atLeast" w:line="300"/>
        <w:jc w:val="left"/>
        <w:rPr>
          <w:rFonts w:ascii="Times New Roman" w:hAnsi="Times New Roman"/>
          <w:color w:val="000000"/>
          <w:szCs w:val="22"/>
        </w:rPr>
      </w:pPr>
      <w:r>
        <w:rPr>
          <w:rFonts w:ascii="Times New Roman" w:hAnsi="Times New Roman"/>
          <w:color w:val="000000"/>
          <w:szCs w:val="22"/>
        </w:rPr>
      </w:r>
    </w:p>
    <w:p>
      <w:pPr>
        <w:pStyle w:val="Normal"/>
        <w:spacing w:lineRule="atLeast" w:line="300"/>
        <w:jc w:val="left"/>
        <w:rPr>
          <w:color w:val="000000"/>
        </w:rPr>
      </w:pPr>
      <w:r>
        <w:rPr>
          <w:rFonts w:ascii="Times New Roman" w:hAnsi="Times New Roman"/>
          <w:color w:val="000000"/>
          <w:szCs w:val="22"/>
        </w:rPr>
        <w:t xml:space="preserve">The investment universe consists of U.S. stocks and U.S. Treasuries. The stocks with a medium market capitalisation are selected. Of these stocks, the high-momentum are selected based on 12 month returns minus 1 month return, similar to ref. [3].  Stocks are included if the momentum is higher than average. Subsequently, a </w:t>
      </w:r>
      <w:r>
        <w:rPr>
          <w:rFonts w:ascii="Times New Roman" w:hAnsi="Times New Roman"/>
          <w:color w:val="000000"/>
          <w:szCs w:val="22"/>
        </w:rPr>
        <w:t>long only</w:t>
      </w:r>
      <w:r>
        <w:rPr>
          <w:rFonts w:ascii="Times New Roman" w:hAnsi="Times New Roman"/>
          <w:color w:val="000000"/>
          <w:szCs w:val="22"/>
        </w:rPr>
        <w:t xml:space="preserve"> low volatility strategy is applied. Research has shown that low volatility stocks earn higher risk-adjusted returns than high volatility stocks, because investors tend to overpay for high volatile stocks [2,3]. In this strategy the volatility of stocks are ranked based on the volatility in the weekly return </w:t>
      </w:r>
      <w:r>
        <w:rPr>
          <w:rFonts w:ascii="Times New Roman" w:hAnsi="Times New Roman"/>
          <w:color w:val="000000"/>
          <w:szCs w:val="22"/>
        </w:rPr>
        <w:t>over the past year</w:t>
      </w:r>
      <w:r>
        <w:rPr>
          <w:rFonts w:ascii="Times New Roman" w:hAnsi="Times New Roman"/>
          <w:color w:val="000000"/>
          <w:szCs w:val="22"/>
        </w:rPr>
        <w:t xml:space="preserve">. The investment decision is to go long on the quartile with the lowest volatility. These stocks have lower risks without lower returns. The performance during bear markets is improved by liquidating the position on stocks which price has dropped more than 10% and investing in U.S. Treasuries instead. When the stock price has recovered, the stocks are considered again for investment. This adjustment resulted in less than </w:t>
      </w:r>
      <w:r>
        <w:rPr>
          <w:rFonts w:ascii="Times New Roman" w:hAnsi="Times New Roman"/>
          <w:color w:val="000000"/>
          <w:szCs w:val="22"/>
        </w:rPr>
        <w:t>15%</w:t>
      </w:r>
      <w:r>
        <w:rPr>
          <w:rFonts w:ascii="Times New Roman" w:hAnsi="Times New Roman"/>
          <w:color w:val="000000"/>
          <w:szCs w:val="22"/>
        </w:rPr>
        <w:t xml:space="preserve"> drawdown during bear markets including the crisis in 2008-2009 and in 2020. The strategy is back tested over periods from 1998 to 2023. Back tests before 1998 were not performed due to limiting data availability. </w:t>
      </w:r>
    </w:p>
    <w:p>
      <w:pPr>
        <w:pStyle w:val="Normal"/>
        <w:spacing w:lineRule="atLeast" w:line="300"/>
        <w:jc w:val="left"/>
        <w:rPr>
          <w:rFonts w:ascii="Times New Roman" w:hAnsi="Times New Roman"/>
          <w:color w:val="000000"/>
          <w:szCs w:val="22"/>
        </w:rPr>
      </w:pPr>
      <w:r>
        <w:rPr>
          <w:rFonts w:ascii="Times New Roman" w:hAnsi="Times New Roman"/>
          <w:color w:val="000000"/>
          <w:szCs w:val="22"/>
        </w:rPr>
      </w:r>
    </w:p>
    <w:p>
      <w:pPr>
        <w:pStyle w:val="Normal"/>
        <w:spacing w:lineRule="atLeast" w:line="300"/>
        <w:jc w:val="left"/>
        <w:rPr>
          <w:color w:val="000000"/>
        </w:rPr>
      </w:pPr>
      <w:r>
        <w:rPr>
          <w:rFonts w:ascii="Times New Roman" w:hAnsi="Times New Roman"/>
          <w:color w:val="000000"/>
          <w:szCs w:val="22"/>
        </w:rPr>
        <w:t xml:space="preserve">The combination of the momentum filter and the investment in U.S. Treasuries has made significant improvements to the original strategy published on Quantpedia [1]. The results on </w:t>
      </w:r>
      <w:r>
        <w:rPr>
          <w:rFonts w:ascii="Times New Roman" w:hAnsi="Times New Roman"/>
          <w:color w:val="000000"/>
          <w:szCs w:val="22"/>
        </w:rPr>
        <w:t>Q</w:t>
      </w:r>
      <w:r>
        <w:rPr>
          <w:rFonts w:ascii="Times New Roman" w:hAnsi="Times New Roman"/>
          <w:color w:val="000000"/>
          <w:szCs w:val="22"/>
        </w:rPr>
        <w:t xml:space="preserve">uantpedia for the period 2000-2023 give a </w:t>
      </w:r>
      <w:r>
        <w:rPr>
          <w:rFonts w:ascii="Times New Roman" w:hAnsi="Times New Roman"/>
          <w:color w:val="000000"/>
          <w:szCs w:val="22"/>
        </w:rPr>
        <w:t>S</w:t>
      </w:r>
      <w:r>
        <w:rPr>
          <w:rFonts w:ascii="Times New Roman" w:hAnsi="Times New Roman"/>
          <w:color w:val="000000"/>
          <w:szCs w:val="22"/>
        </w:rPr>
        <w:t xml:space="preserve">harpe ratio of 0.7 and a maximum drawdown of 45.4% [1]. For the improved strategy the </w:t>
      </w:r>
      <w:r>
        <w:rPr>
          <w:rFonts w:ascii="Times New Roman" w:hAnsi="Times New Roman"/>
          <w:color w:val="000000"/>
          <w:szCs w:val="22"/>
        </w:rPr>
        <w:t>S</w:t>
      </w:r>
      <w:r>
        <w:rPr>
          <w:rFonts w:ascii="Times New Roman" w:hAnsi="Times New Roman"/>
          <w:color w:val="000000"/>
          <w:szCs w:val="22"/>
        </w:rPr>
        <w:t>harpe ratio for this time period is above 1 and the drawdown less than 15%.</w:t>
      </w:r>
    </w:p>
    <w:p>
      <w:pPr>
        <w:pStyle w:val="Normal"/>
        <w:spacing w:lineRule="atLeast" w:line="300"/>
        <w:jc w:val="left"/>
        <w:rPr>
          <w:rFonts w:ascii="Times New Roman" w:hAnsi="Times New Roman"/>
          <w:color w:val="222222"/>
          <w:szCs w:val="22"/>
        </w:rPr>
      </w:pPr>
      <w:r>
        <w:rPr>
          <w:rFonts w:ascii="Times New Roman" w:hAnsi="Times New Roman"/>
          <w:color w:val="222222"/>
          <w:szCs w:val="22"/>
        </w:rPr>
      </w:r>
    </w:p>
    <w:p>
      <w:pPr>
        <w:pStyle w:val="Normal"/>
        <w:spacing w:lineRule="atLeast" w:line="300"/>
        <w:jc w:val="left"/>
        <w:rPr>
          <w:rFonts w:ascii="Times New Roman" w:hAnsi="Times New Roman"/>
          <w:color w:val="222222"/>
          <w:szCs w:val="22"/>
        </w:rPr>
      </w:pPr>
      <w:r>
        <w:rPr>
          <w:rFonts w:ascii="Times New Roman" w:hAnsi="Times New Roman"/>
          <w:color w:val="222222"/>
          <w:szCs w:val="22"/>
        </w:rPr>
      </w:r>
    </w:p>
    <w:p>
      <w:pPr>
        <w:pStyle w:val="Normal"/>
        <w:spacing w:lineRule="atLeast" w:line="300"/>
        <w:jc w:val="left"/>
        <w:rPr>
          <w:rFonts w:ascii="Times New Roman" w:hAnsi="Times New Roman"/>
          <w:b/>
          <w:b/>
          <w:bCs/>
          <w:color w:val="222222"/>
          <w:szCs w:val="22"/>
        </w:rPr>
      </w:pPr>
      <w:r>
        <w:rPr>
          <w:rFonts w:ascii="Times New Roman" w:hAnsi="Times New Roman"/>
          <w:b/>
          <w:bCs/>
          <w:color w:val="222222"/>
          <w:szCs w:val="22"/>
        </w:rPr>
        <w:t>Sources:</w:t>
      </w:r>
    </w:p>
    <w:p>
      <w:pPr>
        <w:pStyle w:val="Normal"/>
        <w:spacing w:lineRule="atLeast" w:line="300"/>
        <w:jc w:val="left"/>
        <w:rPr>
          <w:rFonts w:ascii="Times New Roman" w:hAnsi="Times New Roman"/>
          <w:color w:val="222222"/>
          <w:szCs w:val="22"/>
        </w:rPr>
      </w:pPr>
      <w:r>
        <w:rPr>
          <w:rFonts w:ascii="Times New Roman" w:hAnsi="Times New Roman"/>
          <w:szCs w:val="22"/>
        </w:rPr>
        <w:t xml:space="preserve">[1] Quantpedia. </w:t>
      </w:r>
      <w:r>
        <w:rPr>
          <w:rFonts w:ascii="Times New Roman" w:hAnsi="Times New Roman"/>
          <w:i/>
          <w:iCs/>
          <w:szCs w:val="22"/>
        </w:rPr>
        <w:t>Low volatility factor effect in stocks.</w:t>
      </w:r>
      <w:r>
        <w:rPr>
          <w:rFonts w:ascii="Times New Roman" w:hAnsi="Times New Roman"/>
          <w:szCs w:val="22"/>
        </w:rPr>
        <w:t xml:space="preserve"> Online, last accessed: 28-01-2022. </w:t>
      </w:r>
      <w:hyperlink r:id="rId2">
        <w:r>
          <w:rPr>
            <w:rStyle w:val="InternetLink"/>
            <w:rFonts w:ascii="Times New Roman" w:hAnsi="Times New Roman"/>
            <w:szCs w:val="22"/>
          </w:rPr>
          <w:t>https://quantpedia.com/strategies/low-volatility-factor-effect-in-stocks/</w:t>
        </w:r>
      </w:hyperlink>
      <w:r>
        <w:rPr>
          <w:rFonts w:ascii="Times New Roman" w:hAnsi="Times New Roman"/>
          <w:szCs w:val="22"/>
        </w:rPr>
        <w:t xml:space="preserve"> </w:t>
      </w:r>
    </w:p>
    <w:p>
      <w:pPr>
        <w:pStyle w:val="Normal"/>
        <w:spacing w:lineRule="atLeast" w:line="300"/>
        <w:jc w:val="left"/>
        <w:rPr>
          <w:rFonts w:ascii="Times New Roman" w:hAnsi="Times New Roman"/>
          <w:color w:val="222222"/>
          <w:szCs w:val="22"/>
        </w:rPr>
      </w:pPr>
      <w:r>
        <w:rPr>
          <w:rFonts w:ascii="Times New Roman" w:hAnsi="Times New Roman"/>
          <w:color w:val="222222"/>
          <w:szCs w:val="22"/>
        </w:rPr>
        <w:t xml:space="preserve">[2] Blitz, D; Van Vliet, P. </w:t>
      </w:r>
      <w:r>
        <w:rPr>
          <w:rFonts w:ascii="Times New Roman" w:hAnsi="Times New Roman"/>
          <w:i/>
          <w:iCs/>
          <w:color w:val="222222"/>
          <w:szCs w:val="22"/>
        </w:rPr>
        <w:t>The volatility effect: lower risk without lower return.</w:t>
      </w:r>
      <w:r>
        <w:rPr>
          <w:rFonts w:ascii="Times New Roman" w:hAnsi="Times New Roman"/>
          <w:color w:val="222222"/>
          <w:szCs w:val="22"/>
        </w:rPr>
        <w:t xml:space="preserve"> Journal of Portfolio Management, 2007, 102-113. </w:t>
      </w:r>
      <w:hyperlink r:id="rId3">
        <w:r>
          <w:rPr>
            <w:rStyle w:val="InternetLink"/>
            <w:rFonts w:ascii="Times New Roman" w:hAnsi="Times New Roman"/>
            <w:szCs w:val="22"/>
          </w:rPr>
          <w:t>https://papers.ssrn.com/sol3/papers.cfm?abstract_id=980865</w:t>
        </w:r>
      </w:hyperlink>
      <w:r>
        <w:rPr>
          <w:rFonts w:ascii="Times New Roman" w:hAnsi="Times New Roman"/>
          <w:color w:val="222222"/>
          <w:szCs w:val="22"/>
        </w:rPr>
        <w:t xml:space="preserve"> </w:t>
      </w:r>
    </w:p>
    <w:p>
      <w:pPr>
        <w:pStyle w:val="Normal"/>
        <w:spacing w:lineRule="atLeast" w:line="300"/>
        <w:jc w:val="left"/>
        <w:rPr>
          <w:rFonts w:ascii="Times New Roman" w:hAnsi="Times New Roman"/>
          <w:color w:val="222222"/>
          <w:szCs w:val="22"/>
        </w:rPr>
      </w:pPr>
      <w:r>
        <w:rPr>
          <w:rFonts w:ascii="Times New Roman" w:hAnsi="Times New Roman"/>
          <w:color w:val="222222"/>
          <w:szCs w:val="22"/>
        </w:rPr>
        <w:t xml:space="preserve">[3] Joshipura, M; Joshipura, N. </w:t>
      </w:r>
      <w:r>
        <w:rPr>
          <w:rFonts w:ascii="Times New Roman" w:hAnsi="Times New Roman"/>
          <w:i/>
          <w:iCs/>
          <w:color w:val="222222"/>
          <w:szCs w:val="22"/>
        </w:rPr>
        <w:t>Low risk effect: evidence, explanations and approaches to enhancing the performance of low-risk investment strategies.</w:t>
      </w:r>
      <w:r>
        <w:rPr>
          <w:rFonts w:ascii="Times New Roman" w:hAnsi="Times New Roman"/>
          <w:color w:val="222222"/>
          <w:szCs w:val="22"/>
        </w:rPr>
        <w:t xml:space="preserve"> Investment Management and Financial Innovations, 2020, 128-145. </w:t>
      </w:r>
      <w:hyperlink r:id="rId4">
        <w:r>
          <w:rPr>
            <w:rStyle w:val="InternetLink"/>
            <w:rFonts w:ascii="Times New Roman" w:hAnsi="Times New Roman"/>
            <w:szCs w:val="22"/>
          </w:rPr>
          <w:t>https://papers.ssrn.com/sol3/papers.cfm?abstract_id=3613658</w:t>
        </w:r>
      </w:hyperlink>
    </w:p>
    <w:p>
      <w:pPr>
        <w:pStyle w:val="Normal"/>
        <w:spacing w:lineRule="atLeast" w:line="300"/>
        <w:jc w:val="left"/>
        <w:rPr>
          <w:rFonts w:ascii="Times New Roman" w:hAnsi="Times New Roman"/>
          <w:szCs w:val="22"/>
        </w:rPr>
      </w:pPr>
      <w:r>
        <w:rPr>
          <w:rFonts w:ascii="Times New Roman" w:hAnsi="Times New Roman"/>
          <w:color w:val="222222"/>
          <w:szCs w:val="22"/>
          <w:lang w:val="de-DE"/>
        </w:rPr>
        <w:t xml:space="preserve">[4] Schmidt, P.S; Von Arx, U. et al. </w:t>
      </w:r>
      <w:r>
        <w:rPr>
          <w:rFonts w:ascii="Times New Roman" w:hAnsi="Times New Roman"/>
          <w:i/>
          <w:iCs/>
          <w:color w:val="222222"/>
          <w:szCs w:val="22"/>
        </w:rPr>
        <w:t>Size and momentum profitability in international stock markets.</w:t>
      </w:r>
      <w:r>
        <w:rPr>
          <w:rFonts w:ascii="Times New Roman" w:hAnsi="Times New Roman"/>
          <w:color w:val="222222"/>
          <w:szCs w:val="22"/>
        </w:rPr>
        <w:t xml:space="preserve"> Swiss Finance Institute Research Paper, 2017, 15-29. </w:t>
      </w:r>
      <w:hyperlink r:id="rId5">
        <w:r>
          <w:rPr>
            <w:rStyle w:val="InternetLink"/>
            <w:rFonts w:ascii="Times New Roman" w:hAnsi="Times New Roman"/>
            <w:szCs w:val="22"/>
          </w:rPr>
          <w:t>https://papers.ssrn.com/sol3/papers.cfm?abstract_id=2642185</w:t>
        </w:r>
      </w:hyperlink>
      <w:r>
        <w:rPr>
          <w:rFonts w:ascii="Times New Roman" w:hAnsi="Times New Roman"/>
          <w:szCs w:val="22"/>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30a9"/>
    <w:pPr>
      <w:widowControl/>
      <w:bidi w:val="0"/>
      <w:spacing w:lineRule="auto" w:line="240" w:before="0" w:after="0"/>
      <w:jc w:val="both"/>
    </w:pPr>
    <w:rPr>
      <w:rFonts w:cs="Times New Roman" w:ascii="Calibri" w:hAnsi="Calibri" w:eastAsia="Times New Roman" w:asciiTheme="minorHAnsi" w:hAnsiTheme="minorHAnsi"/>
      <w:color w:val="auto"/>
      <w:kern w:val="0"/>
      <w:sz w:val="22"/>
      <w:szCs w:val="24"/>
      <w:lang w:eastAsia="en-GB" w:val="en-GB" w:bidi="ar-SA"/>
    </w:rPr>
  </w:style>
  <w:style w:type="paragraph" w:styleId="Heading1">
    <w:name w:val="Heading 1"/>
    <w:basedOn w:val="Normal"/>
    <w:link w:val="Kop1Char"/>
    <w:uiPriority w:val="9"/>
    <w:qFormat/>
    <w:rsid w:val="001a15c2"/>
    <w:pPr>
      <w:spacing w:beforeAutospacing="1" w:afterAutospacing="1"/>
      <w:jc w:val="left"/>
      <w:outlineLvl w:val="0"/>
    </w:pPr>
    <w:rPr>
      <w:rFonts w:ascii="Times New Roman" w:hAnsi="Times New Roman"/>
      <w:b/>
      <w:bCs/>
      <w:kern w:val="2"/>
      <w:sz w:val="48"/>
      <w:szCs w:val="48"/>
    </w:rPr>
  </w:style>
  <w:style w:type="paragraph" w:styleId="Heading2">
    <w:name w:val="Heading 2"/>
    <w:basedOn w:val="Normal"/>
    <w:link w:val="Kop2Char"/>
    <w:uiPriority w:val="9"/>
    <w:qFormat/>
    <w:rsid w:val="001a15c2"/>
    <w:pPr>
      <w:spacing w:beforeAutospacing="1" w:afterAutospacing="1"/>
      <w:jc w:val="left"/>
      <w:outlineLvl w:val="1"/>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45667"/>
    <w:rPr>
      <w:color w:val="0563C1" w:themeColor="hyperlink"/>
      <w:u w:val="single"/>
    </w:rPr>
  </w:style>
  <w:style w:type="character" w:styleId="UnresolvedMention">
    <w:name w:val="Unresolved Mention"/>
    <w:basedOn w:val="DefaultParagraphFont"/>
    <w:uiPriority w:val="99"/>
    <w:semiHidden/>
    <w:unhideWhenUsed/>
    <w:qFormat/>
    <w:rsid w:val="00645667"/>
    <w:rPr>
      <w:color w:val="605E5C"/>
      <w:shd w:fill="E1DFDD" w:val="clear"/>
    </w:rPr>
  </w:style>
  <w:style w:type="character" w:styleId="Gi" w:customStyle="1">
    <w:name w:val="gi"/>
    <w:basedOn w:val="DefaultParagraphFont"/>
    <w:qFormat/>
    <w:rsid w:val="00645667"/>
    <w:rPr/>
  </w:style>
  <w:style w:type="character" w:styleId="HTMLvoorafopgemaaktChar" w:customStyle="1">
    <w:name w:val="HTML - vooraf opgemaakt Char"/>
    <w:basedOn w:val="DefaultParagraphFont"/>
    <w:link w:val="HTML-voorafopgemaakt"/>
    <w:uiPriority w:val="99"/>
    <w:semiHidden/>
    <w:qFormat/>
    <w:rsid w:val="00492c8b"/>
    <w:rPr>
      <w:rFonts w:ascii="Courier New" w:hAnsi="Courier New" w:cs="Courier New"/>
      <w:sz w:val="20"/>
      <w:szCs w:val="20"/>
      <w:lang w:eastAsia="en-GB"/>
    </w:rPr>
  </w:style>
  <w:style w:type="character" w:styleId="VisitedInternetLink">
    <w:name w:val="FollowedHyperlink"/>
    <w:basedOn w:val="DefaultParagraphFont"/>
    <w:uiPriority w:val="99"/>
    <w:semiHidden/>
    <w:unhideWhenUsed/>
    <w:rsid w:val="001a15c2"/>
    <w:rPr>
      <w:color w:val="954F72" w:themeColor="followedHyperlink"/>
      <w:u w:val="single"/>
    </w:rPr>
  </w:style>
  <w:style w:type="character" w:styleId="Kop1Char" w:customStyle="1">
    <w:name w:val="Kop 1 Char"/>
    <w:basedOn w:val="DefaultParagraphFont"/>
    <w:link w:val="Kop1"/>
    <w:uiPriority w:val="9"/>
    <w:qFormat/>
    <w:rsid w:val="001a15c2"/>
    <w:rPr>
      <w:rFonts w:ascii="Times New Roman" w:hAnsi="Times New Roman" w:cs="Times New Roman"/>
      <w:b/>
      <w:bCs/>
      <w:kern w:val="2"/>
      <w:sz w:val="48"/>
      <w:szCs w:val="48"/>
      <w:lang w:eastAsia="en-GB"/>
    </w:rPr>
  </w:style>
  <w:style w:type="character" w:styleId="Kop2Char" w:customStyle="1">
    <w:name w:val="Kop 2 Char"/>
    <w:basedOn w:val="DefaultParagraphFont"/>
    <w:link w:val="Kop2"/>
    <w:uiPriority w:val="9"/>
    <w:qFormat/>
    <w:rsid w:val="001a15c2"/>
    <w:rPr>
      <w:rFonts w:ascii="Times New Roman" w:hAnsi="Times New Roman" w:cs="Times New Roman"/>
      <w:b/>
      <w:bCs/>
      <w:sz w:val="36"/>
      <w:szCs w:val="36"/>
      <w:lang w:eastAsia="en-G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TMLPreformatted">
    <w:name w:val="HTML Preformatted"/>
    <w:basedOn w:val="Normal"/>
    <w:link w:val="HTML-voorafopgemaaktChar"/>
    <w:uiPriority w:val="99"/>
    <w:semiHidden/>
    <w:unhideWhenUsed/>
    <w:qFormat/>
    <w:rsid w:val="00492c8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cs="Courier New"/>
      <w:sz w:val="20"/>
      <w:szCs w:val="20"/>
    </w:rPr>
  </w:style>
  <w:style w:type="paragraph" w:styleId="NormalWeb">
    <w:name w:val="Normal (Web)"/>
    <w:basedOn w:val="Normal"/>
    <w:uiPriority w:val="99"/>
    <w:semiHidden/>
    <w:unhideWhenUsed/>
    <w:qFormat/>
    <w:rsid w:val="001a15c2"/>
    <w:pPr>
      <w:spacing w:beforeAutospacing="1" w:afterAutospacing="1"/>
      <w:jc w:val="left"/>
    </w:pPr>
    <w:rPr>
      <w:rFonts w:ascii="Times New Roman" w:hAnsi="Times New Roman"/>
      <w:sz w:val="24"/>
    </w:rPr>
  </w:style>
  <w:style w:type="paragraph" w:styleId="Note" w:customStyle="1">
    <w:name w:val="note"/>
    <w:basedOn w:val="Normal"/>
    <w:qFormat/>
    <w:rsid w:val="001a15c2"/>
    <w:pPr>
      <w:spacing w:beforeAutospacing="1" w:afterAutospacing="1"/>
      <w:jc w:val="left"/>
    </w:pPr>
    <w:rPr>
      <w:rFonts w:ascii="Times New Roman" w:hAnsi="Times New Roman"/>
      <w:sz w:val="24"/>
    </w:rPr>
  </w:style>
  <w:style w:type="paragraph" w:styleId="ListParagraph">
    <w:name w:val="List Paragraph"/>
    <w:basedOn w:val="Normal"/>
    <w:uiPriority w:val="34"/>
    <w:qFormat/>
    <w:rsid w:val="001a15c2"/>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antpedia.com/strategies/low-volatility-factor-effect-in-stocks/" TargetMode="External"/><Relationship Id="rId3" Type="http://schemas.openxmlformats.org/officeDocument/2006/relationships/hyperlink" Target="https://papers.ssrn.com/sol3/papers.cfm?abstract_id=980865" TargetMode="External"/><Relationship Id="rId4" Type="http://schemas.openxmlformats.org/officeDocument/2006/relationships/hyperlink" Target="https://papers.ssrn.com/sol3/papers.cfm?abstract_id=3613658" TargetMode="External"/><Relationship Id="rId5" Type="http://schemas.openxmlformats.org/officeDocument/2006/relationships/hyperlink" Target="https://papers.ssrn.com/sol3/papers.cfm?abstract_id=2642185"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LibreOffice/7.2.4.1$Windows_X86_64 LibreOffice_project/27d75539669ac387bb498e35313b970b7fe9c4f9</Application>
  <AppVersion>15.0000</AppVersion>
  <Pages>1</Pages>
  <Words>483</Words>
  <Characters>2862</Characters>
  <CharactersWithSpaces>3343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2023-01-27T16:09:00Z</dcterms:created>
  <dc:creator>Vivian Karsten</dc:creator>
  <dc:description/>
  <dc:language>en-GB</dc:language>
  <cp:lastModifiedBy/>
  <dcterms:modified xsi:type="dcterms:W3CDTF">2023-01-29T00:42:56Z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