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Requirements Table — Problem #58: Digital Art Commission &amp; Watermarking Portal</w:t>
      </w:r>
    </w:p>
    <w:p>
      <w:pPr>
        <w:pStyle w:val="BodyTextmeta"/>
        <w:bidi w:val="0"/>
        <w:jc w:val="left"/>
        <w:rPr/>
      </w:pPr>
      <w:r>
        <w:rPr>
          <w:b/>
        </w:rPr>
        <w:t>Actors:</w:t>
      </w:r>
      <w:r>
        <w:rPr/>
        <w:t xml:space="preserve"> Client Buyer, Digital Artist, Payment Gateway (supporting)</w:t>
      </w:r>
    </w:p>
    <w:p>
      <w:pPr>
        <w:pStyle w:val="Heading2"/>
        <w:bidi w:val="0"/>
        <w:jc w:val="left"/>
        <w:rPr/>
      </w:pPr>
      <w:r>
        <w:rPr/>
        <w:t>Functional Requirements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6"/>
        <w:gridCol w:w="807"/>
        <w:gridCol w:w="3540"/>
        <w:gridCol w:w="616"/>
        <w:gridCol w:w="3570"/>
        <w:gridCol w:w="2210"/>
      </w:tblGrid>
      <w:tr>
        <w:trPr/>
        <w:tc>
          <w:tcPr>
            <w:tcW w:w="59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Req ID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354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Priority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Acceptance Criteria (measurable pass/fail)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001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</w:t>
            </w:r>
          </w:p>
        </w:tc>
        <w:tc>
          <w:tcPr>
            <w:tcW w:w="35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system shall apply a dynamic diagonal overlay watermark to every draft illustration uploaded by an artist before it is displayed to the client.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Every draft rendered in the client portal shows the diagonal watermark. </w:t>
            </w:r>
            <w:r>
              <w:rPr>
                <w:b/>
              </w:rPr>
              <w:t>Fail:</w:t>
            </w:r>
            <w:r>
              <w:rPr/>
              <w:t xml:space="preserve"> Any unwatermarked high-res draft image is exposed to the client before final payment.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Core IP protection — prevents clients from using drafts without paying. </w:t>
            </w:r>
            <w:r>
              <w:rPr>
                <w:i/>
              </w:rPr>
              <w:t>(Given)</w:t>
            </w:r>
          </w:p>
        </w:tc>
      </w:tr>
      <w:tr>
        <w:trPr/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002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</w:t>
            </w:r>
          </w:p>
        </w:tc>
        <w:tc>
          <w:tcPr>
            <w:tcW w:w="35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system shall allow a Client Buyer to create and submit a visual creative brief specifying title, description, reference images, budget and deadline.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A submitted brief with all mandatory fields is stored and made visible to the assigned artist within 5 s. </w:t>
            </w:r>
            <w:r>
              <w:rPr>
                <w:b/>
              </w:rPr>
              <w:t>Fail:</w:t>
            </w:r>
            <w:r>
              <w:rPr/>
              <w:t xml:space="preserve"> A brief is accepted with a mandatory field left blank.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Entry point of the commission workflow — nothing can proceed without a brief.</w:t>
            </w:r>
          </w:p>
        </w:tc>
      </w:tr>
      <w:tr>
        <w:trPr/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003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</w:t>
            </w:r>
          </w:p>
        </w:tc>
        <w:tc>
          <w:tcPr>
            <w:tcW w:w="35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system shall allow a Digital Artist to upload a WIP draft file against a commission the artist has accepted.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An upload against an accepted commission is stored and listed as the commission's latest draft. </w:t>
            </w:r>
            <w:r>
              <w:rPr>
                <w:b/>
              </w:rPr>
              <w:t>Fail:</w:t>
            </w:r>
            <w:r>
              <w:rPr/>
              <w:t xml:space="preserve"> An upload is accepted against a commission the uploading artist has not accepted.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Enables the iterative feedback loop; the watermarking obligation on that draft is governed by FR-001.</w:t>
            </w:r>
          </w:p>
        </w:tc>
      </w:tr>
      <w:tr>
        <w:trPr/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004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</w:t>
            </w:r>
          </w:p>
        </w:tc>
        <w:tc>
          <w:tcPr>
            <w:tcW w:w="35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system shall allow a Client Buyer to record an explicit </w:t>
            </w:r>
            <w:r>
              <w:rPr>
                <w:b/>
              </w:rPr>
              <w:t>Approve</w:t>
            </w:r>
            <w:r>
              <w:rPr/>
              <w:t xml:space="preserve"> or </w:t>
            </w:r>
            <w:r>
              <w:rPr>
                <w:b/>
              </w:rPr>
              <w:t>Request Revision</w:t>
            </w:r>
            <w:r>
              <w:rPr/>
              <w:t xml:space="preserve"> decision on a watermarked draft.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The draft's status changes to </w:t>
            </w:r>
            <w:r>
              <w:rPr>
                <w:i/>
              </w:rPr>
              <w:t>Approved</w:t>
            </w:r>
            <w:r>
              <w:rPr/>
              <w:t xml:space="preserve"> or </w:t>
            </w:r>
            <w:r>
              <w:rPr>
                <w:i/>
              </w:rPr>
              <w:t>Revision Requested</w:t>
            </w:r>
            <w:r>
              <w:rPr/>
              <w:t xml:space="preserve"> and the artist is notified within 5 s of the decision. </w:t>
            </w:r>
            <w:r>
              <w:rPr>
                <w:b/>
              </w:rPr>
              <w:t>Fail:</w:t>
            </w:r>
            <w:r>
              <w:rPr/>
              <w:t xml:space="preserve"> A draft remains in </w:t>
            </w:r>
            <w:r>
              <w:rPr>
                <w:i/>
              </w:rPr>
              <w:t>Pending Review</w:t>
            </w:r>
            <w:r>
              <w:rPr/>
              <w:t xml:space="preserve"> after a decision is submitted, or a milestone becomes payable without an </w:t>
            </w:r>
            <w:r>
              <w:rPr>
                <w:i/>
              </w:rPr>
              <w:t>Approved</w:t>
            </w:r>
            <w:r>
              <w:rPr/>
              <w:t xml:space="preserve"> draft.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is the gate between drafting and payment — it is the precondition of UC-04 and the trigger for the revision cycle.</w:t>
            </w:r>
          </w:p>
        </w:tc>
      </w:tr>
      <w:tr>
        <w:trPr/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005</w:t>
            </w:r>
          </w:p>
        </w:tc>
        <w:tc>
          <w:tcPr>
            <w:tcW w:w="8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Functional</w:t>
            </w:r>
          </w:p>
        </w:tc>
        <w:tc>
          <w:tcPr>
            <w:tcW w:w="35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system shall allow a Client Buyer to pay a milestone through the Payment Gateway and shall make the final high-resolution, watermark-free source file downloadable </w:t>
            </w:r>
            <w:r>
              <w:rPr>
                <w:b/>
              </w:rPr>
              <w:t>if and only if</w:t>
            </w:r>
            <w:r>
              <w:rPr/>
              <w:t xml:space="preserve"> that milestone payment has been authorized by the gateway.</w:t>
            </w:r>
          </w:p>
        </w:tc>
        <w:tc>
          <w:tcPr>
            <w:tcW w:w="6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357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The final high-res file is downloadable exactly when a gateway authorization reference exists for its milestone. </w:t>
            </w:r>
            <w:r>
              <w:rPr>
                <w:b/>
              </w:rPr>
              <w:t>Fail:</w:t>
            </w:r>
            <w:r>
              <w:rPr/>
              <w:t xml:space="preserve"> The file is downloadable with no authorization reference on record, </w:t>
            </w:r>
            <w:r>
              <w:rPr>
                <w:b/>
              </w:rPr>
              <w:t>or</w:t>
            </w:r>
            <w:r>
              <w:rPr/>
              <w:t xml:space="preserve"> stays locked after one has been recorded.</w:t>
            </w:r>
          </w:p>
        </w:tc>
        <w:tc>
          <w:tcPr>
            <w:tcW w:w="22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headline rule of the platform: the artist is paid before the client receives a usable deliverable.</w:t>
            </w:r>
          </w:p>
        </w:tc>
      </w:tr>
    </w:tbl>
    <w:p>
      <w:pPr>
        <w:pStyle w:val="Heading2"/>
        <w:bidi w:val="0"/>
        <w:jc w:val="left"/>
        <w:rPr/>
      </w:pPr>
      <w:r>
        <w:rPr/>
        <w:t>Non-Functional Requirements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2"/>
        <w:gridCol w:w="1423"/>
        <w:gridCol w:w="2686"/>
        <w:gridCol w:w="672"/>
        <w:gridCol w:w="4034"/>
        <w:gridCol w:w="1822"/>
      </w:tblGrid>
      <w:tr>
        <w:trPr/>
        <w:tc>
          <w:tcPr>
            <w:tcW w:w="70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Req ID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Priority</w:t>
            </w:r>
          </w:p>
        </w:tc>
        <w:tc>
          <w:tcPr>
            <w:tcW w:w="4034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Acceptance Criteria (measurable pass/fail)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Rationale</w:t>
            </w:r>
          </w:p>
        </w:tc>
      </w:tr>
      <w:tr>
        <w:trPr/>
        <w:tc>
          <w:tcPr>
            <w:tcW w:w="7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</w:t>
              <w:noBreakHyphen/>
              <w:t>001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— Performance &amp; Security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system shall serve final high-resolution asset downloads exclusively through expiring signed S3 URLs valid for 60 minutes only.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</w:t>
            </w:r>
          </w:p>
        </w:tc>
        <w:tc>
          <w:tcPr>
            <w:tcW w:w="4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Under simulated peak load, a generated download URL serves the asset throughout its 60-minute window and returns HTTP 403 for every request after it. </w:t>
            </w:r>
            <w:r>
              <w:rPr>
                <w:b/>
              </w:rPr>
              <w:t>Fail:</w:t>
            </w:r>
            <w:r>
              <w:rPr/>
              <w:t xml:space="preserve"> Any download URL is still usable more than 60 minutes after issue.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Prevents link sharing/leakage of paid deliverables while keeping downloads fast. </w:t>
            </w:r>
            <w:r>
              <w:rPr>
                <w:i/>
              </w:rPr>
              <w:t>(Given)</w:t>
            </w:r>
          </w:p>
        </w:tc>
      </w:tr>
      <w:tr>
        <w:trPr/>
        <w:tc>
          <w:tcPr>
            <w:tcW w:w="7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</w:t>
              <w:noBreakHyphen/>
              <w:t>002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Non-Functional — Performance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system shall render and make an uploaded draft available in watermarked form in the client portal within 5 seconds of upload for at least 95% of uploads under peak load.</w:t>
            </w:r>
          </w:p>
        </w:tc>
        <w:tc>
          <w:tcPr>
            <w:tcW w:w="6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Medium</w:t>
            </w:r>
          </w:p>
        </w:tc>
        <w:tc>
          <w:tcPr>
            <w:tcW w:w="40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Pass:</w:t>
            </w:r>
            <w:r>
              <w:rPr/>
              <w:t xml:space="preserve"> Load test shows 95th-percentile watermark-render-to-display time ≤ 5 s under peak concurrency. </w:t>
            </w:r>
            <w:r>
              <w:rPr>
                <w:b/>
              </w:rPr>
              <w:t>Fail:</w:t>
            </w:r>
            <w:r>
              <w:rPr/>
              <w:t xml:space="preserve"> More than 5% of uploads exceed 5 s to appear watermarked.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Keeps the review loop responsive so the watermarking step never feels like a bottleneck.</w:t>
            </w:r>
          </w:p>
        </w:tc>
      </w:tr>
    </w:tbl>
    <w:p>
      <w:pPr>
        <w:pStyle w:val="Heading2"/>
        <w:bidi w:val="0"/>
        <w:jc w:val="left"/>
        <w:rPr/>
      </w:pPr>
      <w:r>
        <w:rPr/>
        <w:t>Traceability (requirement → use case)</w:t>
      </w:r>
    </w:p>
    <w:tbl>
      <w:tblPr>
        <w:tblW w:w="66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9"/>
        <w:gridCol w:w="5666"/>
      </w:tblGrid>
      <w:tr>
        <w:trPr/>
        <w:tc>
          <w:tcPr>
            <w:tcW w:w="1019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Requirement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Heading"/>
              <w:suppressLineNumbers/>
              <w:shd w:fill="DCE6F1" w:val="clear"/>
              <w:bidi w:val="0"/>
              <w:spacing w:before="0" w:after="283"/>
              <w:jc w:val="left"/>
              <w:rPr/>
            </w:pPr>
            <w:r>
              <w:rPr/>
              <w:t>Use case(s) in the UML diagram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001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Apply Diagonal Watermark</w:t>
            </w:r>
            <w:r>
              <w:rPr/>
              <w:t xml:space="preserve"> («include» of UC-02)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002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UC-01 Submit Creative Brief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003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UC-02 Upload WIP Draft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004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UC-03 Review / Approve Draft, </w:t>
            </w:r>
            <w:r>
              <w:rPr>
                <w:i/>
              </w:rPr>
              <w:t>Request Revision</w:t>
            </w:r>
            <w:r>
              <w:rPr/>
              <w:t xml:space="preserve"> («extend»)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</w:t>
              <w:noBreakHyphen/>
              <w:t>005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UC-04 Make Milestone Payment (+ </w:t>
            </w:r>
            <w:r>
              <w:rPr>
                <w:i/>
              </w:rPr>
              <w:t>Process Payment</w:t>
            </w:r>
            <w:r>
              <w:rPr/>
              <w:t>), UC-05 Download Final Asset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</w:t>
              <w:noBreakHyphen/>
              <w:t>001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Generate Signed Download URL</w:t>
            </w:r>
            <w:r>
              <w:rPr/>
              <w:t xml:space="preserve"> («include» of UC-05)</w:t>
            </w:r>
          </w:p>
        </w:tc>
      </w:tr>
      <w:tr>
        <w:trPr/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</w:t>
              <w:noBreakHyphen/>
              <w:t>002</w:t>
            </w:r>
          </w:p>
        </w:tc>
        <w:tc>
          <w:tcPr>
            <w:tcW w:w="5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i/>
              </w:rPr>
              <w:t>Apply Diagonal Watermark</w:t>
            </w:r>
            <w:r>
              <w:rPr/>
              <w:t xml:space="preserve"> (timing constraint on UC-02)</w:t>
            </w:r>
          </w:p>
        </w:tc>
      </w:tr>
    </w:tbl>
    <w:p>
      <w:pPr>
        <w:pStyle w:val="Heading3"/>
        <w:bidi w:val="0"/>
        <w:jc w:val="left"/>
        <w:rPr/>
      </w:pPr>
      <w:r>
        <w:rPr/>
        <w:t>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Exactly </w:t>
      </w:r>
      <w:r>
        <w:rPr>
          <w:b/>
        </w:rPr>
        <w:t>5 Functional Requirements</w:t>
      </w:r>
      <w:r>
        <w:rPr/>
        <w:t xml:space="preserve"> (FR-001 → FR-005) and </w:t>
      </w:r>
      <w:r>
        <w:rPr>
          <w:b/>
        </w:rPr>
        <w:t>2 Non-Functional Requirements</w:t>
      </w:r>
      <w:r>
        <w:rPr/>
        <w:t xml:space="preserve"> (NFR-001, NFR-002) as required.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FR-001 and NFR-001 are the instructor-provided samples; FR-002–FR-005 and NFR-002 are original.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Every requirement is phrased as a testable “The system shall…” statement with a single measurable pass/fail criterion, and every use case in the diagram traces back to a requirement. </w:t>
      </w:r>
    </w:p>
    <w:sectPr>
      <w:type w:val="nextPage"/>
      <w:pgSz w:orient="landscape" w:w="16838" w:h="11906"/>
      <w:pgMar w:left="794" w:right="794" w:gutter="0" w:header="0" w:top="794" w:footer="0" w:bottom="794"/>
      <w:pgNumType w:fmt="decimal"/>
      <w:formProt w:val="false"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Liberation San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Liberation Sans;sans-serif" w:hAnsi="Calibri;Liberation Sans;sans-serif" w:eastAsia="Calibri;Liberation Sans;sans-serif" w:cs="Calibri;Liberation Sans;sans-serif"/>
      <w:color w:val="000000"/>
      <w:sz w:val="18"/>
      <w:szCs w:val="1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</w:pPr>
    <w:rPr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240" w:after="80"/>
      <w:ind w:left="240" w:right="24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00" w:after="60"/>
      <w:ind w:left="200" w:right="200"/>
      <w:outlineLvl w:val="2"/>
    </w:pPr>
    <w:rPr>
      <w:rFonts w:ascii="Liberation Serif" w:hAnsi="Liberation Serif" w:eastAsia="Noto Serif CJK SC" w:cs="Noto Sans Devanagari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7"/>
      <w:szCs w:val="17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meta">
    <w:name w:val="Body Text.meta"/>
    <w:basedOn w:val="BodyText"/>
    <w:qFormat/>
    <w:pPr>
      <w:spacing w:before="0" w:after="160"/>
    </w:pPr>
    <w:rPr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DCE6F1" w:val="clear"/>
      <w:jc w:val="left"/>
    </w:pPr>
    <w:rPr>
      <w:b/>
      <w:bCs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Sobers</dc:creator>
  <dc:description/>
  <dc:language>en-US</dc:language>
  <cp:lastModifiedBy>Vivian Sobers</cp:lastModifiedBy>
  <cp:revision>0</cp:revision>
  <dc:subject/>
  <dc:title>Requirements Table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