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1FF6B" w14:textId="37AED353" w:rsidR="00AD03BC" w:rsidRPr="00A716C5" w:rsidRDefault="00AD03BC">
      <w:pPr>
        <w:rPr>
          <w:lang w:val="en-US"/>
        </w:rPr>
      </w:pPr>
      <w:proofErr w:type="spellStart"/>
      <w:r w:rsidRPr="00A716C5">
        <w:rPr>
          <w:lang w:val="en-US"/>
        </w:rPr>
        <w:t>Feminisim</w:t>
      </w:r>
      <w:proofErr w:type="spellEnd"/>
    </w:p>
    <w:p w14:paraId="7F834642" w14:textId="474EE773" w:rsidR="00115C43" w:rsidRDefault="00AD03BC">
      <w:pPr>
        <w:rPr>
          <w:lang w:val="en-US"/>
        </w:rPr>
      </w:pPr>
      <w:r w:rsidRPr="00AD03BC">
        <w:rPr>
          <w:lang w:val="en-US"/>
        </w:rPr>
        <w:t>These differences reflect societal expectations of them and align with Butler’s concept of performative gender. In this concept, men are expected to embody hegemony and power, while women are expected to embody frivolity, passivity, and attachment to family and home.</w:t>
      </w:r>
    </w:p>
    <w:p w14:paraId="26581B4C" w14:textId="245022AE" w:rsidR="00AD03BC" w:rsidRDefault="00AD03BC">
      <w:pPr>
        <w:rPr>
          <w:lang w:val="en-US"/>
        </w:rPr>
      </w:pPr>
      <w:r w:rsidRPr="00AD03BC">
        <w:rPr>
          <w:lang w:val="en-US"/>
        </w:rPr>
        <w:t>In contrast to the male murderers, the female murderers do not conform to the expected elements of their performances. In Christie’s novels, the female criminals are not submissive, not subjugated by men or forced to commit crime because they are driven by their inferior status to the male gender or because they are unaware of the consequences of their gestures and actions because of their ignorance or their emotional fragility. Rather, they are women with a criminal will of their own, aware of the role society assigns to them and the expectations others have of them. They are resolute and intelligent women, who instead of being overwhelmed by the shell in which gender discrimination wants to confine them, know how to exploit what society expects of them to manipulate the condition in which they live to confuse investigations and divert suspicion. They are the full expression of the concept of “New Women,” representing the feminist ideal that emerged in the late 19th and early 20th centuries, which represented women’s demand for greater independence and equity</w:t>
      </w:r>
    </w:p>
    <w:p w14:paraId="19AF4C0D" w14:textId="77777777" w:rsidR="00B94C05" w:rsidRDefault="00B94C05">
      <w:pPr>
        <w:rPr>
          <w:lang w:val="en-US"/>
        </w:rPr>
      </w:pPr>
    </w:p>
    <w:p w14:paraId="494F79B1" w14:textId="77777777" w:rsidR="007F1104" w:rsidRPr="007F1104" w:rsidRDefault="007F1104" w:rsidP="007F1104">
      <w:pPr>
        <w:rPr>
          <w:b/>
          <w:bCs/>
        </w:rPr>
      </w:pPr>
      <w:r w:rsidRPr="007F1104">
        <w:rPr>
          <w:b/>
          <w:bCs/>
        </w:rPr>
        <w:t>Warum digitale Methoden besonders geeignet sind:</w:t>
      </w:r>
    </w:p>
    <w:p w14:paraId="08FC5358" w14:textId="77777777" w:rsidR="007F1104" w:rsidRPr="007F1104" w:rsidRDefault="007F1104" w:rsidP="007F1104">
      <w:pPr>
        <w:numPr>
          <w:ilvl w:val="0"/>
          <w:numId w:val="3"/>
        </w:numPr>
      </w:pPr>
      <w:r w:rsidRPr="007F1104">
        <w:rPr>
          <w:b/>
          <w:bCs/>
        </w:rPr>
        <w:t>Objektive Mustererkennung in großen Textmengen</w:t>
      </w:r>
      <w:r w:rsidRPr="007F1104">
        <w:br/>
        <w:t>Agatha Christies Werk umfasst zahlreiche Romane mit variierenden Täterfiguren.</w:t>
      </w:r>
      <w:r w:rsidRPr="007F1104">
        <w:br/>
        <w:t xml:space="preserve">→ Digitale Methoden wie Netzwerkanalyse und Text Mining ermöglichen es, systematisch </w:t>
      </w:r>
      <w:r w:rsidRPr="007F1104">
        <w:rPr>
          <w:b/>
          <w:bCs/>
        </w:rPr>
        <w:t>wiederkehrende sprachliche Muster</w:t>
      </w:r>
      <w:r w:rsidRPr="007F1104">
        <w:t xml:space="preserve"> oder </w:t>
      </w:r>
      <w:r w:rsidRPr="007F1104">
        <w:rPr>
          <w:b/>
          <w:bCs/>
        </w:rPr>
        <w:t>Strukturprinzipien</w:t>
      </w:r>
      <w:r w:rsidRPr="007F1104">
        <w:t xml:space="preserve"> in der Darstellung von Tätern zu erkennen – jenseits subjektiver Lektüre.</w:t>
      </w:r>
    </w:p>
    <w:p w14:paraId="53161ADA" w14:textId="77777777" w:rsidR="007F1104" w:rsidRPr="007F1104" w:rsidRDefault="007F1104" w:rsidP="007F1104">
      <w:pPr>
        <w:numPr>
          <w:ilvl w:val="0"/>
          <w:numId w:val="3"/>
        </w:numPr>
      </w:pPr>
      <w:r w:rsidRPr="007F1104">
        <w:rPr>
          <w:b/>
          <w:bCs/>
        </w:rPr>
        <w:t>Feinfühlige Analyse von Sprache &amp; Rollenbildern (z.</w:t>
      </w:r>
      <w:r w:rsidRPr="007F1104">
        <w:rPr>
          <w:rFonts w:ascii="Arial" w:hAnsi="Arial" w:cs="Arial"/>
          <w:b/>
          <w:bCs/>
        </w:rPr>
        <w:t> </w:t>
      </w:r>
      <w:r w:rsidRPr="007F1104">
        <w:rPr>
          <w:b/>
          <w:bCs/>
        </w:rPr>
        <w:t>B. Moral &amp; Feminismus)</w:t>
      </w:r>
      <w:r w:rsidRPr="007F1104">
        <w:br/>
        <w:t xml:space="preserve">Die Frage „Was ist böse?“ oder „Wie wird die Täterin als ‚New Woman‘ dargestellt?“ kann durch Kollokationsanalysen und </w:t>
      </w:r>
      <w:proofErr w:type="spellStart"/>
      <w:r w:rsidRPr="007F1104">
        <w:t>Sentimentanalysen</w:t>
      </w:r>
      <w:proofErr w:type="spellEnd"/>
      <w:r w:rsidRPr="007F1104">
        <w:t xml:space="preserve"> beantwortet werden:</w:t>
      </w:r>
      <w:r w:rsidRPr="007F1104">
        <w:br/>
        <w:t>→ Welche Adjektive/Verben verwendet Christie für Täterinnen vs. Täter?</w:t>
      </w:r>
      <w:r w:rsidRPr="007F1104">
        <w:br/>
        <w:t>→ Welche sprachlichen Nuancen deuten auf moralische Verurteilung oder Sympathie hin?</w:t>
      </w:r>
    </w:p>
    <w:p w14:paraId="12110CC4" w14:textId="77777777" w:rsidR="007F1104" w:rsidRPr="007F1104" w:rsidRDefault="007F1104" w:rsidP="007F1104">
      <w:pPr>
        <w:numPr>
          <w:ilvl w:val="0"/>
          <w:numId w:val="3"/>
        </w:numPr>
      </w:pPr>
      <w:r w:rsidRPr="007F1104">
        <w:rPr>
          <w:b/>
          <w:bCs/>
        </w:rPr>
        <w:t>Quantifizierbarkeit von Auffälligkeit &amp; Unsichtbarkeit (Aktivität im Plot)</w:t>
      </w:r>
      <w:r w:rsidRPr="007F1104">
        <w:br/>
        <w:t>Digitale Netzwerkanalyse (z.</w:t>
      </w:r>
      <w:r w:rsidRPr="007F1104">
        <w:rPr>
          <w:rFonts w:ascii="Arial" w:hAnsi="Arial" w:cs="Arial"/>
        </w:rPr>
        <w:t> </w:t>
      </w:r>
      <w:r w:rsidRPr="007F1104">
        <w:t xml:space="preserve">B. basierend auf </w:t>
      </w:r>
      <w:proofErr w:type="spellStart"/>
      <w:r w:rsidRPr="007F1104">
        <w:t>quoted</w:t>
      </w:r>
      <w:proofErr w:type="spellEnd"/>
      <w:r w:rsidRPr="007F1104">
        <w:t xml:space="preserve"> </w:t>
      </w:r>
      <w:proofErr w:type="spellStart"/>
      <w:r w:rsidRPr="007F1104">
        <w:t>speech</w:t>
      </w:r>
      <w:proofErr w:type="spellEnd"/>
      <w:r w:rsidRPr="007F1104">
        <w:t xml:space="preserve">) zeigt, </w:t>
      </w:r>
      <w:r w:rsidRPr="007F1104">
        <w:rPr>
          <w:b/>
          <w:bCs/>
        </w:rPr>
        <w:t>wie präsent eine Figur im Text ist</w:t>
      </w:r>
      <w:r w:rsidRPr="007F1104">
        <w:t>, ohne dass sie gleich verdächtig wirkt.</w:t>
      </w:r>
      <w:r w:rsidRPr="007F1104">
        <w:br/>
        <w:t>→ Besonders relevant für die These, dass weibliche Täter oft „unsichtbar“ agieren – das lässt sich digital nachweisen.</w:t>
      </w:r>
    </w:p>
    <w:p w14:paraId="33238070" w14:textId="77777777" w:rsidR="007F1104" w:rsidRPr="007F1104" w:rsidRDefault="007F1104" w:rsidP="007F1104">
      <w:pPr>
        <w:numPr>
          <w:ilvl w:val="0"/>
          <w:numId w:val="3"/>
        </w:numPr>
      </w:pPr>
      <w:r w:rsidRPr="007F1104">
        <w:rPr>
          <w:b/>
          <w:bCs/>
        </w:rPr>
        <w:lastRenderedPageBreak/>
        <w:t>Vergleichbarkeit &amp; Baselines (Detektive vs. Täter)</w:t>
      </w:r>
      <w:r w:rsidRPr="007F1104">
        <w:br/>
        <w:t>Mit Word2Vec kannst du z.</w:t>
      </w:r>
      <w:r w:rsidRPr="007F1104">
        <w:rPr>
          <w:rFonts w:ascii="Arial" w:hAnsi="Arial" w:cs="Arial"/>
        </w:rPr>
        <w:t> </w:t>
      </w:r>
      <w:r w:rsidRPr="007F1104">
        <w:t>B. T</w:t>
      </w:r>
      <w:r w:rsidRPr="007F1104">
        <w:rPr>
          <w:rFonts w:ascii="Aptos" w:hAnsi="Aptos" w:cs="Aptos"/>
        </w:rPr>
        <w:t>ä</w:t>
      </w:r>
      <w:r w:rsidRPr="007F1104">
        <w:t>terkontexte mit Detektivkontexten vergleichen:</w:t>
      </w:r>
      <w:r w:rsidRPr="007F1104">
        <w:br/>
      </w:r>
      <w:r w:rsidRPr="007F1104">
        <w:rPr>
          <w:rFonts w:ascii="Aptos" w:hAnsi="Aptos" w:cs="Aptos"/>
        </w:rPr>
        <w:t>→</w:t>
      </w:r>
      <w:r w:rsidRPr="007F1104">
        <w:t xml:space="preserve"> Werden Detektive z.</w:t>
      </w:r>
      <w:r w:rsidRPr="007F1104">
        <w:rPr>
          <w:rFonts w:ascii="Arial" w:hAnsi="Arial" w:cs="Arial"/>
        </w:rPr>
        <w:t> </w:t>
      </w:r>
      <w:r w:rsidRPr="007F1104">
        <w:t xml:space="preserve">B. mit Begriffen wie </w:t>
      </w:r>
      <w:r w:rsidRPr="007F1104">
        <w:rPr>
          <w:rFonts w:ascii="Aptos" w:hAnsi="Aptos" w:cs="Aptos"/>
        </w:rPr>
        <w:t>„</w:t>
      </w:r>
      <w:r w:rsidRPr="007F1104">
        <w:t>Logik</w:t>
      </w:r>
      <w:r w:rsidRPr="007F1104">
        <w:rPr>
          <w:rFonts w:ascii="Aptos" w:hAnsi="Aptos" w:cs="Aptos"/>
        </w:rPr>
        <w:t>“</w:t>
      </w:r>
      <w:r w:rsidRPr="007F1104">
        <w:t xml:space="preserve">, </w:t>
      </w:r>
      <w:r w:rsidRPr="007F1104">
        <w:rPr>
          <w:rFonts w:ascii="Aptos" w:hAnsi="Aptos" w:cs="Aptos"/>
        </w:rPr>
        <w:t>„</w:t>
      </w:r>
      <w:r w:rsidRPr="007F1104">
        <w:t>Klarheit</w:t>
      </w:r>
      <w:r w:rsidRPr="007F1104">
        <w:rPr>
          <w:rFonts w:ascii="Aptos" w:hAnsi="Aptos" w:cs="Aptos"/>
        </w:rPr>
        <w:t>“</w:t>
      </w:r>
      <w:r w:rsidRPr="007F1104">
        <w:t xml:space="preserve">, </w:t>
      </w:r>
      <w:r w:rsidRPr="007F1104">
        <w:rPr>
          <w:rFonts w:ascii="Aptos" w:hAnsi="Aptos" w:cs="Aptos"/>
        </w:rPr>
        <w:t>„</w:t>
      </w:r>
      <w:r w:rsidRPr="007F1104">
        <w:t>Ordnung</w:t>
      </w:r>
      <w:r w:rsidRPr="007F1104">
        <w:rPr>
          <w:rFonts w:ascii="Aptos" w:hAnsi="Aptos" w:cs="Aptos"/>
        </w:rPr>
        <w:t>“</w:t>
      </w:r>
      <w:r w:rsidRPr="007F1104">
        <w:t xml:space="preserve"> umgeben, T</w:t>
      </w:r>
      <w:r w:rsidRPr="007F1104">
        <w:rPr>
          <w:rFonts w:ascii="Aptos" w:hAnsi="Aptos" w:cs="Aptos"/>
        </w:rPr>
        <w:t>ä</w:t>
      </w:r>
      <w:r w:rsidRPr="007F1104">
        <w:t xml:space="preserve">ter aber mit </w:t>
      </w:r>
      <w:r w:rsidRPr="007F1104">
        <w:rPr>
          <w:rFonts w:ascii="Aptos" w:hAnsi="Aptos" w:cs="Aptos"/>
        </w:rPr>
        <w:t>„</w:t>
      </w:r>
      <w:r w:rsidRPr="007F1104">
        <w:t>T</w:t>
      </w:r>
      <w:r w:rsidRPr="007F1104">
        <w:rPr>
          <w:rFonts w:ascii="Aptos" w:hAnsi="Aptos" w:cs="Aptos"/>
        </w:rPr>
        <w:t>ä</w:t>
      </w:r>
      <w:r w:rsidRPr="007F1104">
        <w:t>uschung</w:t>
      </w:r>
      <w:r w:rsidRPr="007F1104">
        <w:rPr>
          <w:rFonts w:ascii="Aptos" w:hAnsi="Aptos" w:cs="Aptos"/>
        </w:rPr>
        <w:t>“</w:t>
      </w:r>
      <w:r w:rsidRPr="007F1104">
        <w:t xml:space="preserve">, </w:t>
      </w:r>
      <w:r w:rsidRPr="007F1104">
        <w:rPr>
          <w:rFonts w:ascii="Aptos" w:hAnsi="Aptos" w:cs="Aptos"/>
        </w:rPr>
        <w:t>„</w:t>
      </w:r>
      <w:r w:rsidRPr="007F1104">
        <w:t>Verf</w:t>
      </w:r>
      <w:r w:rsidRPr="007F1104">
        <w:rPr>
          <w:rFonts w:ascii="Aptos" w:hAnsi="Aptos" w:cs="Aptos"/>
        </w:rPr>
        <w:t>ü</w:t>
      </w:r>
      <w:r w:rsidRPr="007F1104">
        <w:t>hrung</w:t>
      </w:r>
      <w:r w:rsidRPr="007F1104">
        <w:rPr>
          <w:rFonts w:ascii="Aptos" w:hAnsi="Aptos" w:cs="Aptos"/>
        </w:rPr>
        <w:t>“</w:t>
      </w:r>
      <w:r w:rsidRPr="007F1104">
        <w:t xml:space="preserve">, </w:t>
      </w:r>
      <w:r w:rsidRPr="007F1104">
        <w:rPr>
          <w:rFonts w:ascii="Aptos" w:hAnsi="Aptos" w:cs="Aptos"/>
        </w:rPr>
        <w:t>„</w:t>
      </w:r>
      <w:r w:rsidRPr="007F1104">
        <w:t>Dunkelheit</w:t>
      </w:r>
      <w:r w:rsidRPr="007F1104">
        <w:rPr>
          <w:rFonts w:ascii="Aptos" w:hAnsi="Aptos" w:cs="Aptos"/>
        </w:rPr>
        <w:t>“</w:t>
      </w:r>
      <w:r w:rsidRPr="007F1104">
        <w:t>?</w:t>
      </w:r>
    </w:p>
    <w:p w14:paraId="74031C3B" w14:textId="77777777" w:rsidR="007F1104" w:rsidRPr="007F1104" w:rsidRDefault="007F1104" w:rsidP="007F1104">
      <w:pPr>
        <w:numPr>
          <w:ilvl w:val="0"/>
          <w:numId w:val="3"/>
        </w:numPr>
      </w:pPr>
      <w:r w:rsidRPr="007F1104">
        <w:rPr>
          <w:b/>
          <w:bCs/>
        </w:rPr>
        <w:t xml:space="preserve">Muster, die </w:t>
      </w:r>
      <w:proofErr w:type="spellStart"/>
      <w:proofErr w:type="gramStart"/>
      <w:r w:rsidRPr="007F1104">
        <w:rPr>
          <w:b/>
          <w:bCs/>
        </w:rPr>
        <w:t>Leser:innen</w:t>
      </w:r>
      <w:proofErr w:type="spellEnd"/>
      <w:proofErr w:type="gramEnd"/>
      <w:r w:rsidRPr="007F1104">
        <w:rPr>
          <w:b/>
          <w:bCs/>
        </w:rPr>
        <w:t xml:space="preserve"> intuitiv erfassen, aber selten explizit analysieren</w:t>
      </w:r>
      <w:r w:rsidRPr="007F1104">
        <w:br/>
        <w:t>Agatha Christie arbeitet oft mit Stereotypen und Umkehrungen.</w:t>
      </w:r>
      <w:r w:rsidRPr="007F1104">
        <w:br/>
        <w:t xml:space="preserve">→ Digitale Methoden machen diese </w:t>
      </w:r>
      <w:r w:rsidRPr="007F1104">
        <w:rPr>
          <w:b/>
          <w:bCs/>
        </w:rPr>
        <w:t>impliziten Erzählstrategien</w:t>
      </w:r>
      <w:r w:rsidRPr="007F1104">
        <w:t xml:space="preserve"> sichtbar, indem sie Häufungen, Abweichungen und Ironien statistisch offenlegen.</w:t>
      </w:r>
    </w:p>
    <w:p w14:paraId="72103513" w14:textId="781C486C" w:rsidR="00A716C5" w:rsidRDefault="00A716C5" w:rsidP="007F1104">
      <w:r>
        <w:t>Sentiment-</w:t>
      </w:r>
      <w:proofErr w:type="spellStart"/>
      <w:r>
        <w:t>dictionary</w:t>
      </w:r>
      <w:proofErr w:type="spellEnd"/>
      <w:r>
        <w:t>.</w:t>
      </w:r>
    </w:p>
    <w:p w14:paraId="2956ECFB" w14:textId="76224E20" w:rsidR="00B94C05" w:rsidRDefault="00C53BB7" w:rsidP="007F1104">
      <w:r>
        <w:t xml:space="preserve">Die haben </w:t>
      </w:r>
      <w:r w:rsidR="00A716C5" w:rsidRPr="00A716C5">
        <w:t>das LSD (Lexikon) an manuell codierten Nachrichteninhalten und verglichen ihre Ergebnisse mit denen von neun anderen inhaltsanalytischen Wörterbüchern. Die Analysen deuten darauf hin, dass die Ergebnisse des LSD systematischer mit der manuellen Codierung übereinstimmen als die Ergebnisse der anderen verfügbaren Wörterbücher.</w:t>
      </w:r>
    </w:p>
    <w:p w14:paraId="37125994" w14:textId="77777777" w:rsidR="00C513FA" w:rsidRDefault="00C513FA" w:rsidP="007F1104"/>
    <w:p w14:paraId="591E8253" w14:textId="3EFA3860" w:rsidR="00C513FA" w:rsidRDefault="00C513FA" w:rsidP="007F1104">
      <w:pPr>
        <w:rPr>
          <w:lang w:val="en-US"/>
        </w:rPr>
      </w:pPr>
      <w:r w:rsidRPr="00C513FA">
        <w:rPr>
          <w:lang w:val="en-US"/>
        </w:rPr>
        <w:t>A dictionary object containing </w:t>
      </w:r>
      <w:hyperlink r:id="rId5" w:history="1">
        <w:r w:rsidRPr="00C513FA">
          <w:rPr>
            <w:rStyle w:val="Hyperlink"/>
            <w:lang w:val="en-US"/>
          </w:rPr>
          <w:t>Mohammad and Charron’s (2013)</w:t>
        </w:r>
      </w:hyperlink>
      <w:r w:rsidRPr="00C513FA">
        <w:rPr>
          <w:lang w:val="en-US"/>
        </w:rPr>
        <w:t> version of the </w:t>
      </w:r>
      <w:r w:rsidRPr="00C513FA">
        <w:rPr>
          <w:i/>
          <w:iCs/>
          <w:lang w:val="en-US"/>
        </w:rPr>
        <w:t>NRC Word-Emotion Association Lexicon</w:t>
      </w:r>
      <w:r w:rsidRPr="00C513FA">
        <w:rPr>
          <w:lang w:val="en-US"/>
        </w:rPr>
        <w:t> (aka NRC Emotion Lexicon aka </w:t>
      </w:r>
      <w:proofErr w:type="spellStart"/>
      <w:r w:rsidRPr="00C513FA">
        <w:rPr>
          <w:i/>
          <w:iCs/>
          <w:lang w:val="en-US"/>
        </w:rPr>
        <w:t>EmoLex</w:t>
      </w:r>
      <w:proofErr w:type="spellEnd"/>
      <w:r w:rsidRPr="00C513FA">
        <w:rPr>
          <w:lang w:val="en-US"/>
        </w:rPr>
        <w:t>). It associates words with eight emotions (anger, fear, anticipation, trust, surprise, sadness, joy, and disgust) and two sentiments (negative and positive), all </w:t>
      </w:r>
      <w:r w:rsidRPr="00C513FA">
        <w:rPr>
          <w:i/>
          <w:iCs/>
          <w:lang w:val="en-US"/>
        </w:rPr>
        <w:t>manually</w:t>
      </w:r>
      <w:r w:rsidRPr="00C513FA">
        <w:rPr>
          <w:lang w:val="en-US"/>
        </w:rPr>
        <w:t> annotated on Amazon’s Mechanical Turk, i.e., by humans.</w:t>
      </w:r>
    </w:p>
    <w:p w14:paraId="1A2CB1CB" w14:textId="77777777" w:rsidR="00BC6E54" w:rsidRDefault="00BC6E54" w:rsidP="007F1104">
      <w:pPr>
        <w:rPr>
          <w:lang w:val="en-US"/>
        </w:rPr>
      </w:pPr>
    </w:p>
    <w:p w14:paraId="7E597321" w14:textId="77777777" w:rsidR="00BC6E54" w:rsidRDefault="00BC6E54" w:rsidP="007F1104">
      <w:pPr>
        <w:rPr>
          <w:lang w:val="en-US"/>
        </w:rPr>
      </w:pPr>
    </w:p>
    <w:p w14:paraId="25F21B30" w14:textId="0CA6E3CD" w:rsidR="00BC6E54" w:rsidRPr="00C513FA" w:rsidRDefault="00BC6E54" w:rsidP="007F1104">
      <w:pPr>
        <w:rPr>
          <w:lang w:val="en-US"/>
        </w:rPr>
      </w:pPr>
      <w:proofErr w:type="spellStart"/>
      <w:r>
        <w:rPr>
          <w:lang w:val="en-US"/>
        </w:rPr>
        <w:t>Ezlinavis</w:t>
      </w:r>
      <w:proofErr w:type="spellEnd"/>
      <w:r>
        <w:rPr>
          <w:lang w:val="en-US"/>
        </w:rPr>
        <w:t xml:space="preserve"> für </w:t>
      </w:r>
      <w:proofErr w:type="spellStart"/>
      <w:r>
        <w:rPr>
          <w:lang w:val="en-US"/>
        </w:rPr>
        <w:t>Kookkurrenz</w:t>
      </w:r>
      <w:proofErr w:type="spellEnd"/>
      <w:r>
        <w:rPr>
          <w:lang w:val="en-US"/>
        </w:rPr>
        <w:t xml:space="preserve"> </w:t>
      </w:r>
    </w:p>
    <w:sectPr w:rsidR="00BC6E54" w:rsidRPr="00C513F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06204"/>
    <w:multiLevelType w:val="multilevel"/>
    <w:tmpl w:val="1AFA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34456F"/>
    <w:multiLevelType w:val="hybridMultilevel"/>
    <w:tmpl w:val="B04E55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B98493D"/>
    <w:multiLevelType w:val="multilevel"/>
    <w:tmpl w:val="B5FA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882494">
    <w:abstractNumId w:val="1"/>
  </w:num>
  <w:num w:numId="2" w16cid:durableId="320160420">
    <w:abstractNumId w:val="2"/>
  </w:num>
  <w:num w:numId="3" w16cid:durableId="592518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A1A1E"/>
    <w:rsid w:val="000A6719"/>
    <w:rsid w:val="000E168C"/>
    <w:rsid w:val="00115C43"/>
    <w:rsid w:val="0017521F"/>
    <w:rsid w:val="00180F7C"/>
    <w:rsid w:val="002A1A1E"/>
    <w:rsid w:val="005674F0"/>
    <w:rsid w:val="007F1104"/>
    <w:rsid w:val="008F6701"/>
    <w:rsid w:val="00A568EA"/>
    <w:rsid w:val="00A716C5"/>
    <w:rsid w:val="00A821DC"/>
    <w:rsid w:val="00AD03BC"/>
    <w:rsid w:val="00B3336A"/>
    <w:rsid w:val="00B94C05"/>
    <w:rsid w:val="00BC6E54"/>
    <w:rsid w:val="00C513FA"/>
    <w:rsid w:val="00C53BB7"/>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F594"/>
  <w15:chartTrackingRefBased/>
  <w15:docId w15:val="{E35D2104-B09B-468B-8B23-0850096B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1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A1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A1A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1A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1A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1A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1A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1A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1A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1A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1A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A1A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1A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1A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1A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1A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1A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1A1E"/>
    <w:rPr>
      <w:rFonts w:eastAsiaTheme="majorEastAsia" w:cstheme="majorBidi"/>
      <w:color w:val="272727" w:themeColor="text1" w:themeTint="D8"/>
    </w:rPr>
  </w:style>
  <w:style w:type="paragraph" w:styleId="Titel">
    <w:name w:val="Title"/>
    <w:basedOn w:val="Standard"/>
    <w:next w:val="Standard"/>
    <w:link w:val="TitelZchn"/>
    <w:uiPriority w:val="10"/>
    <w:qFormat/>
    <w:rsid w:val="002A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1A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1A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1A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1A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1A1E"/>
    <w:rPr>
      <w:i/>
      <w:iCs/>
      <w:color w:val="404040" w:themeColor="text1" w:themeTint="BF"/>
    </w:rPr>
  </w:style>
  <w:style w:type="paragraph" w:styleId="Listenabsatz">
    <w:name w:val="List Paragraph"/>
    <w:basedOn w:val="Standard"/>
    <w:uiPriority w:val="34"/>
    <w:qFormat/>
    <w:rsid w:val="002A1A1E"/>
    <w:pPr>
      <w:ind w:left="720"/>
      <w:contextualSpacing/>
    </w:pPr>
  </w:style>
  <w:style w:type="character" w:styleId="IntensiveHervorhebung">
    <w:name w:val="Intense Emphasis"/>
    <w:basedOn w:val="Absatz-Standardschriftart"/>
    <w:uiPriority w:val="21"/>
    <w:qFormat/>
    <w:rsid w:val="002A1A1E"/>
    <w:rPr>
      <w:i/>
      <w:iCs/>
      <w:color w:val="0F4761" w:themeColor="accent1" w:themeShade="BF"/>
    </w:rPr>
  </w:style>
  <w:style w:type="paragraph" w:styleId="IntensivesZitat">
    <w:name w:val="Intense Quote"/>
    <w:basedOn w:val="Standard"/>
    <w:next w:val="Standard"/>
    <w:link w:val="IntensivesZitatZchn"/>
    <w:uiPriority w:val="30"/>
    <w:qFormat/>
    <w:rsid w:val="002A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1A1E"/>
    <w:rPr>
      <w:i/>
      <w:iCs/>
      <w:color w:val="0F4761" w:themeColor="accent1" w:themeShade="BF"/>
    </w:rPr>
  </w:style>
  <w:style w:type="character" w:styleId="IntensiverVerweis">
    <w:name w:val="Intense Reference"/>
    <w:basedOn w:val="Absatz-Standardschriftart"/>
    <w:uiPriority w:val="32"/>
    <w:qFormat/>
    <w:rsid w:val="002A1A1E"/>
    <w:rPr>
      <w:b/>
      <w:bCs/>
      <w:smallCaps/>
      <w:color w:val="0F4761" w:themeColor="accent1" w:themeShade="BF"/>
      <w:spacing w:val="5"/>
    </w:rPr>
  </w:style>
  <w:style w:type="character" w:styleId="Hyperlink">
    <w:name w:val="Hyperlink"/>
    <w:basedOn w:val="Absatz-Standardschriftart"/>
    <w:uiPriority w:val="99"/>
    <w:unhideWhenUsed/>
    <w:rsid w:val="00C513FA"/>
    <w:rPr>
      <w:color w:val="467886" w:themeColor="hyperlink"/>
      <w:u w:val="single"/>
    </w:rPr>
  </w:style>
  <w:style w:type="character" w:styleId="NichtaufgelsteErwhnung">
    <w:name w:val="Unresolved Mention"/>
    <w:basedOn w:val="Absatz-Standardschriftart"/>
    <w:uiPriority w:val="99"/>
    <w:semiHidden/>
    <w:unhideWhenUsed/>
    <w:rsid w:val="00C51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297169">
      <w:bodyDiv w:val="1"/>
      <w:marLeft w:val="0"/>
      <w:marRight w:val="0"/>
      <w:marTop w:val="0"/>
      <w:marBottom w:val="0"/>
      <w:divBdr>
        <w:top w:val="none" w:sz="0" w:space="0" w:color="auto"/>
        <w:left w:val="none" w:sz="0" w:space="0" w:color="auto"/>
        <w:bottom w:val="none" w:sz="0" w:space="0" w:color="auto"/>
        <w:right w:val="none" w:sz="0" w:space="0" w:color="auto"/>
      </w:divBdr>
    </w:div>
    <w:div w:id="1094517993">
      <w:bodyDiv w:val="1"/>
      <w:marLeft w:val="0"/>
      <w:marRight w:val="0"/>
      <w:marTop w:val="0"/>
      <w:marBottom w:val="0"/>
      <w:divBdr>
        <w:top w:val="none" w:sz="0" w:space="0" w:color="auto"/>
        <w:left w:val="none" w:sz="0" w:space="0" w:color="auto"/>
        <w:bottom w:val="none" w:sz="0" w:space="0" w:color="auto"/>
        <w:right w:val="none" w:sz="0" w:space="0" w:color="auto"/>
      </w:divBdr>
    </w:div>
    <w:div w:id="1109424389">
      <w:bodyDiv w:val="1"/>
      <w:marLeft w:val="0"/>
      <w:marRight w:val="0"/>
      <w:marTop w:val="0"/>
      <w:marBottom w:val="0"/>
      <w:divBdr>
        <w:top w:val="none" w:sz="0" w:space="0" w:color="auto"/>
        <w:left w:val="none" w:sz="0" w:space="0" w:color="auto"/>
        <w:bottom w:val="none" w:sz="0" w:space="0" w:color="auto"/>
        <w:right w:val="none" w:sz="0" w:space="0" w:color="auto"/>
      </w:divBdr>
    </w:div>
    <w:div w:id="1834297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1308.6297"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3308</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Li</dc:creator>
  <cp:keywords/>
  <dc:description/>
  <cp:lastModifiedBy>Vivien Li</cp:lastModifiedBy>
  <cp:revision>7</cp:revision>
  <dcterms:created xsi:type="dcterms:W3CDTF">2025-05-29T06:38:00Z</dcterms:created>
  <dcterms:modified xsi:type="dcterms:W3CDTF">2025-06-02T08:56:00Z</dcterms:modified>
</cp:coreProperties>
</file>