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Evaluation Report - DemoDevice X100</w:t>
      </w:r>
    </w:p>
    <w:p>
      <w:pPr>
        <w:pStyle w:val="Heading2"/>
      </w:pPr>
      <w:r>
        <w:t>1. Device Description</w:t>
      </w:r>
    </w:p>
    <w:p>
      <w:r>
        <w:t>DemoDevice X100 is a Class IIa active medical device intended for continuous non-invasive monitoring in adult patients.</w:t>
      </w:r>
    </w:p>
    <w:p>
      <w:pPr>
        <w:pStyle w:val="Heading2"/>
      </w:pPr>
      <w:r>
        <w:t>2. Clinical Performance</w:t>
      </w:r>
    </w:p>
    <w:p>
      <w:r>
        <w:t>The pivotal study (Smith et al., 2023) reported a primary endpoint response rate of 87.4% (95% CI: 82.1-91.6) at 12 months in 412 patients.</w:t>
      </w:r>
    </w:p>
    <w:p>
      <w:r>
        <w:t>Adverse event rate was 3.2% across the safety population (n=412).</w:t>
      </w:r>
    </w:p>
    <w:p>
      <w:pPr>
        <w:pStyle w:val="Heading2"/>
      </w:pPr>
      <w:r>
        <w:t>3. Benefit-Risk Conclusion</w:t>
      </w:r>
    </w:p>
    <w:p>
      <w:r>
        <w:t>Based on the available clinical evidence, the benefit-risk profile of DemoDevice X100 is considered acceptable for the intended use [1].</w:t>
      </w:r>
    </w:p>
    <w:p>
      <w:pPr>
        <w:pStyle w:val="Heading2"/>
      </w:pPr>
      <w:r>
        <w:t>Appendix A - Endpoint Summary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Response rate at 12 months</w:t>
            </w:r>
          </w:p>
        </w:tc>
        <w:tc>
          <w:tcPr>
            <w:tcW w:type="dxa" w:w="2880"/>
          </w:tcPr>
          <w:p>
            <w:r>
              <w:t>87.4%</w:t>
            </w:r>
          </w:p>
        </w:tc>
        <w:tc>
          <w:tcPr>
            <w:tcW w:type="dxa" w:w="2880"/>
          </w:tcPr>
          <w:p>
            <w:r>
              <w:t>Smith 2023</w:t>
            </w:r>
          </w:p>
        </w:tc>
      </w:tr>
      <w:tr>
        <w:tc>
          <w:tcPr>
            <w:tcW w:type="dxa" w:w="2880"/>
          </w:tcPr>
          <w:p>
            <w:r>
              <w:t>Adverse event rate</w:t>
            </w:r>
          </w:p>
        </w:tc>
        <w:tc>
          <w:tcPr>
            <w:tcW w:type="dxa" w:w="2880"/>
          </w:tcPr>
          <w:p>
            <w:r>
              <w:t>3.2%</w:t>
            </w:r>
          </w:p>
        </w:tc>
        <w:tc>
          <w:tcPr>
            <w:tcW w:type="dxa" w:w="2880"/>
          </w:tcPr>
          <w:p>
            <w:r>
              <w:t>Smith 2023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