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rPr>
          <w:i/>
          <w:iCs/>
          <w:color w:val="7A8089"/>
          <w:sz w:val="22"/>
          <w:szCs w:val="22"/>
        </w:rPr>
        <w:t xml:space="preserve">AI Ecosystem Fund · PRD</w:t>
      </w:r>
    </w:p>
    <w:p>
      <w:pPr>
        <w:spacing w:after="60" w:before="120"/>
      </w:pPr>
      <w:r>
        <w:rPr>
          <w:b/>
          <w:bCs/>
          <w:color w:val="1A1A1A"/>
          <w:sz w:val="48"/>
          <w:szCs w:val="48"/>
        </w:rPr>
        <w:t xml:space="preserve">AI 生态基金驾驶舱</w:t>
      </w:r>
    </w:p>
    <w:p>
      <w:pPr>
        <w:spacing w:after="60"/>
      </w:pPr>
      <w:r>
        <w:rPr>
          <w:b/>
          <w:bCs/>
          <w:color w:val="0F7A6B"/>
          <w:sz w:val="36"/>
          <w:szCs w:val="36"/>
        </w:rPr>
        <w:t xml:space="preserve">产品需求文档 (PRD)</w:t>
      </w:r>
    </w:p>
    <w:p>
      <w:pPr>
        <w:spacing w:after="40"/>
      </w:pPr>
      <w:r>
        <w:rPr>
          <w:i/>
          <w:iCs/>
          <w:color w:val="7A8089"/>
          <w:sz w:val="22"/>
          <w:szCs w:val="22"/>
        </w:rPr>
        <w:t xml:space="preserve">Product Requirements Document</w:t>
      </w:r>
    </w:p>
    <w:p>
      <w:pPr>
        <w:spacing w:before="240"/>
      </w:pPr>
      <w:r>
        <w:rPr>
          <w:color w:val="7A8089"/>
          <w:sz w:val="20"/>
          <w:szCs w:val="20"/>
        </w:rPr>
        <w:t xml:space="preserve">by Vivienna  |  Built with Claude Opus 4.8  |  2026.06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A6B" w:sz="18"/>
              <w:bottom w:val="none"/>
              <w:right w:val="none"/>
            </w:tcBorders>
            <w:shd w:fill="DCEF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i/>
                <w:iCs/>
                <w:sz w:val="20"/>
                <w:szCs w:val="20"/>
              </w:rPr>
              <w:t xml:space="preserve">本文档定义 AI 生态基金驾驶舱的产品目标、用户场景、功能需求与合规约束,作为开发文档与数据契约的上游依据。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文档信息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项目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AI 生态基金驾驶舱(AI Ecosystem Fund Cockpit)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产品需求文档 (PRD)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版本 / 状态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v1.0 / 初稿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关联文档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开发文档、数据接口与回测契约、演示看板 (luffa_superbox_fund.html)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架构参照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Gold Monitor (因子体系与回测体系)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修改人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2026.06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Vivienna / Claude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初稿:覆盖驾驶舱、调仓引擎、预警、回测与数据契约全部内容</w:t>
            </w:r>
          </w:p>
        </w:tc>
      </w:tr>
    </w:tbl>
    <w:p>
      <w:pPr>
        <w:pStyle w:val="Heading1"/>
      </w:pPr>
      <w:r>
        <w:t xml:space="preserve">一 · 背景与目标</w:t>
      </w:r>
    </w:p>
    <w:p>
      <w:pPr>
        <w:pStyle w:val="Heading2"/>
      </w:pPr>
      <w:r>
        <w:t xml:space="preserve">1.1 背景</w:t>
      </w:r>
    </w:p>
    <w:p>
      <w:pPr>
        <w:spacing w:after="120" w:line="276"/>
      </w:pPr>
      <w:r>
        <w:t xml:space="preserve">基金管理人管理一只 AI 产业生态主题基金,持有 10 个标的,横跨「算力 → 云/模型 → 应用 → 电力供应链」四段价值链。当前研究、监控、调仓、复盘分散在多处,缺少一个统一的驾驶舱来支撑「自上而下、宏观气候门控」的方法论落地。本产品复用已成熟的 Gold Monitor 体系架构,把信号层替换为 AI 生态因子。</w:t>
      </w:r>
    </w:p>
    <w:p>
      <w:pPr>
        <w:pStyle w:val="Heading2"/>
      </w:pPr>
      <w:r>
        <w:t xml:space="preserve">1.2 产品目标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把研究、监控、调仓、复盘集中到一个驾驶舱,服务于「加 / 减 / 守 / 换」四类决策。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显性化方法论的自上而下门控:气候层决定整体仓位与 Beta。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量化并暴露组合的隐藏相关性(「假分散」),提示真实独立赌注数。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形成「监控 → 预警 → 调仓 → 复盘」闭环,把运气与能力分开。</w:t>
      </w:r>
    </w:p>
    <w:p>
      <w:pPr>
        <w:pStyle w:val="Heading2"/>
      </w:pPr>
      <w:r>
        <w:t xml:space="preserve">1.3 非目标(超出范围)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不下单、不自动执行任何交易;所有调仓由人工拍板。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不提供个性化投资建议;不作为投资顾问产出。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不做高频交易;为再平衡驱动的中低频组合工具。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在真实数据接入并通过验证前,不作为「已验证业绩」的依据。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F7A6B" w:sz="18"/>
              <w:bottom w:val="none"/>
              <w:right w:val="none"/>
            </w:tcBorders>
            <w:shd w:fill="DCEFEB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</w:rPr>
              <w:t xml:space="preserve">合规底线:</w:t>
            </w:r>
            <w:r>
              <w:rPr>
                <w:i/>
                <w:iCs/>
              </w:rPr>
              <w:t xml:space="preserve">人在回路(human-in-the-loop)、演示数据明确标注、非投资建议。这三条为硬约束,任何功能不得违反。</w:t>
            </w:r>
          </w:p>
        </w:tc>
      </w:tr>
    </w:tbl>
    <w:p>
      <w:pPr>
        <w:pStyle w:val="Heading1"/>
      </w:pPr>
      <w:r>
        <w:t xml:space="preserve">二 · 用户与场景</w:t>
      </w:r>
    </w:p>
    <w:p>
      <w:pPr>
        <w:pStyle w:val="Heading2"/>
      </w:pPr>
      <w:r>
        <w:t xml:space="preserve">2.1 目标用户</w:t>
      </w:r>
    </w:p>
    <w:p>
      <w:pPr>
        <w:spacing w:after="120" w:line="276"/>
      </w:pPr>
      <w:r>
        <w:t xml:space="preserve">主用户为基金管理人(PM),具备量化与基本面双重视角,需要在高强度信息环境下快速判断仓位与调仓。</w:t>
      </w:r>
    </w:p>
    <w:p>
      <w:pPr>
        <w:pStyle w:val="Heading2"/>
      </w:pPr>
      <w:r>
        <w:t xml:space="preserve">2.2 核心场景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每日观测:开盘前扫一眼气候判读、KPI、个股健康度与预警状态。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识别假分散:确认 10 个标的的真实独立暴露,避免「10 注实为 1 注」。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触发器预警:某标的监控指标越线时被提示,并可一键进入调仓评估。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评估调仓:在模拟器中比较换仓对段位、集中度、相关性的影响,过三道闸再决定。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阶段复盘:看回测净值、归因与验证,判断方法论是否仍然有效。</w:t>
      </w:r>
    </w:p>
    <w:p>
      <w:pPr>
        <w:pStyle w:val="Heading1"/>
      </w:pPr>
      <w:r>
        <w:t xml:space="preserve">三 · 模块总览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00"/>
        <w:gridCol w:w="4060"/>
        <w:gridCol w:w="2400"/>
      </w:tblGrid>
      <w:tr>
        <w:trPr>
          <w:tblHeader/>
        </w:trPr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对应决策</w:t>
            </w:r>
          </w:p>
        </w:tc>
      </w:tr>
      <w:tr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基金驾驶舱</w:t>
            </w:r>
          </w:p>
        </w:tc>
        <w:tc>
          <w:tcPr>
            <w:tcW w:type="dxa" w:w="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净值/超额/回撤/Beta/现金一览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总体把握</w:t>
            </w:r>
          </w:p>
        </w:tc>
      </w:tr>
      <w:tr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市场气候门控</w:t>
            </w:r>
          </w:p>
        </w:tc>
        <w:tc>
          <w:tcPr>
            <w:tcW w:type="dxa" w:w="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L1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门控信号 → 气候判读 → 整体仓位/Beta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加仓 / 防御</w:t>
            </w:r>
          </w:p>
        </w:tc>
      </w:tr>
      <w:tr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价值链曝露地图</w:t>
            </w:r>
          </w:p>
        </w:tc>
        <w:tc>
          <w:tcPr>
            <w:tcW w:type="dxa" w:w="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L2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段位权重、集中度、相关性、假分散预警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分散管理</w:t>
            </w:r>
          </w:p>
        </w:tc>
      </w:tr>
      <w:tr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个股观测</w:t>
            </w:r>
          </w:p>
        </w:tc>
        <w:tc>
          <w:tcPr>
            <w:tcW w:type="dxa" w:w="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L3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论点/KPI/健康度/触发器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守 / 减</w:t>
            </w:r>
          </w:p>
        </w:tc>
      </w:tr>
      <w:tr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预警中心</w:t>
            </w:r>
          </w:p>
        </w:tc>
        <w:tc>
          <w:tcPr>
            <w:tcW w:type="dxa" w:w="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个股预警 + 组合熔断 + 情景模拟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风险响应</w:t>
            </w:r>
          </w:p>
        </w:tc>
      </w:tr>
      <w:tr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调仓引擎 + 备用池</w:t>
            </w:r>
          </w:p>
        </w:tc>
        <w:tc>
          <w:tcPr>
            <w:tcW w:type="dxa" w:w="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L3.5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三道闸 + 自动建议 + 模拟器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换</w:t>
            </w:r>
          </w:p>
        </w:tc>
      </w:tr>
      <w:tr>
        <w:tc>
          <w:tcPr>
            <w:tcW w:type="dxa" w:w="21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方法论回测</w:t>
            </w:r>
          </w:p>
        </w:tc>
        <w:tc>
          <w:tcPr>
            <w:tcW w:type="dxa" w:w="8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L4</w:t>
            </w:r>
          </w:p>
        </w:tc>
        <w:tc>
          <w:tcPr>
            <w:tcW w:type="dxa" w:w="40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净值曲线、指标、归因、验证</w:t>
            </w:r>
          </w:p>
        </w:tc>
        <w:tc>
          <w:tcPr>
            <w:tcW w:type="dxa" w:w="24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复盘迭代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 · 功能需求</w:t>
      </w:r>
    </w:p>
    <w:p>
      <w:pPr>
        <w:pStyle w:val="Heading3"/>
      </w:pPr>
      <w:r>
        <w:t xml:space="preserve">FR-1 基金驾驶舱(KPI 条)</w:t>
      </w:r>
    </w:p>
    <w:p>
      <w:pPr>
        <w:spacing w:after="120" w:line="276"/>
      </w:pPr>
      <w:r>
        <w:t xml:space="preserve">顶部展示基金级关键指标。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验收条目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预期表现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指标完整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展示净值、超额收益、当前/最大回撤、组合 Beta、现金仓位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数据来源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holdings.fund</w:t>
            </w:r>
            <w:r>
              <w:t xml:space="preserve"> 字段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数值格式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等宽字体、统一精度,涨跌用色区分</w:t>
            </w:r>
          </w:p>
        </w:tc>
      </w:tr>
    </w:tbl>
    <w:p>
      <w:pPr>
        <w:pStyle w:val="Heading3"/>
      </w:pPr>
      <w:r>
        <w:t xml:space="preserve">FR-2 市场气候门控(L1)</w:t>
      </w:r>
    </w:p>
    <w:p>
      <w:pPr>
        <w:spacing w:after="120" w:line="276"/>
      </w:pPr>
      <w:r>
        <w:t xml:space="preserve">展示门控信号与气候判读,驱动整体仓位倾向。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验收条目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预期表现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四信号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Capex 指引(主变量)、流动性/利率、推理/Token、电力/供应链各有状态与色点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气候判读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给出季节比喻 + 进攻/中性/防守结论,指针位置反映综合得分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乘数可溯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final_mult</w:t>
            </w:r>
            <w:r>
              <w:t xml:space="preserve"> 由 L1×L2×(1+L3)×L4 合成,可追溯</w:t>
            </w:r>
          </w:p>
        </w:tc>
      </w:tr>
    </w:tbl>
    <w:p>
      <w:pPr>
        <w:pStyle w:val="Heading3"/>
      </w:pPr>
      <w:r>
        <w:t xml:space="preserve">FR-3 价值链曝露地图(L2)</w:t>
      </w:r>
    </w:p>
    <w:p>
      <w:pPr>
        <w:spacing w:after="120" w:line="276"/>
      </w:pPr>
      <w:r>
        <w:t xml:space="preserve">量化段位分布与隐藏相关性。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验收条目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预期表现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段位条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算力/云/应用/供应链/现金占比可视化,含每段标的数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集中度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展示第一大、前三大、前五大集中度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假分散预警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显示平均相关、Capex-β 标的数、真实独立赌注估计,并给出红色预警</w:t>
            </w:r>
          </w:p>
        </w:tc>
      </w:tr>
    </w:tbl>
    <w:p>
      <w:pPr>
        <w:pStyle w:val="Heading3"/>
      </w:pPr>
      <w:r>
        <w:t xml:space="preserve">FR-4 个股观测(L3)</w:t>
      </w:r>
    </w:p>
    <w:p>
      <w:pPr>
        <w:spacing w:after="120" w:line="276"/>
      </w:pPr>
      <w:r>
        <w:t xml:space="preserve">10 张可交互卡片 + 详情。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验收条目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预期表现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卡片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显示代码、权重、日涨跌、健康度血条,按价值链段着色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筛选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可按价值链段过滤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详情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点击展开论点三支柱、关键 KPI、健康度、预设止损触发器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预警联动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触发/观察状态以红/琥珀边框与圆点标注</w:t>
            </w:r>
          </w:p>
        </w:tc>
      </w:tr>
    </w:tbl>
    <w:p>
      <w:pPr>
        <w:pStyle w:val="Heading3"/>
      </w:pPr>
      <w:r>
        <w:t xml:space="preserve">FR-5 预警中心 / 熔断</w:t>
      </w:r>
    </w:p>
    <w:p>
      <w:pPr>
        <w:spacing w:after="120" w:line="276"/>
      </w:pPr>
      <w:r>
        <w:t xml:space="preserve">两层预警,复用 Gold Circuit Breaker。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验收条目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预期表现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组合熔断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回撤熔断(5/8/15% 阶梯)、相关性熔断、信号有效性(IC)三条状态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个股预警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按监控指标 vs 阈值算 正常/观察/触发,列出触发器原文与当前值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推送调仓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每条预警可一键推送到调仓模拟器并预选对口候补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情景模拟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可模拟某标的指标越线,实时观察染色与级联;可重置</w:t>
            </w:r>
          </w:p>
        </w:tc>
      </w:tr>
    </w:tbl>
    <w:p>
      <w:pPr>
        <w:pStyle w:val="Heading3"/>
      </w:pPr>
      <w:r>
        <w:t xml:space="preserve">FR-6 调仓引擎 + 备用池(L3.5)</w:t>
      </w:r>
    </w:p>
    <w:p>
      <w:pPr>
        <w:spacing w:after="120" w:line="276"/>
      </w:pPr>
      <w:r>
        <w:t xml:space="preserve">换出有据、换入有名单。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验收条目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预期表现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三道闸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触发(健康&lt;70/触发器/超配)→ 候选(就绪+段位)→ 验证(单票≤18%、前三≤40%、不抬高 Capex-β)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备用池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≥6 只候补,标注段位、Capex-β、就绪度、催化剂、入选触发器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自动建议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基于健康度与相关性自动生成建议,可载入模拟器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模拟器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选换出/换入后展示 before→after 段位/集中度/Capex-β 变化与三闸校验,且不自动执行</w:t>
            </w:r>
          </w:p>
        </w:tc>
      </w:tr>
    </w:tbl>
    <w:p>
      <w:pPr>
        <w:pStyle w:val="Heading3"/>
      </w:pPr>
      <w:r>
        <w:t xml:space="preserve">FR-7 方法论回测(L4)</w:t>
      </w:r>
    </w:p>
    <w:p>
      <w:pPr>
        <w:spacing w:after="120" w:line="276"/>
      </w:pPr>
      <w:r>
        <w:t xml:space="preserve">展示策略行为与验证。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验收条目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预期表现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净值曲线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方法论组合 vs 基准,防御期阴影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指标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年化、最大回撤、夏普、胜率、超额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归因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各标的收益贡献(bps)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验证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展示 CPCV 路径数、p 值与 alpha 是否确认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周期切换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支持近 1 年 / 近 3 年</w:t>
            </w:r>
          </w:p>
        </w:tc>
      </w:tr>
      <w:tr>
        <w:tc>
          <w:tcPr>
            <w:tcW w:type="dxa" w:w="3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诚实标注</w:t>
            </w:r>
          </w:p>
        </w:tc>
        <w:tc>
          <w:tcPr>
            <w:tcW w:type="dxa" w:w="6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明确标注演示数据 / 非真实回测 / 前视偏误风险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 ·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要求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性能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单页加载与交互响应 &lt; 200ms;回测曲线本地计算无需后端往返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可移植 / 自包含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前端单文件、无外部存储与外部脚本依赖,可直接在 SuperBox 运行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主题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暗色驾驶舱风格,数值等宽,色彩编码语义一致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响应式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≤880px 自动堆叠,移动端可用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无浏览器存储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不使用 localStorage/sessionStorage;状态保存在内存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数据刷新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holdings/regime/exposure/alerts/backtest 日级;bench 周级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可访问性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键盘可达、对比度达标、提供屏幕阅读摘要</w:t>
            </w:r>
          </w:p>
        </w:tc>
      </w:tr>
    </w:tbl>
    <w:p>
      <w:pPr>
        <w:pStyle w:val="Heading1"/>
      </w:pPr>
      <w:r>
        <w:t xml:space="preserve">六 · 数据需求</w:t>
      </w:r>
    </w:p>
    <w:p>
      <w:pPr>
        <w:spacing w:after="120" w:line="276"/>
      </w:pPr>
      <w:r>
        <w:t xml:space="preserve">看板由 7 个契约 JSON 驱动,字段级定义见《数据接口与回测契约》。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JSON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驱动模块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holdings.json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KPI 条 + 个股观测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regime.json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市场气候门控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exposure.json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价值链曝露地图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bench.json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备用池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alerts.json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预警中心 / 熔断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backtest.json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方法论回测</w:t>
            </w:r>
          </w:p>
        </w:tc>
      </w:tr>
      <w:tr>
        <w:tc>
          <w:tcPr>
            <w:tcW w:type="dxa" w:w="26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model_health.json</w:t>
            </w:r>
          </w:p>
        </w:tc>
        <w:tc>
          <w:tcPr>
            <w:tcW w:type="dxa" w:w="6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信号有效性状态</w:t>
            </w:r>
          </w:p>
        </w:tc>
      </w:tr>
    </w:tbl>
    <w:p>
      <w:pPr>
        <w:pStyle w:val="Heading1"/>
      </w:pPr>
      <w:r>
        <w:t xml:space="preserve">七 · 约束与合规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演示数据标注。</w:t>
      </w:r>
      <w:r>
        <w:t xml:space="preserve"> 真实数据接入前,所有数值须显著标注为演示。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非投资建议。</w:t>
      </w:r>
      <w:r>
        <w:t xml:space="preserve"> 产出仅供决策参考,不构成投资建议。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alpha 门控。</w:t>
      </w:r>
      <w:r>
        <w:t xml:space="preserve"> 回测 alpha 未确认时,业绩区块只能作为「策略行为示意」,且不得据此做超参/回测优化。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人在回路。</w:t>
      </w:r>
      <w:r>
        <w:t xml:space="preserve"> 调仓与熔断仅提示与建议,执行由人工完成。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相关性真实化。</w:t>
      </w:r>
      <w:r>
        <w:t xml:space="preserve"> Capex-β 与相关性须以真实回归/收益矩阵替换经验标签后,方可用于风控决策。</w:t>
      </w:r>
    </w:p>
    <w:p>
      <w:pPr>
        <w:pStyle w:val="Heading1"/>
      </w:pPr>
      <w:r>
        <w:t xml:space="preserve">八 · 验收与里程碑(产品级)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3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交付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验收</w:t>
            </w:r>
          </w:p>
        </w:tc>
      </w:tr>
      <w:tr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P0 演示</w:t>
            </w:r>
          </w:p>
        </w:tc>
        <w:tc>
          <w:tcPr>
            <w:tcW w:type="dxa" w:w="3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可交互看板 + 文档集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结构、交互、诚实标注齐备</w:t>
            </w:r>
          </w:p>
        </w:tc>
      </w:tr>
      <w:tr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P1 数据接入</w:t>
            </w:r>
          </w:p>
        </w:tc>
        <w:tc>
          <w:tcPr>
            <w:tcW w:type="dxa" w:w="3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7 JSON 产出 + 看板读取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看板由真实文件驱动,demo→live 可切换</w:t>
            </w:r>
          </w:p>
        </w:tc>
      </w:tr>
      <w:tr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P2 信号层</w:t>
            </w:r>
          </w:p>
        </w:tc>
        <w:tc>
          <w:tcPr>
            <w:tcW w:type="dxa" w:w="3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因子 + 信号 + 仓位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健康度/权重由模型给出</w:t>
            </w:r>
          </w:p>
        </w:tc>
      </w:tr>
      <w:tr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P3 回测</w:t>
            </w:r>
          </w:p>
        </w:tc>
        <w:tc>
          <w:tcPr>
            <w:tcW w:type="dxa" w:w="3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再平衡回测 + 验证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可跑 CPCV 并如实显示 alpha 结论</w:t>
            </w:r>
          </w:p>
        </w:tc>
      </w:tr>
      <w:tr>
        <w:tc>
          <w:tcPr>
            <w:tcW w:type="dxa" w:w="19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P4 上线</w:t>
            </w:r>
          </w:p>
        </w:tc>
        <w:tc>
          <w:tcPr>
            <w:tcW w:type="dxa" w:w="37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SuperBox 部署 + IC 监控</w:t>
            </w:r>
          </w:p>
        </w:tc>
        <w:tc>
          <w:tcPr>
            <w:tcW w:type="dxa" w:w="37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预警全条目点亮,运行稳定</w:t>
            </w:r>
          </w:p>
        </w:tc>
      </w:tr>
    </w:tbl>
    <w:p>
      <w:pPr>
        <w:pStyle w:val="Heading1"/>
      </w:pPr>
      <w:r>
        <w:t xml:space="preserve">附录 ·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术语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0F7A6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释义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气候门控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自上而下的宏观信号判读,决定整体仓位/Beta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final_mult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气候层合成乘数,乘到目标仓位上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Capex-β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标的对超大厂资本开支叙事的敏感度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假分散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名义分散但真实独立赌注很少的状态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论点健康度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0-100,衡量持仓论点是否仍被基本面验证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止损触发器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买入时预设的「承认看错」条件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三道闸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7F8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调仓的触发 / 候选 / 验证三重校验</w:t>
            </w:r>
          </w:p>
        </w:tc>
      </w:tr>
      <w:tr>
        <w:tc>
          <w:tcPr>
            <w:tcW w:type="dxa" w:w="220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熔断 / Circuit Breaker</w:t>
            </w:r>
          </w:p>
        </w:tc>
        <w:tc>
          <w:tcPr>
            <w:tcW w:type="dxa" w:w="7160"/>
            <w:tcBorders>
              <w:top w:val="single" w:color="D6D9DD" w:sz="1"/>
              <w:left w:val="single" w:color="D6D9DD" w:sz="1"/>
              <w:bottom w:val="single" w:color="D6D9DD" w:sz="1"/>
              <w:right w:val="single" w:color="D6D9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line="252"/>
            </w:pPr>
            <w:r>
              <w:rPr>
                <w:sz w:val="19"/>
                <w:szCs w:val="19"/>
              </w:rPr>
              <w:t xml:space="preserve">回撤/相关性/IC 越线时的自动缩仓机制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0A8"/>
        <w:sz w:val="16"/>
        <w:szCs w:val="16"/>
      </w:rPr>
      <w:t xml:space="preserve">AI 生态基金驾驶舱  ·  </w:t>
    </w:r>
    <w:r>
      <w:rPr>
        <w:color w:val="9AA0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9DD" w:sz="4" w:space="4"/>
      </w:pBdr>
      <w:tabs>
        <w:tab w:val="right" w:pos="9026"/>
      </w:tabs>
      <w:spacing w:after="0"/>
    </w:pPr>
    <w:r>
      <w:rPr>
        <w:color w:val="9AA0A8"/>
        <w:sz w:val="16"/>
        <w:szCs w:val="16"/>
      </w:rPr>
      <w:t xml:space="preserve">产品需求文档 (PRD)</w:t>
    </w:r>
    <w:r>
      <w:rPr>
        <w:color w:val="9AA0A8"/>
        <w:sz w:val="16"/>
        <w:szCs w:val="16"/>
      </w:rPr>
      <w:t xml:space="preserve">	Luffa SuperBox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7A6B" w:sz="6" w:space="6"/>
      </w:pBdr>
      <w:spacing w:after="160" w:before="300"/>
      <w:outlineLvl w:val="0"/>
    </w:pPr>
    <w:rPr>
      <w:rFonts w:ascii="Arial" w:cs="Arial" w:eastAsia="Arial" w:hAnsi="Arial"/>
      <w:b/>
      <w:bCs/>
      <w:color w:val="0F7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F7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2026-06-11T06:47:42.400Z</dcterms:created>
  <dcterms:modified xsi:type="dcterms:W3CDTF">2026-06-11T06:47:42.400Z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