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rPr>
          <w:i/>
          <w:iCs/>
          <w:color w:val="7A8089"/>
          <w:sz w:val="22"/>
          <w:szCs w:val="22"/>
        </w:rPr>
        <w:t xml:space="preserve">AI Ecosystem Fund · Dev</w:t>
      </w:r>
    </w:p>
    <w:p>
      <w:pPr>
        <w:spacing w:after="60" w:before="120"/>
      </w:pPr>
      <w:r>
        <w:rPr>
          <w:b/>
          <w:bCs/>
          <w:color w:val="1A1A1A"/>
          <w:sz w:val="48"/>
          <w:szCs w:val="48"/>
        </w:rPr>
        <w:t xml:space="preserve">AI 生态基金驾驶舱</w:t>
      </w:r>
    </w:p>
    <w:p>
      <w:pPr>
        <w:spacing w:after="60"/>
      </w:pPr>
      <w:r>
        <w:rPr>
          <w:b/>
          <w:bCs/>
          <w:color w:val="0F7A6B"/>
          <w:sz w:val="36"/>
          <w:szCs w:val="36"/>
        </w:rPr>
        <w:t xml:space="preserve">开发文档(技术设计)</w:t>
      </w:r>
    </w:p>
    <w:p>
      <w:pPr>
        <w:spacing w:after="40"/>
      </w:pPr>
      <w:r>
        <w:rPr>
          <w:i/>
          <w:iCs/>
          <w:color w:val="7A8089"/>
          <w:sz w:val="22"/>
          <w:szCs w:val="22"/>
        </w:rPr>
        <w:t xml:space="preserve">Development &amp; Technical Design</w:t>
      </w:r>
    </w:p>
    <w:p>
      <w:pPr>
        <w:spacing w:before="240"/>
      </w:pPr>
      <w:r>
        <w:rPr>
          <w:color w:val="7A8089"/>
          <w:sz w:val="20"/>
          <w:szCs w:val="20"/>
        </w:rPr>
        <w:t xml:space="preserve">by Vivienna  |  Built with Claude Opus 4.8  |  2026.06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A6B" w:sz="18"/>
              <w:bottom w:val="none"/>
              <w:right w:val="none"/>
            </w:tcBorders>
            <w:shd w:fill="DCEF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i/>
                <w:iCs/>
                <w:sz w:val="20"/>
                <w:szCs w:val="20"/>
              </w:rPr>
              <w:t xml:space="preserve">本文档定义系统架构、数据流水线、前后端模块设计、Gold Monitor 复用方案、测试与里程碑,是 PRD 的技术落地。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AI 生态基金驾驶舱(AI Ecosystem Fund Cockpit)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开发文档(技术设计)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版本 / 状态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v1.0 / 初稿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关联文档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产品需求文档 (PRD)、数据接口与回测契约、演示看板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复用基线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Gold Monitor 流水线与 JSON→前端契约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修改人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2026.06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Vivienna / Claude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初稿:覆盖驾驶舱、调仓引擎、预警、回测与数据契约全部内容</w:t>
            </w:r>
          </w:p>
        </w:tc>
      </w:tr>
    </w:tbl>
    <w:p>
      <w:pPr>
        <w:pStyle w:val="Heading1"/>
      </w:pPr>
      <w:r>
        <w:t xml:space="preserve">一 · 系统架构</w:t>
      </w:r>
    </w:p>
    <w:p>
      <w:pPr>
        <w:pStyle w:val="Heading2"/>
      </w:pPr>
      <w:r>
        <w:t xml:space="preserve">1.1 架构概览</w:t>
      </w:r>
    </w:p>
    <w:p>
      <w:pPr>
        <w:spacing w:after="120" w:line="276"/>
      </w:pPr>
      <w:r>
        <w:t xml:space="preserve">后端流水线产出契约 JSON,前端读取并渲染。前端为自包含单页,可在 SuperBox 直接运行。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2F4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[数据源] → fetch_data → features → compute_regime 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├→ select_and_size → simulate_rotation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[行情/财报/宏观]            signals ───────────────┘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run_backtest ← ── ── ── ──  compute_alerts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│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▼                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pipeline/output/*.json  ──→  前端驾驶舱(单页 HTML)</w:t>
            </w:r>
          </w:p>
        </w:tc>
      </w:tr>
    </w:tbl>
    <w:p>
      <w:pPr>
        <w:pStyle w:val="Heading2"/>
      </w:pPr>
      <w:r>
        <w:t xml:space="preserve">1.2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前端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原生 HTML/CSS/JS,内联 SVG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自包含、无外部存储/脚本依赖,可移植</w:t>
            </w:r>
          </w:p>
        </w:tc>
      </w:tr>
      <w:tr>
        <w:tc>
          <w:tcPr>
            <w:tcW w:type="dxa" w:w="1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可视化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手绘内联 SVG + DOM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净值曲线/图表零第三方依赖</w:t>
            </w:r>
          </w:p>
        </w:tc>
      </w:tr>
      <w:tr>
        <w:tc>
          <w:tcPr>
            <w:tcW w:type="dxa" w:w="1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后端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SuperBox · Python 流水线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产出 7 个契约 JSON</w:t>
            </w:r>
          </w:p>
        </w:tc>
      </w:tr>
      <w:tr>
        <w:tc>
          <w:tcPr>
            <w:tcW w:type="dxa" w:w="1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数据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FRED / 行情 API / 财报 API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兑底链 + 缓存(复用 Gold 模式)</w:t>
            </w:r>
          </w:p>
        </w:tc>
      </w:tr>
      <w:tr>
        <w:tc>
          <w:tcPr>
            <w:tcW w:type="dxa" w:w="1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验证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CPCV / Purged CV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复用 Gold cpcv.py</w:t>
            </w:r>
          </w:p>
        </w:tc>
      </w:tr>
    </w:tbl>
    <w:p>
      <w:pPr>
        <w:pStyle w:val="Heading2"/>
      </w:pPr>
      <w:r>
        <w:t xml:space="preserve">1.3 部署</w:t>
      </w:r>
    </w:p>
    <w:p>
      <w:pPr>
        <w:spacing w:after="120" w:line="276"/>
      </w:pPr>
      <w:r>
        <w:t xml:space="preserve">前端读取 </w:t>
      </w:r>
      <w:r>
        <w:rPr>
          <w:rFonts w:ascii="Consolas" w:cs="Consolas" w:eastAsia="Consolas" w:hAnsi="Consolas"/>
          <w:sz w:val="18"/>
          <w:szCs w:val="18"/>
        </w:rPr>
        <w:t xml:space="preserve">pipeline/output/*.json</w:t>
      </w:r>
      <w:r>
        <w:t xml:space="preserve">;以 </w:t>
      </w:r>
      <w:r>
        <w:rPr>
          <w:rFonts w:ascii="Consolas" w:cs="Consolas" w:eastAsia="Consolas" w:hAnsi="Consolas"/>
          <w:sz w:val="18"/>
          <w:szCs w:val="18"/>
        </w:rPr>
        <w:t xml:space="preserve">model_health.status</w:t>
      </w:r>
      <w:r>
        <w:t xml:space="preserve"> 区分 demo/live —— demo 时业绩与 IC 显示「待接入」而非假装有效。</w:t>
      </w:r>
    </w:p>
    <w:p>
      <w:pPr>
        <w:pStyle w:val="Heading1"/>
      </w:pPr>
      <w:r>
        <w:t xml:space="preserve">二 · 数据流水线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4660"/>
        <w:gridCol w:w="2000"/>
      </w:tblGrid>
      <w:tr>
        <w:trPr>
          <w:tblHeader/>
        </w:trPr>
        <w:tc>
          <w:tcPr>
            <w:tcW w:type="dxa" w:w="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步</w:t>
            </w:r>
          </w:p>
        </w:tc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输入 → 输出</w:t>
            </w:r>
          </w:p>
        </w:tc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复用</w:t>
            </w:r>
          </w:p>
        </w:tc>
      </w:tr>
      <w:tr>
        <w:tc>
          <w:tcPr>
            <w:tcW w:type="dxa" w:w="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fetch_data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数据源 → 原始价格/基本面/宏观</w:t>
            </w:r>
          </w:p>
        </w:tc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部分(兑底链)</w:t>
            </w:r>
          </w:p>
        </w:tc>
      </w:tr>
      <w:tr>
        <w:tc>
          <w:tcPr>
            <w:tcW w:type="dxa" w:w="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features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原始 → AI 因子 + 辅助特征</w:t>
            </w:r>
          </w:p>
        </w:tc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替换</w:t>
            </w:r>
          </w:p>
        </w:tc>
      </w:tr>
      <w:tr>
        <w:tc>
          <w:tcPr>
            <w:tcW w:type="dxa" w:w="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compute_regime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特征 → regime.json(L1-L4, final_mult)</w:t>
            </w:r>
          </w:p>
        </w:tc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复用(L4 改写)</w:t>
            </w:r>
          </w:p>
        </w:tc>
      </w:tr>
      <w:tr>
        <w:tc>
          <w:tcPr>
            <w:tcW w:type="dxa" w:w="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signals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特征 → 截面排序 / 健康度 + 触发器</w:t>
            </w:r>
          </w:p>
        </w:tc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替换</w:t>
            </w:r>
          </w:p>
        </w:tc>
      </w:tr>
      <w:tr>
        <w:tc>
          <w:tcPr>
            <w:tcW w:type="dxa" w:w="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select_and_size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信号+regime → 目标权重</w:t>
            </w:r>
          </w:p>
        </w:tc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复用(单注→组合)</w:t>
            </w:r>
          </w:p>
        </w:tc>
      </w:tr>
      <w:tr>
        <w:tc>
          <w:tcPr>
            <w:tcW w:type="dxa" w:w="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simulate_rotation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持仓+池 → 调仓评估</w:t>
            </w:r>
          </w:p>
        </w:tc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dxa" w:w="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run_backtest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价格+权重史 → backtest.json</w:t>
            </w:r>
          </w:p>
        </w:tc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复用(改再平衡)</w:t>
            </w:r>
          </w:p>
        </w:tc>
      </w:tr>
      <w:tr>
        <w:tc>
          <w:tcPr>
            <w:tcW w:type="dxa" w:w="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compute_alerts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持仓+账户 → alerts.json</w:t>
            </w:r>
          </w:p>
        </w:tc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复用</w:t>
            </w:r>
          </w:p>
        </w:tc>
      </w:tr>
      <w:tr>
        <w:tc>
          <w:tcPr>
            <w:tcW w:type="dxa" w:w="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→ JSON → 前端</w:t>
            </w:r>
          </w:p>
        </w:tc>
        <w:tc>
          <w:tcPr>
            <w:tcW w:type="dxa" w:w="46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落盘 + 渲染</w:t>
            </w:r>
          </w:p>
        </w:tc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复用</w:t>
            </w:r>
          </w:p>
        </w:tc>
      </w:tr>
    </w:tbl>
    <w:p>
      <w:pPr>
        <w:pStyle w:val="Heading1"/>
      </w:pPr>
      <w:r>
        <w:t xml:space="preserve">三 · 数据契约(JSON)</w:t>
      </w:r>
    </w:p>
    <w:p>
      <w:pPr>
        <w:spacing w:after="120" w:line="276"/>
      </w:pPr>
      <w:r>
        <w:t xml:space="preserve">字段级权威定义见《数据接口与回测契约》§3。此处给清单与要点,二者须保持同步。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4500"/>
      </w:tblGrid>
      <w:tr>
        <w:trPr>
          <w:tblHeader/>
        </w:trPr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替换的内联对象</w:t>
            </w:r>
          </w:p>
        </w:tc>
        <w:tc>
          <w:tcPr>
            <w:tcW w:type="dxa" w:w="4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要点</w:t>
            </w:r>
          </w:p>
        </w:tc>
      </w:tr>
      <w:tr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holdings.json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STOCKS/CB/MON</w:t>
            </w:r>
          </w:p>
        </w:tc>
        <w:tc>
          <w:tcPr>
            <w:tcW w:type="dxa" w:w="4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持仓 + 监控指标 + Capex-β</w:t>
            </w:r>
          </w:p>
        </w:tc>
      </w:tr>
      <w:tr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regime.json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内联气候面板</w:t>
            </w:r>
          </w:p>
        </w:tc>
        <w:tc>
          <w:tcPr>
            <w:tcW w:type="dxa" w:w="4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final_mult=clip(L1×L2×(1+L3)×L4,0.5,1.5)</w:t>
            </w:r>
          </w:p>
        </w:tc>
      </w:tr>
      <w:tr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exposure.json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内联曝露/集中度</w:t>
            </w:r>
          </w:p>
        </w:tc>
        <w:tc>
          <w:tcPr>
            <w:tcW w:type="dxa" w:w="4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段位权重 + 相关矩阵 + 独立赌注</w:t>
            </w:r>
          </w:p>
        </w:tc>
      </w:tr>
      <w:tr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bench.json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BENCH</w:t>
            </w:r>
          </w:p>
        </w:tc>
        <w:tc>
          <w:tcPr>
            <w:tcW w:type="dxa" w:w="4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候补 + Capex-β + 就绪度</w:t>
            </w:r>
          </w:p>
        </w:tc>
      </w:tr>
      <w:tr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alerts.json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 派生 + cbrow</w:t>
            </w:r>
          </w:p>
        </w:tc>
        <w:tc>
          <w:tcPr>
            <w:tcW w:type="dxa" w:w="4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个股预警 + 组合熔断(= Gold circuit_breaker)</w:t>
            </w:r>
          </w:p>
        </w:tc>
      </w:tr>
      <w:tr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backtest.json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FULL/CONTRIB/metrics</w:t>
            </w:r>
          </w:p>
        </w:tc>
        <w:tc>
          <w:tcPr>
            <w:tcW w:type="dxa" w:w="4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净值 + 账户 + 归因 + CPCV 验证</w:t>
            </w:r>
          </w:p>
        </w:tc>
      </w:tr>
      <w:tr>
        <w:tc>
          <w:tcPr>
            <w:tcW w:type="dxa" w:w="2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model_health.json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(看板暂缺)</w:t>
            </w:r>
          </w:p>
        </w:tc>
        <w:tc>
          <w:tcPr>
            <w:tcW w:type="dxa" w:w="45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OOS IC + alpha_confirmed + 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A6B" w:sz="18"/>
              <w:bottom w:val="none"/>
              <w:right w:val="none"/>
            </w:tcBorders>
            <w:shd w:fill="DCEF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i/>
                <w:iCs/>
              </w:rPr>
              <w:t xml:space="preserve">接数据改造点:把前端内联的 STOCKS/BENCH/CB/MON/FULL/CONTRIB 替换为对相应 JSON 的 fetch;渲染函数签名不变。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 · 前端模块设计</w:t>
      </w:r>
    </w:p>
    <w:p>
      <w:pPr>
        <w:pStyle w:val="Heading2"/>
      </w:pPr>
      <w:r>
        <w:t xml:space="preserve">4.1 组件 — 数据 — 函数映射</w:t>
      </w:r>
    </w:p>
    <w:p>
      <w:pPr>
        <w:spacing w:after="120" w:line="276"/>
      </w:pPr>
      <w:r>
        <w:t xml:space="preserve">下表对应演示看板已实现的渲染函数,接数据后仅替换数据源。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8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面板</w:t>
            </w:r>
          </w:p>
        </w:tc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数据源 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关键函数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交互</w:t>
            </w:r>
          </w:p>
        </w:tc>
      </w:tr>
      <w:tr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KPI 条</w:t>
            </w:r>
          </w:p>
        </w:tc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holdings.fund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(内联渲染)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气候门控</w:t>
            </w:r>
          </w:p>
        </w:tc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regime.json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(静态渲染)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指针=gauge</w:t>
            </w:r>
          </w:p>
        </w:tc>
      </w:tr>
      <w:tr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曝露地图</w:t>
            </w:r>
          </w:p>
        </w:tc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exposure.json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(静态渲染)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个股观测</w:t>
            </w:r>
          </w:p>
        </w:tc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holdings.json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renderGrid/renderDetail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筛选、点击详情、预警染色</w:t>
            </w:r>
          </w:p>
        </w:tc>
      </w:tr>
      <w:tr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备用池</w:t>
            </w:r>
          </w:p>
        </w:tc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bench.json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renderBench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调仓模拟器</w:t>
            </w:r>
          </w:p>
        </w:tc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holdings+bench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fillSelects/runSim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选择→模拟→三闸</w:t>
            </w:r>
          </w:p>
        </w:tc>
      </w:tr>
      <w:tr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自动建议</w:t>
            </w:r>
          </w:p>
        </w:tc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alerts+exposure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renderSuggestions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载入模拟器</w:t>
            </w:r>
          </w:p>
        </w:tc>
      </w:tr>
      <w:tr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预警中心</w:t>
            </w:r>
          </w:p>
        </w:tc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alerts.json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renderAlerts/alertState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推送调仓、情景模拟</w:t>
            </w:r>
          </w:p>
        </w:tc>
      </w:tr>
      <w:tr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回测</w:t>
            </w:r>
          </w:p>
        </w:tc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backtest.json</w:t>
            </w:r>
          </w:p>
        </w:tc>
        <w:tc>
          <w:tcPr>
            <w:tcW w:type="dxa" w:w="2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drawChart/metricsOf/renderContrib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周期切换</w:t>
            </w:r>
          </w:p>
        </w:tc>
      </w:tr>
    </w:tbl>
    <w:p>
      <w:pPr>
        <w:pStyle w:val="Heading2"/>
      </w:pPr>
      <w:r>
        <w:t xml:space="preserve">4.2 状态管理</w:t>
      </w:r>
    </w:p>
    <w:p>
      <w:pPr>
        <w:spacing w:after="120" w:line="276"/>
      </w:pPr>
      <w:r>
        <w:t xml:space="preserve">客户端内存状态,无持久化:</w:t>
      </w:r>
      <w:r>
        <w:rPr>
          <w:rFonts w:ascii="Consolas" w:cs="Consolas" w:eastAsia="Consolas" w:hAnsi="Consolas"/>
          <w:sz w:val="18"/>
          <w:szCs w:val="18"/>
        </w:rPr>
        <w:t xml:space="preserve">filter</w:t>
      </w:r>
      <w:r>
        <w:t xml:space="preserve">(段筛选)、</w:t>
      </w:r>
      <w:r>
        <w:rPr>
          <w:rFonts w:ascii="Consolas" w:cs="Consolas" w:eastAsia="Consolas" w:hAnsi="Consolas"/>
          <w:sz w:val="18"/>
          <w:szCs w:val="18"/>
        </w:rPr>
        <w:t xml:space="preserve">selected</w:t>
      </w:r>
      <w:r>
        <w:t xml:space="preserve">(当前个股)、</w:t>
      </w:r>
      <w:r>
        <w:rPr>
          <w:rFonts w:ascii="Consolas" w:cs="Consolas" w:eastAsia="Consolas" w:hAnsi="Consolas"/>
          <w:sz w:val="18"/>
          <w:szCs w:val="18"/>
        </w:rPr>
        <w:t xml:space="preserve">period</w:t>
      </w:r>
      <w:r>
        <w:t xml:space="preserve">(回测周期)、</w:t>
      </w:r>
      <w:r>
        <w:rPr>
          <w:rFonts w:ascii="Consolas" w:cs="Consolas" w:eastAsia="Consolas" w:hAnsi="Consolas"/>
          <w:sz w:val="18"/>
          <w:szCs w:val="18"/>
        </w:rPr>
        <w:t xml:space="preserve">OVERRIDE</w:t>
      </w:r>
      <w:r>
        <w:t xml:space="preserve">(情景模拟覆盖)。</w:t>
      </w:r>
    </w:p>
    <w:p>
      <w:pPr>
        <w:pStyle w:val="Heading2"/>
      </w:pPr>
      <w:r>
        <w:t xml:space="preserve">4.3 主题与样式</w:t>
      </w:r>
    </w:p>
    <w:p>
      <w:pPr>
        <w:spacing w:after="120" w:line="276"/>
      </w:pPr>
      <w:r>
        <w:t xml:space="preserve">暗色驾驶舱:CSS 变量集中管理色彩,数值等宽(tabular-nums),价值链四段固定色,预警红/琥珀语义色,880px 单断点响应式。</w:t>
      </w:r>
    </w:p>
    <w:p>
      <w:pPr>
        <w:pStyle w:val="Heading2"/>
      </w:pPr>
      <w:r>
        <w:t xml:space="preserve">4.4 接数据改造点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2F4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demo(现状)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STOCKS = [ {...}, ... 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live(接入后)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data = await (await fetch("pipeline/output/holdings.json")).json();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renderGrid(data.holdings);   // 渲染函数签名不变</w:t>
            </w:r>
          </w:p>
        </w:tc>
      </w:tr>
    </w:tbl>
    <w:p>
      <w:pPr>
        <w:pStyle w:val="Heading1"/>
      </w:pPr>
      <w:r>
        <w:t xml:space="preserve">五 · 后端引擎设计</w:t>
      </w:r>
    </w:p>
    <w:p>
      <w:pPr>
        <w:pStyle w:val="Heading2"/>
      </w:pPr>
      <w:r>
        <w:t xml:space="preserve">5.1 模块清单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4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2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复用 Gold?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fetch_data</w:t>
            </w:r>
          </w:p>
        </w:tc>
        <w:tc>
          <w:tcPr>
            <w:tcW w:type="dxa" w:w="4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抓取价格/基本面/宏观 + 兑底缓存</w:t>
            </w:r>
          </w:p>
        </w:tc>
        <w:tc>
          <w:tcPr>
            <w:tcW w:type="dxa" w:w="2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改(兑底链复用)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features</w:t>
            </w:r>
          </w:p>
        </w:tc>
        <w:tc>
          <w:tcPr>
            <w:tcW w:type="dxa" w:w="4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构造 AI 生态因子 + 辅助特征</w:t>
            </w:r>
          </w:p>
        </w:tc>
        <w:tc>
          <w:tcPr>
            <w:tcW w:type="dxa" w:w="2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重写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compute_regime</w:t>
            </w:r>
          </w:p>
        </w:tc>
        <w:tc>
          <w:tcPr>
            <w:tcW w:type="dxa" w:w="4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L1-L4 气候 → final_mult</w:t>
            </w:r>
          </w:p>
        </w:tc>
        <w:tc>
          <w:tcPr>
            <w:tcW w:type="dxa" w:w="2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fork(L4 改写)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signals</w:t>
            </w:r>
          </w:p>
        </w:tc>
        <w:tc>
          <w:tcPr>
            <w:tcW w:type="dxa" w:w="4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截面排序 / 健康度 / 触发器</w:t>
            </w:r>
          </w:p>
        </w:tc>
        <w:tc>
          <w:tcPr>
            <w:tcW w:type="dxa" w:w="2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重写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select_and_size</w:t>
            </w:r>
          </w:p>
        </w:tc>
        <w:tc>
          <w:tcPr>
            <w:tcW w:type="dxa" w:w="4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组合风险预算 × 乘数 × 约束</w:t>
            </w:r>
          </w:p>
        </w:tc>
        <w:tc>
          <w:tcPr>
            <w:tcW w:type="dxa" w:w="2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改自 kelly.py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run_backtest</w:t>
            </w:r>
          </w:p>
        </w:tc>
        <w:tc>
          <w:tcPr>
            <w:tcW w:type="dxa" w:w="4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再平衡级模拟 + 归因</w:t>
            </w:r>
          </w:p>
        </w:tc>
        <w:tc>
          <w:tcPr>
            <w:tcW w:type="dxa" w:w="2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重写(参照 backtest.py)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compute_alerts</w:t>
            </w:r>
          </w:p>
        </w:tc>
        <w:tc>
          <w:tcPr>
            <w:tcW w:type="dxa" w:w="4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个股预警 + 组合熔断</w:t>
            </w:r>
          </w:p>
        </w:tc>
        <w:tc>
          <w:tcPr>
            <w:tcW w:type="dxa" w:w="2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fork circuit_breaker.py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validate_alpha</w:t>
            </w:r>
          </w:p>
        </w:tc>
        <w:tc>
          <w:tcPr>
            <w:tcW w:type="dxa" w:w="4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CPCV 路径 → alpha 判定</w:t>
            </w:r>
          </w:p>
        </w:tc>
        <w:tc>
          <w:tcPr>
            <w:tcW w:type="dxa" w:w="2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fork cpcv.py</w:t>
            </w:r>
          </w:p>
        </w:tc>
      </w:tr>
    </w:tbl>
    <w:p>
      <w:pPr>
        <w:pStyle w:val="Heading2"/>
      </w:pPr>
      <w:r>
        <w:t xml:space="preserve">5.2 函数契约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2F4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compute_regime(features)                      -&gt; regime.json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select_and_size(signals, regime, config)      -&gt; [{ticker, target_weight}]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run_backtest(prices, weights_hist, regime_ser, config) -&gt; backtest.json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compute_alerts(holdings, account, config)     -&gt; alerts.json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simulate_rotation(holdings, out, in, bench)   -&gt; {after, gates{g1,g2,g3}, verdict}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validate_alpha(returns_paths)                 -&gt; {median_sharpe, p_value, alpha_confirmed}</w:t>
            </w:r>
          </w:p>
        </w:tc>
      </w:tr>
    </w:tbl>
    <w:p>
      <w:pPr>
        <w:spacing w:after="120" w:line="276"/>
      </w:pPr>
      <w:r>
        <w:t xml:space="preserve">详细输入输出见《数据接口与回测契约》§4。</w:t>
      </w:r>
    </w:p>
    <w:p>
      <w:r>
        <w:br w:type="page"/>
      </w:r>
    </w:p>
    <w:p>
      <w:pPr>
        <w:pStyle w:val="Heading1"/>
      </w:pPr>
      <w:r>
        <w:t xml:space="preserve">六 · Gold Monitor 复用与改造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Gold 文件</w:t>
            </w:r>
          </w:p>
        </w:tc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动作</w:t>
            </w:r>
          </w:p>
        </w:tc>
        <w:tc>
          <w:tcPr>
            <w:tcW w:type="dxa" w:w="54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目标模块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regime_v2.py</w:t>
            </w:r>
          </w:p>
        </w:tc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fork + 改名</w:t>
            </w:r>
          </w:p>
        </w:tc>
        <w:tc>
          <w:tcPr>
            <w:tcW w:type="dxa" w:w="54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compute_regime(L4 通胀→Capex 周期)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circuit_breaker.py</w:t>
            </w:r>
          </w:p>
        </w:tc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fork</w:t>
            </w:r>
          </w:p>
        </w:tc>
        <w:tc>
          <w:tcPr>
            <w:tcW w:type="dxa" w:w="54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compute_alerts(回撤阶梯直搬,IC 监控换被测信号,新增相关性熔断)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kelly.py</w:t>
            </w:r>
          </w:p>
        </w:tc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改造</w:t>
            </w:r>
          </w:p>
        </w:tc>
        <w:tc>
          <w:tcPr>
            <w:tcW w:type="dxa" w:w="54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select_and_size(单注 Kelly → 组合风险预算)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cpcv.py</w:t>
            </w:r>
          </w:p>
        </w:tc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fork</w:t>
            </w:r>
          </w:p>
        </w:tc>
        <w:tc>
          <w:tcPr>
            <w:tcW w:type="dxa" w:w="54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validate_alpha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backtest.py</w:t>
            </w:r>
          </w:p>
        </w:tc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参照重写</w:t>
            </w:r>
          </w:p>
        </w:tc>
        <w:tc>
          <w:tcPr>
            <w:tcW w:type="dxa" w:w="54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run_backtest(日频止损 → 再平衡)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features.py</w:t>
            </w:r>
          </w:p>
        </w:tc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重写</w:t>
            </w:r>
          </w:p>
        </w:tc>
        <w:tc>
          <w:tcPr>
            <w:tcW w:type="dxa" w:w="54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features(黄金因子 → AI 生态因子)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fetch_data.py</w:t>
            </w:r>
          </w:p>
        </w:tc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改造</w:t>
            </w:r>
          </w:p>
        </w:tc>
        <w:tc>
          <w:tcPr>
            <w:tcW w:type="dxa" w:w="54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fetch_data(兑底链/缓存模式复用)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输出 JSON 契约</w:t>
            </w:r>
          </w:p>
        </w:tc>
        <w:tc>
          <w:tcPr>
            <w:tcW w:type="dxa" w:w="1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复用模式</w:t>
            </w:r>
          </w:p>
        </w:tc>
        <w:tc>
          <w:tcPr>
            <w:tcW w:type="dxa" w:w="54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§3 七个文件</w:t>
            </w:r>
          </w:p>
        </w:tc>
      </w:tr>
    </w:tbl>
    <w:p>
      <w:pPr>
        <w:pStyle w:val="Heading1"/>
      </w:pPr>
      <w:r>
        <w:t xml:space="preserve">七 · 配置参数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</w:tr>
      <w:t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REBALANCE_FREQ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weekly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本系统</w:t>
            </w:r>
          </w:p>
        </w:tc>
      </w:tr>
      <w:t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SINGLE_NAME_CAP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0.18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本系统</w:t>
            </w:r>
          </w:p>
        </w:tc>
      </w:tr>
      <w:t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TOP3_CAP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0.40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本系统</w:t>
            </w:r>
          </w:p>
        </w:tc>
      </w:tr>
      <w:t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FINAL_MULT_CLIP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[0.5, 1.5]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改自 Gold</w:t>
            </w:r>
          </w:p>
        </w:tc>
      </w:tr>
      <w:t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DRAWDOWN_LADDER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[0.05,0.08,0.15]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Gold 复用</w:t>
            </w:r>
          </w:p>
        </w:tc>
      </w:tr>
      <w:t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CORR_REDUCE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0.85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本系统新增</w:t>
            </w:r>
          </w:p>
        </w:tc>
      </w:tr>
      <w:t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IC_FLOOR / IC_FULL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0.05 / 0.15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Gold 复用</w:t>
            </w:r>
          </w:p>
        </w:tc>
      </w:tr>
      <w:t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KELLY_FRACTION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0.25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Gold 复用</w:t>
            </w:r>
          </w:p>
        </w:tc>
      </w:tr>
      <w:t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HEALTH_FIRE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70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本系统</w:t>
            </w:r>
          </w:p>
        </w:tc>
      </w:tr>
      <w:tr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TRADE_COST_BPS</w:t>
            </w:r>
          </w:p>
        </w:tc>
        <w:tc>
          <w:tcPr>
            <w:tcW w:type="dxa" w:w="23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Gold 复用</w:t>
            </w:r>
          </w:p>
        </w:tc>
      </w:tr>
    </w:tbl>
    <w:p>
      <w:pPr>
        <w:pStyle w:val="Heading1"/>
      </w:pPr>
      <w:r>
        <w:t xml:space="preserve">八 · 测试与验证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alpha 门控:</w:t>
      </w:r>
      <w:r>
        <w:rPr>
          <w:rFonts w:ascii="Consolas" w:cs="Consolas" w:eastAsia="Consolas" w:hAnsi="Consolas"/>
          <w:sz w:val="18"/>
          <w:szCs w:val="18"/>
        </w:rPr>
        <w:t xml:space="preserve"> alpha_confirmed==false </w:t>
      </w:r>
      <w:r>
        <w:t xml:space="preserve">时阻断任何回测/超参优化(防止把噪音优化成假 alpha)。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单元测试:三道闸(g1/g2/g3)、仓位上限(单票/前三大)、预警阈值(below/above)、final_mult 夹取。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 监控:滚动 60 日 IC 失效时缩仓;真实数据接入前状态条显示「待接入」。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数据兑底:模拟主源中断,验证兑底链与缓存生效、看板不空屏。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数值格式:</w:t>
      </w:r>
      <w:r>
        <w:rPr>
          <w:rFonts w:ascii="Consolas" w:cs="Consolas" w:eastAsia="Consolas" w:hAnsi="Consolas"/>
          <w:sz w:val="18"/>
          <w:szCs w:val="18"/>
        </w:rPr>
        <w:t xml:space="preserve">Math.round/toFixed</w:t>
      </w:r>
      <w:r>
        <w:t xml:space="preserve"> 兜底,避免浮点误差直显。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demo→live 切换:status 标志驱动演示标注与真实渲染分支。</w:t>
      </w:r>
    </w:p>
    <w:p>
      <w:pPr>
        <w:pStyle w:val="Heading1"/>
      </w:pPr>
      <w:r>
        <w:t xml:space="preserve">九 · 开发里程碑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3000"/>
        <w:gridCol w:w="2060"/>
      </w:tblGrid>
      <w:tr>
        <w:trPr>
          <w:tblHeader/>
        </w:trPr>
        <w:tc>
          <w:tcPr>
            <w:tcW w:type="dxa" w:w="1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</w:t>
            </w:r>
          </w:p>
        </w:tc>
        <w:tc>
          <w:tcPr>
            <w:tcW w:type="dxa" w:w="2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1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P0(完成)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演示看板 + 契约 + PRD + 本文档</w:t>
            </w:r>
          </w:p>
        </w:tc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结构/交互/诚实标注齐备</w:t>
            </w:r>
          </w:p>
        </w:tc>
        <w:tc>
          <w:tcPr>
            <w:tcW w:type="dxa" w:w="2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数据接入 + 7 JSON 产出</w:t>
            </w:r>
          </w:p>
        </w:tc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看板由真实文件驱动</w:t>
            </w:r>
          </w:p>
        </w:tc>
        <w:tc>
          <w:tcPr>
            <w:tcW w:type="dxa" w:w="2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复用 regime/circuit_breaker</w:t>
            </w:r>
          </w:p>
        </w:tc>
      </w:tr>
      <w:tr>
        <w:tc>
          <w:tcPr>
            <w:tcW w:type="dxa" w:w="1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因子层 + 信号 + 仓位</w:t>
            </w:r>
          </w:p>
        </w:tc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健康度/权重由模型给出</w:t>
            </w:r>
          </w:p>
        </w:tc>
        <w:tc>
          <w:tcPr>
            <w:tcW w:type="dxa" w:w="2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再平衡回测 + CPCV</w:t>
            </w:r>
          </w:p>
        </w:tc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可跑并如实显示 alpha 结论</w:t>
            </w:r>
          </w:p>
        </w:tc>
        <w:tc>
          <w:tcPr>
            <w:tcW w:type="dxa" w:w="2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SuperBox 上线 + IC 点亮</w:t>
            </w:r>
          </w:p>
        </w:tc>
        <w:tc>
          <w:tcPr>
            <w:tcW w:type="dxa" w:w="30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预警全条目可用、运行稳定</w:t>
            </w:r>
          </w:p>
        </w:tc>
        <w:tc>
          <w:tcPr>
            <w:tcW w:type="dxa" w:w="2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P3</w:t>
            </w:r>
          </w:p>
        </w:tc>
      </w:tr>
    </w:tbl>
    <w:p>
      <w:pPr>
        <w:pStyle w:val="Heading1"/>
      </w:pPr>
      <w:r>
        <w:t xml:space="preserve">十 · 风险与未决项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缓解</w:t>
            </w:r>
          </w:p>
        </w:tc>
      </w:tr>
      <w:tr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AI Capex 周期样本仅 2-3 年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CPCV 统计力弱,alpha 多不可确认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先当行为示意;扩样本/降业绩预期;遵循 alpha 门控</w:t>
            </w:r>
          </w:p>
        </w:tc>
      </w:tr>
      <w:tr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Capex-β 为经验标签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相关性/熔断失真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以真实回归 β 与收益相关矩阵替换</w:t>
            </w:r>
          </w:p>
        </w:tc>
      </w:tr>
      <w:tr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数据源中断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看板空屏 / 失真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兑底链 + 缓存 + 健康检查</w:t>
            </w:r>
          </w:p>
        </w:tc>
      </w:tr>
      <w:tr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频率不匹配(日频→再平衡)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直接套黄金引擎会失真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重写再平衡回测引擎</w:t>
            </w:r>
          </w:p>
        </w:tc>
      </w:tr>
      <w:tr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过度依赖自动建议</w:t>
            </w:r>
          </w:p>
        </w:tc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误执行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人在回路、不自动执行、保留三闸校验</w:t>
            </w:r>
          </w:p>
        </w:tc>
      </w:tr>
    </w:tbl>
    <w:p>
      <w:pPr>
        <w:pStyle w:val="Heading1"/>
      </w:pPr>
      <w:r>
        <w:t xml:space="preserve">附录 ·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形式</w:t>
            </w:r>
          </w:p>
        </w:tc>
        <w:tc>
          <w:tcPr>
            <w:tcW w:type="dxa" w:w="3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可交互驾驶舱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luffa_superbox_fund.html</w:t>
            </w:r>
          </w:p>
        </w:tc>
        <w:tc>
          <w:tcPr>
            <w:tcW w:type="dxa" w:w="3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演示看板(自包含)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数据接口与回测契约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docx</w:t>
            </w:r>
          </w:p>
        </w:tc>
        <w:tc>
          <w:tcPr>
            <w:tcW w:type="dxa" w:w="3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 JSON + 6 函数契约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产品需求文档 (PRD)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docx</w:t>
            </w:r>
          </w:p>
        </w:tc>
        <w:tc>
          <w:tcPr>
            <w:tcW w:type="dxa" w:w="3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本文档集之一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开发文档</w:t>
            </w:r>
          </w:p>
        </w:tc>
        <w:tc>
          <w:tcPr>
            <w:tcW w:type="dxa" w:w="2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docx</w:t>
            </w:r>
          </w:p>
        </w:tc>
        <w:tc>
          <w:tcPr>
            <w:tcW w:type="dxa" w:w="38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本文档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A8"/>
        <w:sz w:val="16"/>
        <w:szCs w:val="16"/>
      </w:rPr>
      <w:t xml:space="preserve">AI 生态基金驾驶舱  ·  </w:t>
    </w:r>
    <w:r>
      <w:rPr>
        <w:color w:val="9AA0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9DD" w:sz="4" w:space="4"/>
      </w:pBdr>
      <w:tabs>
        <w:tab w:val="right" w:pos="9026"/>
      </w:tabs>
      <w:spacing w:after="0"/>
    </w:pPr>
    <w:r>
      <w:rPr>
        <w:color w:val="9AA0A8"/>
        <w:sz w:val="16"/>
        <w:szCs w:val="16"/>
      </w:rPr>
      <w:t xml:space="preserve">开发文档 (技术设计)</w:t>
    </w:r>
    <w:r>
      <w:rPr>
        <w:color w:val="9AA0A8"/>
        <w:sz w:val="16"/>
        <w:szCs w:val="16"/>
      </w:rPr>
      <w:t xml:space="preserve">	Luffa SuperBox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A6B" w:sz="6" w:space="6"/>
      </w:pBdr>
      <w:spacing w:after="160" w:before="300"/>
      <w:outlineLvl w:val="0"/>
    </w:pPr>
    <w:rPr>
      <w:rFonts w:ascii="Arial" w:cs="Arial" w:eastAsia="Arial" w:hAnsi="Arial"/>
      <w:b/>
      <w:bCs/>
      <w:color w:val="0F7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F7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2026-06-11T06:47:42.407Z</dcterms:created>
  <dcterms:modified xsi:type="dcterms:W3CDTF">2026-06-11T06:47:42.407Z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