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i/>
          <w:iCs/>
          <w:color w:val="7A8089"/>
          <w:sz w:val="22"/>
          <w:szCs w:val="22"/>
        </w:rPr>
        <w:t xml:space="preserve">AI Ecosystem Fund · Data Contract</w:t>
      </w:r>
    </w:p>
    <w:p>
      <w:pPr>
        <w:spacing w:after="60" w:before="120"/>
      </w:pPr>
      <w:r>
        <w:rPr>
          <w:b/>
          <w:bCs/>
          <w:color w:val="1A1A1A"/>
          <w:sz w:val="52"/>
          <w:szCs w:val="52"/>
        </w:rPr>
        <w:t xml:space="preserve">AI 生态基金驾驶舱</w:t>
      </w:r>
    </w:p>
    <w:p>
      <w:pPr>
        <w:spacing w:after="60"/>
      </w:pPr>
      <w:r>
        <w:rPr>
          <w:b/>
          <w:bCs/>
          <w:color w:val="0F7A6B"/>
          <w:sz w:val="40"/>
          <w:szCs w:val="40"/>
        </w:rPr>
        <w:t xml:space="preserve">数据接口与回测契约</w:t>
      </w:r>
    </w:p>
    <w:p>
      <w:pPr>
        <w:spacing w:after="40"/>
      </w:pPr>
      <w:r>
        <w:rPr>
          <w:i/>
          <w:iCs/>
          <w:color w:val="7A8089"/>
          <w:sz w:val="22"/>
          <w:szCs w:val="22"/>
        </w:rPr>
        <w:t xml:space="preserve">Data Interface &amp; Backtest System Contract</w:t>
      </w:r>
    </w:p>
    <w:p>
      <w:pPr>
        <w:spacing w:before="240"/>
      </w:pPr>
      <w:r>
        <w:rPr>
          <w:color w:val="7A8089"/>
          <w:sz w:val="20"/>
          <w:szCs w:val="20"/>
        </w:rPr>
        <w:t xml:space="preserve">by Vivienna  |  Built with Claude Opus 4.8  |  2026.06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F7A6B" w:sz="18"/>
              <w:bottom w:val="none"/>
              <w:right w:val="none"/>
            </w:tcBorders>
            <w:shd w:fill="DCEFEB" w:val="clear"/>
            <w:tcMar>
              <w:top w:type="dxa" w:w="100"/>
              <w:left w:type="dxa" w:w="180"/>
              <w:bottom w:type="dxa" w:w="100"/>
              <w:right w:type="dxa" w:w="140"/>
            </w:tcMar>
          </w:tcPr>
          <w:p>
            <w:pPr>
              <w:spacing w:after="0" w:line="264"/>
            </w:pPr>
            <w:r>
              <w:rPr>
                <w:i/>
                <w:iCs/>
                <w:sz w:val="20"/>
                <w:szCs w:val="20"/>
              </w:rPr>
              <w:t xml:space="preserve">本文档把 Gold Monitor 的架构移植到 AI 生态基金:沿用其「数据→体制→仓位→回测→熔断→JSON→前端」流水线与 JSON→卡片契约,替换信号层。它定义把当前演示看板接成真实系统所需的全部数据结构与函数边界。</w:t>
            </w:r>
          </w:p>
        </w:tc>
      </w:tr>
    </w:tbl>
    <w:p>
      <w:r>
        <w:br w:type="page"/>
      </w:r>
    </w:p>
    <w:p>
      <w:pPr>
        <w:pStyle w:val="Heading1"/>
      </w:pPr>
      <w:r>
        <w:t xml:space="preserve">目录</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一 · 总览:数据流</w:t>
      </w:r>
    </w:p>
    <w:p>
      <w:pPr>
        <w:spacing w:after="120" w:line="276"/>
      </w:pPr>
      <w:r>
        <w:t xml:space="preserve">从数据抓取到看板渲染的 9 步流水线。括号内为对应的 Gold Monitor 模块,标注 [复用] 表示架构直接沿用,[替换] 表示信号层需重写。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9DD" w:sz="1"/>
              <w:left w:val="single" w:color="D6D9DD" w:sz="1"/>
              <w:bottom w:val="single" w:color="D6D9DD" w:sz="1"/>
              <w:right w:val="single" w:color="D6D9DD" w:sz="1"/>
            </w:tcBorders>
            <w:shd w:fill="F2F4F5" w:val="clear"/>
            <w:tcMar>
              <w:top w:type="dxa" w:w="100"/>
              <w:left w:type="dxa" w:w="160"/>
              <w:bottom w:type="dxa" w:w="100"/>
              <w:right w:type="dxa" w:w="120"/>
            </w:tcMar>
          </w:tcPr>
          <w:p>
            <w:pPr>
              <w:spacing w:after="0" w:line="240"/>
            </w:pPr>
            <w:r>
              <w:rPr>
                <w:rFonts w:ascii="Consolas" w:cs="Consolas" w:eastAsia="Consolas" w:hAnsi="Consolas"/>
                <w:sz w:val="18"/>
                <w:szCs w:val="18"/>
              </w:rPr>
              <w:t xml:space="preserve">1. fetch_data        →  价格/基本面/宏观  (FRED / 行情源 / 财报API)   [部分复用:兑底链]</w:t>
            </w:r>
          </w:p>
          <w:p>
            <w:pPr>
              <w:spacing w:after="0" w:line="240"/>
            </w:pPr>
            <w:r>
              <w:rPr>
                <w:rFonts w:ascii="Consolas" w:cs="Consolas" w:eastAsia="Consolas" w:hAnsi="Consolas"/>
                <w:sz w:val="18"/>
                <w:szCs w:val="18"/>
              </w:rPr>
              <w:t xml:space="preserve">2. features          →  AI 因子 + 辅助特征  (Capex修正/Token/估值/动量)  [替换]</w:t>
            </w:r>
          </w:p>
          <w:p>
            <w:pPr>
              <w:spacing w:after="0" w:line="240"/>
            </w:pPr>
            <w:r>
              <w:rPr>
                <w:rFonts w:ascii="Consolas" w:cs="Consolas" w:eastAsia="Consolas" w:hAnsi="Consolas"/>
                <w:sz w:val="18"/>
                <w:szCs w:val="18"/>
              </w:rPr>
              <w:t xml:space="preserve">3. compute_regime    →  L1+L2+L3+L4 气候门控 → final_mult              [复用:L4换Capex状态机]</w:t>
            </w:r>
          </w:p>
          <w:p>
            <w:pPr>
              <w:spacing w:after="0" w:line="240"/>
            </w:pPr>
            <w:r>
              <w:rPr>
                <w:rFonts w:ascii="Consolas" w:cs="Consolas" w:eastAsia="Consolas" w:hAnsi="Consolas"/>
                <w:sz w:val="18"/>
                <w:szCs w:val="18"/>
              </w:rPr>
              <w:t xml:space="preserve">4. signals           →  截面排序 / 逐标的论点健康度 + 触发器             [替换]</w:t>
            </w:r>
          </w:p>
          <w:p>
            <w:pPr>
              <w:spacing w:after="0" w:line="240"/>
            </w:pPr>
            <w:r>
              <w:rPr>
                <w:rFonts w:ascii="Consolas" w:cs="Consolas" w:eastAsia="Consolas" w:hAnsi="Consolas"/>
                <w:sz w:val="18"/>
                <w:szCs w:val="18"/>
              </w:rPr>
              <w:t xml:space="preserve">5. select_and_size   →  组合风险预算 (Kelly/Wilson) × final_mult         [复用:单注→组合]</w:t>
            </w:r>
          </w:p>
          <w:p>
            <w:pPr>
              <w:spacing w:after="0" w:line="240"/>
            </w:pPr>
            <w:r>
              <w:rPr>
                <w:rFonts w:ascii="Consolas" w:cs="Consolas" w:eastAsia="Consolas" w:hAnsi="Consolas"/>
                <w:sz w:val="18"/>
                <w:szCs w:val="18"/>
              </w:rPr>
              <w:t xml:space="preserve">6. simulate_rotation →  三道闸换仓评估 (换出/候选/验证)                  [新增]</w:t>
            </w:r>
          </w:p>
          <w:p>
            <w:pPr>
              <w:spacing w:after="0" w:line="240"/>
            </w:pPr>
            <w:r>
              <w:rPr>
                <w:rFonts w:ascii="Consolas" w:cs="Consolas" w:eastAsia="Consolas" w:hAnsi="Consolas"/>
                <w:sz w:val="18"/>
                <w:szCs w:val="18"/>
              </w:rPr>
              <w:t xml:space="preserve">7. run_backtest      →  再平衡级模拟 + 归因 + CPCV 验证                  [复用:日频→再平衡]</w:t>
            </w:r>
          </w:p>
          <w:p>
            <w:pPr>
              <w:spacing w:after="0" w:line="240"/>
            </w:pPr>
            <w:r>
              <w:rPr>
                <w:rFonts w:ascii="Consolas" w:cs="Consolas" w:eastAsia="Consolas" w:hAnsi="Consolas"/>
                <w:sz w:val="18"/>
                <w:szCs w:val="18"/>
              </w:rPr>
              <w:t xml:space="preserve">8. compute_alerts    →  个股预警 + 组合熔断 (Circuit Breaker)            [复用]</w:t>
            </w:r>
          </w:p>
          <w:p>
            <w:pPr>
              <w:spacing w:after="0" w:line="240"/>
            </w:pPr>
            <w:r>
              <w:rPr>
                <w:rFonts w:ascii="Consolas" w:cs="Consolas" w:eastAsia="Consolas" w:hAnsi="Consolas"/>
                <w:sz w:val="18"/>
                <w:szCs w:val="18"/>
              </w:rPr>
              <w:t xml:space="preserve">9. → JSON → Dashboard   每步落盘为契约 JSON,前端按文件渲染              [复用]</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F7A6B" w:sz="18"/>
              <w:bottom w:val="none"/>
              <w:right w:val="none"/>
            </w:tcBorders>
            <w:shd w:fill="DCEFEB" w:val="clear"/>
            <w:tcMar>
              <w:top w:type="dxa" w:w="100"/>
              <w:left w:type="dxa" w:w="180"/>
              <w:bottom w:type="dxa" w:w="100"/>
              <w:right w:type="dxa" w:w="140"/>
            </w:tcMar>
          </w:tcPr>
          <w:p>
            <w:pPr>
              <w:spacing w:after="0" w:line="264"/>
            </w:pPr>
            <w:r>
              <w:rPr>
                <w:i/>
                <w:iCs/>
              </w:rPr>
              <w:t xml:space="preserve">与 Gold 的关键差异:黄金是单标的多空、日频止损交易;本系统是 10 标的长多 + 现金防御、再平衡驱动。因此第 4–7 步的目标函数与交易机制需改写,而第 3、8、9 步几乎可照搬。</w:t>
            </w:r>
          </w:p>
        </w:tc>
      </w:tr>
    </w:tbl>
    <w:p>
      <w:pPr>
        <w:pStyle w:val="Heading1"/>
      </w:pPr>
      <w:r>
        <w:t xml:space="preserve">二 · JSON 输出清单</w:t>
      </w:r>
    </w:p>
    <w:p>
      <w:pPr>
        <w:spacing w:after="120" w:line="276"/>
      </w:pPr>
      <w:r>
        <w:t xml:space="preserve">每个 JSON 替换看板里当前的一个内联演示对象。接入后前端渲染逻辑不变,只是数据来源从硬编码变为读取文件。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360"/>
        <w:gridCol w:w="2900"/>
        <w:gridCol w:w="2200"/>
      </w:tblGrid>
      <w:tr>
        <w:trPr>
          <w:tblHeader/>
        </w:trPr>
        <w:tc>
          <w:tcPr>
            <w:tcW w:type="dxa" w:w="1900"/>
            <w:tcBorders>
              <w:top w:val="single" w:color="D6D9DD" w:sz="1"/>
              <w:left w:val="single" w:color="D6D9DD" w:sz="1"/>
              <w:bottom w:val="single" w:color="D6D9DD" w:sz="1"/>
              <w:right w:val="single" w:color="D6D9DD" w:sz="1"/>
            </w:tcBorders>
            <w:shd w:fill="0F7A6B" w:val="clear"/>
            <w:tcMar>
              <w:top w:type="dxa" w:w="70"/>
              <w:left w:type="dxa" w:w="120"/>
              <w:bottom w:type="dxa" w:w="70"/>
              <w:right w:type="dxa" w:w="120"/>
            </w:tcMar>
            <w:vAlign w:val="center"/>
          </w:tcPr>
          <w:p>
            <w:pPr>
              <w:spacing w:after="0"/>
            </w:pPr>
            <w:r>
              <w:rPr>
                <w:b/>
                <w:bCs/>
                <w:color w:val="FFFFFF"/>
                <w:sz w:val="19"/>
                <w:szCs w:val="19"/>
              </w:rPr>
              <w:t xml:space="preserve">JSON 文件</w:t>
            </w:r>
          </w:p>
        </w:tc>
        <w:tc>
          <w:tcPr>
            <w:tcW w:type="dxa" w:w="2360"/>
            <w:tcBorders>
              <w:top w:val="single" w:color="D6D9DD" w:sz="1"/>
              <w:left w:val="single" w:color="D6D9DD" w:sz="1"/>
              <w:bottom w:val="single" w:color="D6D9DD" w:sz="1"/>
              <w:right w:val="single" w:color="D6D9DD" w:sz="1"/>
            </w:tcBorders>
            <w:shd w:fill="0F7A6B" w:val="clear"/>
            <w:tcMar>
              <w:top w:type="dxa" w:w="70"/>
              <w:left w:type="dxa" w:w="120"/>
              <w:bottom w:type="dxa" w:w="70"/>
              <w:right w:type="dxa" w:w="120"/>
            </w:tcMar>
            <w:vAlign w:val="center"/>
          </w:tcPr>
          <w:p>
            <w:pPr>
              <w:spacing w:after="0"/>
            </w:pPr>
            <w:r>
              <w:rPr>
                <w:b/>
                <w:bCs/>
                <w:color w:val="FFFFFF"/>
                <w:sz w:val="19"/>
                <w:szCs w:val="19"/>
              </w:rPr>
              <w:t xml:space="preserve">看板面板</w:t>
            </w:r>
          </w:p>
        </w:tc>
        <w:tc>
          <w:tcPr>
            <w:tcW w:type="dxa" w:w="2900"/>
            <w:tcBorders>
              <w:top w:val="single" w:color="D6D9DD" w:sz="1"/>
              <w:left w:val="single" w:color="D6D9DD" w:sz="1"/>
              <w:bottom w:val="single" w:color="D6D9DD" w:sz="1"/>
              <w:right w:val="single" w:color="D6D9DD" w:sz="1"/>
            </w:tcBorders>
            <w:shd w:fill="0F7A6B" w:val="clear"/>
            <w:tcMar>
              <w:top w:type="dxa" w:w="70"/>
              <w:left w:type="dxa" w:w="120"/>
              <w:bottom w:type="dxa" w:w="70"/>
              <w:right w:type="dxa" w:w="120"/>
            </w:tcMar>
            <w:vAlign w:val="center"/>
          </w:tcPr>
          <w:p>
            <w:pPr>
              <w:spacing w:after="0"/>
            </w:pPr>
            <w:r>
              <w:rPr>
                <w:b/>
                <w:bCs/>
                <w:color w:val="FFFFFF"/>
                <w:sz w:val="19"/>
                <w:szCs w:val="19"/>
              </w:rPr>
              <w:t xml:space="preserve">替换的演示对象</w:t>
            </w:r>
          </w:p>
        </w:tc>
        <w:tc>
          <w:tcPr>
            <w:tcW w:type="dxa" w:w="2200"/>
            <w:tcBorders>
              <w:top w:val="single" w:color="D6D9DD" w:sz="1"/>
              <w:left w:val="single" w:color="D6D9DD" w:sz="1"/>
              <w:bottom w:val="single" w:color="D6D9DD" w:sz="1"/>
              <w:right w:val="single" w:color="D6D9DD" w:sz="1"/>
            </w:tcBorders>
            <w:shd w:fill="0F7A6B" w:val="clear"/>
            <w:tcMar>
              <w:top w:type="dxa" w:w="70"/>
              <w:left w:type="dxa" w:w="120"/>
              <w:bottom w:type="dxa" w:w="70"/>
              <w:right w:type="dxa" w:w="120"/>
            </w:tcMar>
            <w:vAlign w:val="center"/>
          </w:tcPr>
          <w:p>
            <w:pPr>
              <w:spacing w:after="0"/>
            </w:pPr>
            <w:r>
              <w:rPr>
                <w:b/>
                <w:bCs/>
                <w:color w:val="FFFFFF"/>
                <w:sz w:val="19"/>
                <w:szCs w:val="19"/>
              </w:rPr>
              <w:t xml:space="preserve">更新频率</w:t>
            </w:r>
          </w:p>
        </w:tc>
      </w:tr>
      <w:tr>
        <w:tc>
          <w:tcPr>
            <w:tcW w:type="dxa" w:w="1900"/>
            <w:tcBorders>
              <w:top w:val="single" w:color="D6D9DD" w:sz="1"/>
              <w:left w:val="single" w:color="D6D9DD" w:sz="1"/>
              <w:bottom w:val="single" w:color="D6D9DD" w:sz="1"/>
              <w:right w:val="single" w:color="D6D9DD" w:sz="1"/>
            </w:tcBorders>
            <w:shd w:fill="F7F8F9" w:val="clear"/>
            <w:tcMar>
              <w:top w:type="dxa" w:w="70"/>
              <w:left w:type="dxa" w:w="120"/>
              <w:bottom w:type="dxa" w:w="70"/>
              <w:right w:type="dxa" w:w="120"/>
            </w:tcMar>
          </w:tcPr>
          <w:p>
            <w:pPr>
              <w:spacing w:after="0" w:line="252"/>
            </w:pPr>
            <w:r>
              <w:rPr>
                <w:sz w:val="19"/>
                <w:szCs w:val="19"/>
              </w:rPr>
              <w:t xml:space="preserve">holdings.json</w:t>
            </w:r>
          </w:p>
        </w:tc>
        <w:tc>
          <w:tcPr>
            <w:tcW w:type="dxa" w:w="2360"/>
            <w:tcBorders>
              <w:top w:val="single" w:color="D6D9DD" w:sz="1"/>
              <w:left w:val="single" w:color="D6D9DD" w:sz="1"/>
              <w:bottom w:val="single" w:color="D6D9DD" w:sz="1"/>
              <w:right w:val="single" w:color="D6D9DD" w:sz="1"/>
            </w:tcBorders>
            <w:shd w:fill="F7F8F9" w:val="clear"/>
            <w:tcMar>
              <w:top w:type="dxa" w:w="70"/>
              <w:left w:type="dxa" w:w="120"/>
              <w:bottom w:type="dxa" w:w="70"/>
              <w:right w:type="dxa" w:w="120"/>
            </w:tcMar>
          </w:tcPr>
          <w:p>
            <w:pPr>
              <w:spacing w:after="0" w:line="252"/>
            </w:pPr>
            <w:r>
              <w:rPr>
                <w:sz w:val="19"/>
                <w:szCs w:val="19"/>
              </w:rPr>
              <w:t xml:space="preserve">KPI 条 + 个股观测(L3)</w:t>
            </w:r>
          </w:p>
        </w:tc>
        <w:tc>
          <w:tcPr>
            <w:tcW w:type="dxa" w:w="2900"/>
            <w:tcBorders>
              <w:top w:val="single" w:color="D6D9DD" w:sz="1"/>
              <w:left w:val="single" w:color="D6D9DD" w:sz="1"/>
              <w:bottom w:val="single" w:color="D6D9DD" w:sz="1"/>
              <w:right w:val="single" w:color="D6D9DD" w:sz="1"/>
            </w:tcBorders>
            <w:shd w:fill="F7F8F9" w:val="clear"/>
            <w:tcMar>
              <w:top w:type="dxa" w:w="70"/>
              <w:left w:type="dxa" w:w="120"/>
              <w:bottom w:type="dxa" w:w="70"/>
              <w:right w:type="dxa" w:w="120"/>
            </w:tcMar>
          </w:tcPr>
          <w:p>
            <w:pPr>
              <w:spacing w:after="0" w:line="252"/>
            </w:pPr>
            <w:r>
              <w:rPr>
                <w:rFonts w:ascii="Consolas" w:cs="Consolas" w:eastAsia="Consolas" w:hAnsi="Consolas"/>
                <w:sz w:val="18"/>
                <w:szCs w:val="18"/>
              </w:rPr>
              <w:t xml:space="preserve">STOCKS + CB + MON</w:t>
            </w:r>
          </w:p>
        </w:tc>
        <w:tc>
          <w:tcPr>
            <w:tcW w:type="dxa" w:w="2200"/>
            <w:tcBorders>
              <w:top w:val="single" w:color="D6D9DD" w:sz="1"/>
              <w:left w:val="single" w:color="D6D9DD" w:sz="1"/>
              <w:bottom w:val="single" w:color="D6D9DD" w:sz="1"/>
              <w:right w:val="single" w:color="D6D9DD" w:sz="1"/>
            </w:tcBorders>
            <w:shd w:fill="F7F8F9" w:val="clear"/>
            <w:tcMar>
              <w:top w:type="dxa" w:w="70"/>
              <w:left w:type="dxa" w:w="120"/>
              <w:bottom w:type="dxa" w:w="70"/>
              <w:right w:type="dxa" w:w="120"/>
            </w:tcMar>
          </w:tcPr>
          <w:p>
            <w:pPr>
              <w:spacing w:after="0" w:line="252"/>
            </w:pPr>
            <w:r>
              <w:rPr>
                <w:sz w:val="19"/>
                <w:szCs w:val="19"/>
              </w:rPr>
              <w:t xml:space="preserve">日</w:t>
            </w:r>
          </w:p>
        </w:tc>
      </w:tr>
      <w:tr>
        <w:tc>
          <w:tcPr>
            <w:tcW w:type="dxa" w:w="1900"/>
            <w:tcBorders>
              <w:top w:val="single" w:color="D6D9DD" w:sz="1"/>
              <w:left w:val="single" w:color="D6D9DD" w:sz="1"/>
              <w:bottom w:val="single" w:color="D6D9DD" w:sz="1"/>
              <w:right w:val="single" w:color="D6D9DD" w:sz="1"/>
            </w:tcBorders>
            <w:shd w:fill="FFFFFF" w:val="clear"/>
            <w:tcMar>
              <w:top w:type="dxa" w:w="70"/>
              <w:left w:type="dxa" w:w="120"/>
              <w:bottom w:type="dxa" w:w="70"/>
              <w:right w:type="dxa" w:w="120"/>
            </w:tcMar>
          </w:tcPr>
          <w:p>
            <w:pPr>
              <w:spacing w:after="0" w:line="252"/>
            </w:pPr>
            <w:r>
              <w:rPr>
                <w:sz w:val="19"/>
                <w:szCs w:val="19"/>
              </w:rPr>
              <w:t xml:space="preserve">regime.json</w:t>
            </w:r>
          </w:p>
        </w:tc>
        <w:tc>
          <w:tcPr>
            <w:tcW w:type="dxa" w:w="2360"/>
            <w:tcBorders>
              <w:top w:val="single" w:color="D6D9DD" w:sz="1"/>
              <w:left w:val="single" w:color="D6D9DD" w:sz="1"/>
              <w:bottom w:val="single" w:color="D6D9DD" w:sz="1"/>
              <w:right w:val="single" w:color="D6D9DD" w:sz="1"/>
            </w:tcBorders>
            <w:shd w:fill="FFFFFF" w:val="clear"/>
            <w:tcMar>
              <w:top w:type="dxa" w:w="70"/>
              <w:left w:type="dxa" w:w="120"/>
              <w:bottom w:type="dxa" w:w="70"/>
              <w:right w:type="dxa" w:w="120"/>
            </w:tcMar>
          </w:tcPr>
          <w:p>
            <w:pPr>
              <w:spacing w:after="0" w:line="252"/>
            </w:pPr>
            <w:r>
              <w:rPr>
                <w:sz w:val="19"/>
                <w:szCs w:val="19"/>
              </w:rPr>
              <w:t xml:space="preserve">市场气候门控(L1)</w:t>
            </w:r>
          </w:p>
        </w:tc>
        <w:tc>
          <w:tcPr>
            <w:tcW w:type="dxa" w:w="2900"/>
            <w:tcBorders>
              <w:top w:val="single" w:color="D6D9DD" w:sz="1"/>
              <w:left w:val="single" w:color="D6D9DD" w:sz="1"/>
              <w:bottom w:val="single" w:color="D6D9DD" w:sz="1"/>
              <w:right w:val="single" w:color="D6D9DD" w:sz="1"/>
            </w:tcBorders>
            <w:shd w:fill="FFFFFF" w:val="clear"/>
            <w:tcMar>
              <w:top w:type="dxa" w:w="70"/>
              <w:left w:type="dxa" w:w="120"/>
              <w:bottom w:type="dxa" w:w="70"/>
              <w:right w:type="dxa" w:w="120"/>
            </w:tcMar>
          </w:tcPr>
          <w:p>
            <w:pPr>
              <w:spacing w:after="0" w:line="252"/>
            </w:pPr>
            <w:r>
              <w:rPr>
                <w:sz w:val="19"/>
                <w:szCs w:val="19"/>
              </w:rPr>
              <w:t xml:space="preserve">内联气候面板 / 指针</w:t>
            </w:r>
          </w:p>
        </w:tc>
        <w:tc>
          <w:tcPr>
            <w:tcW w:type="dxa" w:w="2200"/>
            <w:tcBorders>
              <w:top w:val="single" w:color="D6D9DD" w:sz="1"/>
              <w:left w:val="single" w:color="D6D9DD" w:sz="1"/>
              <w:bottom w:val="single" w:color="D6D9DD" w:sz="1"/>
              <w:right w:val="single" w:color="D6D9DD" w:sz="1"/>
            </w:tcBorders>
            <w:shd w:fill="FFFFFF" w:val="clear"/>
            <w:tcMar>
              <w:top w:type="dxa" w:w="70"/>
              <w:left w:type="dxa" w:w="120"/>
              <w:bottom w:type="dxa" w:w="70"/>
              <w:right w:type="dxa" w:w="120"/>
            </w:tcMar>
          </w:tcPr>
          <w:p>
            <w:pPr>
              <w:spacing w:after="0" w:line="252"/>
            </w:pPr>
            <w:r>
              <w:rPr>
                <w:sz w:val="19"/>
                <w:szCs w:val="19"/>
              </w:rPr>
              <w:t xml:space="preserve">日</w:t>
            </w:r>
          </w:p>
        </w:tc>
      </w:tr>
      <w:tr>
        <w:tc>
          <w:tcPr>
            <w:tcW w:type="dxa" w:w="1900"/>
            <w:tcBorders>
              <w:top w:val="single" w:color="D6D9DD" w:sz="1"/>
              <w:left w:val="single" w:color="D6D9DD" w:sz="1"/>
              <w:bottom w:val="single" w:color="D6D9DD" w:sz="1"/>
              <w:right w:val="single" w:color="D6D9DD" w:sz="1"/>
            </w:tcBorders>
            <w:shd w:fill="F7F8F9" w:val="clear"/>
            <w:tcMar>
              <w:top w:type="dxa" w:w="70"/>
              <w:left w:type="dxa" w:w="120"/>
              <w:bottom w:type="dxa" w:w="70"/>
              <w:right w:type="dxa" w:w="120"/>
            </w:tcMar>
          </w:tcPr>
          <w:p>
            <w:pPr>
              <w:spacing w:after="0" w:line="252"/>
            </w:pPr>
            <w:r>
              <w:rPr>
                <w:sz w:val="19"/>
                <w:szCs w:val="19"/>
              </w:rPr>
              <w:t xml:space="preserve">exposure.json</w:t>
            </w:r>
          </w:p>
        </w:tc>
        <w:tc>
          <w:tcPr>
            <w:tcW w:type="dxa" w:w="2360"/>
            <w:tcBorders>
              <w:top w:val="single" w:color="D6D9DD" w:sz="1"/>
              <w:left w:val="single" w:color="D6D9DD" w:sz="1"/>
              <w:bottom w:val="single" w:color="D6D9DD" w:sz="1"/>
              <w:right w:val="single" w:color="D6D9DD" w:sz="1"/>
            </w:tcBorders>
            <w:shd w:fill="F7F8F9" w:val="clear"/>
            <w:tcMar>
              <w:top w:type="dxa" w:w="70"/>
              <w:left w:type="dxa" w:w="120"/>
              <w:bottom w:type="dxa" w:w="70"/>
              <w:right w:type="dxa" w:w="120"/>
            </w:tcMar>
          </w:tcPr>
          <w:p>
            <w:pPr>
              <w:spacing w:after="0" w:line="252"/>
            </w:pPr>
            <w:r>
              <w:rPr>
                <w:sz w:val="19"/>
                <w:szCs w:val="19"/>
              </w:rPr>
              <w:t xml:space="preserve">价值链曝露地图(L2)</w:t>
            </w:r>
          </w:p>
        </w:tc>
        <w:tc>
          <w:tcPr>
            <w:tcW w:type="dxa" w:w="2900"/>
            <w:tcBorders>
              <w:top w:val="single" w:color="D6D9DD" w:sz="1"/>
              <w:left w:val="single" w:color="D6D9DD" w:sz="1"/>
              <w:bottom w:val="single" w:color="D6D9DD" w:sz="1"/>
              <w:right w:val="single" w:color="D6D9DD" w:sz="1"/>
            </w:tcBorders>
            <w:shd w:fill="F7F8F9" w:val="clear"/>
            <w:tcMar>
              <w:top w:type="dxa" w:w="70"/>
              <w:left w:type="dxa" w:w="120"/>
              <w:bottom w:type="dxa" w:w="70"/>
              <w:right w:type="dxa" w:w="120"/>
            </w:tcMar>
          </w:tcPr>
          <w:p>
            <w:pPr>
              <w:spacing w:after="0" w:line="252"/>
            </w:pPr>
            <w:r>
              <w:rPr>
                <w:sz w:val="19"/>
                <w:szCs w:val="19"/>
              </w:rPr>
              <w:t xml:space="preserve">内联曝露条 / 集中度</w:t>
            </w:r>
          </w:p>
        </w:tc>
        <w:tc>
          <w:tcPr>
            <w:tcW w:type="dxa" w:w="2200"/>
            <w:tcBorders>
              <w:top w:val="single" w:color="D6D9DD" w:sz="1"/>
              <w:left w:val="single" w:color="D6D9DD" w:sz="1"/>
              <w:bottom w:val="single" w:color="D6D9DD" w:sz="1"/>
              <w:right w:val="single" w:color="D6D9DD" w:sz="1"/>
            </w:tcBorders>
            <w:shd w:fill="F7F8F9" w:val="clear"/>
            <w:tcMar>
              <w:top w:type="dxa" w:w="70"/>
              <w:left w:type="dxa" w:w="120"/>
              <w:bottom w:type="dxa" w:w="70"/>
              <w:right w:type="dxa" w:w="120"/>
            </w:tcMar>
          </w:tcPr>
          <w:p>
            <w:pPr>
              <w:spacing w:after="0" w:line="252"/>
            </w:pPr>
            <w:r>
              <w:rPr>
                <w:sz w:val="19"/>
                <w:szCs w:val="19"/>
              </w:rPr>
              <w:t xml:space="preserve">日</w:t>
            </w:r>
          </w:p>
        </w:tc>
      </w:tr>
      <w:tr>
        <w:tc>
          <w:tcPr>
            <w:tcW w:type="dxa" w:w="1900"/>
            <w:tcBorders>
              <w:top w:val="single" w:color="D6D9DD" w:sz="1"/>
              <w:left w:val="single" w:color="D6D9DD" w:sz="1"/>
              <w:bottom w:val="single" w:color="D6D9DD" w:sz="1"/>
              <w:right w:val="single" w:color="D6D9DD" w:sz="1"/>
            </w:tcBorders>
            <w:shd w:fill="FFFFFF" w:val="clear"/>
            <w:tcMar>
              <w:top w:type="dxa" w:w="70"/>
              <w:left w:type="dxa" w:w="120"/>
              <w:bottom w:type="dxa" w:w="70"/>
              <w:right w:type="dxa" w:w="120"/>
            </w:tcMar>
          </w:tcPr>
          <w:p>
            <w:pPr>
              <w:spacing w:after="0" w:line="252"/>
            </w:pPr>
            <w:r>
              <w:rPr>
                <w:sz w:val="19"/>
                <w:szCs w:val="19"/>
              </w:rPr>
              <w:t xml:space="preserve">bench.json</w:t>
            </w:r>
          </w:p>
        </w:tc>
        <w:tc>
          <w:tcPr>
            <w:tcW w:type="dxa" w:w="2360"/>
            <w:tcBorders>
              <w:top w:val="single" w:color="D6D9DD" w:sz="1"/>
              <w:left w:val="single" w:color="D6D9DD" w:sz="1"/>
              <w:bottom w:val="single" w:color="D6D9DD" w:sz="1"/>
              <w:right w:val="single" w:color="D6D9DD" w:sz="1"/>
            </w:tcBorders>
            <w:shd w:fill="FFFFFF" w:val="clear"/>
            <w:tcMar>
              <w:top w:type="dxa" w:w="70"/>
              <w:left w:type="dxa" w:w="120"/>
              <w:bottom w:type="dxa" w:w="70"/>
              <w:right w:type="dxa" w:w="120"/>
            </w:tcMar>
          </w:tcPr>
          <w:p>
            <w:pPr>
              <w:spacing w:after="0" w:line="252"/>
            </w:pPr>
            <w:r>
              <w:rPr>
                <w:sz w:val="19"/>
                <w:szCs w:val="19"/>
              </w:rPr>
              <w:t xml:space="preserve">备用池(L3.5)</w:t>
            </w:r>
          </w:p>
        </w:tc>
        <w:tc>
          <w:tcPr>
            <w:tcW w:type="dxa" w:w="2900"/>
            <w:tcBorders>
              <w:top w:val="single" w:color="D6D9DD" w:sz="1"/>
              <w:left w:val="single" w:color="D6D9DD" w:sz="1"/>
              <w:bottom w:val="single" w:color="D6D9DD" w:sz="1"/>
              <w:right w:val="single" w:color="D6D9DD" w:sz="1"/>
            </w:tcBorders>
            <w:shd w:fill="FFFFFF" w:val="clear"/>
            <w:tcMar>
              <w:top w:type="dxa" w:w="70"/>
              <w:left w:type="dxa" w:w="120"/>
              <w:bottom w:type="dxa" w:w="70"/>
              <w:right w:type="dxa" w:w="120"/>
            </w:tcMar>
          </w:tcPr>
          <w:p>
            <w:pPr>
              <w:spacing w:after="0" w:line="252"/>
            </w:pPr>
            <w:r>
              <w:rPr>
                <w:rFonts w:ascii="Consolas" w:cs="Consolas" w:eastAsia="Consolas" w:hAnsi="Consolas"/>
                <w:sz w:val="18"/>
                <w:szCs w:val="18"/>
              </w:rPr>
              <w:t xml:space="preserve">BENCH</w:t>
            </w:r>
          </w:p>
        </w:tc>
        <w:tc>
          <w:tcPr>
            <w:tcW w:type="dxa" w:w="2200"/>
            <w:tcBorders>
              <w:top w:val="single" w:color="D6D9DD" w:sz="1"/>
              <w:left w:val="single" w:color="D6D9DD" w:sz="1"/>
              <w:bottom w:val="single" w:color="D6D9DD" w:sz="1"/>
              <w:right w:val="single" w:color="D6D9DD" w:sz="1"/>
            </w:tcBorders>
            <w:shd w:fill="FFFFFF" w:val="clear"/>
            <w:tcMar>
              <w:top w:type="dxa" w:w="70"/>
              <w:left w:type="dxa" w:w="120"/>
              <w:bottom w:type="dxa" w:w="70"/>
              <w:right w:type="dxa" w:w="120"/>
            </w:tcMar>
          </w:tcPr>
          <w:p>
            <w:pPr>
              <w:spacing w:after="0" w:line="252"/>
            </w:pPr>
            <w:r>
              <w:rPr>
                <w:sz w:val="19"/>
                <w:szCs w:val="19"/>
              </w:rPr>
              <w:t xml:space="preserve">周</w:t>
            </w:r>
          </w:p>
        </w:tc>
      </w:tr>
      <w:tr>
        <w:tc>
          <w:tcPr>
            <w:tcW w:type="dxa" w:w="1900"/>
            <w:tcBorders>
              <w:top w:val="single" w:color="D6D9DD" w:sz="1"/>
              <w:left w:val="single" w:color="D6D9DD" w:sz="1"/>
              <w:bottom w:val="single" w:color="D6D9DD" w:sz="1"/>
              <w:right w:val="single" w:color="D6D9DD" w:sz="1"/>
            </w:tcBorders>
            <w:shd w:fill="F7F8F9" w:val="clear"/>
            <w:tcMar>
              <w:top w:type="dxa" w:w="70"/>
              <w:left w:type="dxa" w:w="120"/>
              <w:bottom w:type="dxa" w:w="70"/>
              <w:right w:type="dxa" w:w="120"/>
            </w:tcMar>
          </w:tcPr>
          <w:p>
            <w:pPr>
              <w:spacing w:after="0" w:line="252"/>
            </w:pPr>
            <w:r>
              <w:rPr>
                <w:sz w:val="19"/>
                <w:szCs w:val="19"/>
              </w:rPr>
              <w:t xml:space="preserve">alerts.json</w:t>
            </w:r>
          </w:p>
        </w:tc>
        <w:tc>
          <w:tcPr>
            <w:tcW w:type="dxa" w:w="2360"/>
            <w:tcBorders>
              <w:top w:val="single" w:color="D6D9DD" w:sz="1"/>
              <w:left w:val="single" w:color="D6D9DD" w:sz="1"/>
              <w:bottom w:val="single" w:color="D6D9DD" w:sz="1"/>
              <w:right w:val="single" w:color="D6D9DD" w:sz="1"/>
            </w:tcBorders>
            <w:shd w:fill="F7F8F9" w:val="clear"/>
            <w:tcMar>
              <w:top w:type="dxa" w:w="70"/>
              <w:left w:type="dxa" w:w="120"/>
              <w:bottom w:type="dxa" w:w="70"/>
              <w:right w:type="dxa" w:w="120"/>
            </w:tcMar>
          </w:tcPr>
          <w:p>
            <w:pPr>
              <w:spacing w:after="0" w:line="252"/>
            </w:pPr>
            <w:r>
              <w:rPr>
                <w:sz w:val="19"/>
                <w:szCs w:val="19"/>
              </w:rPr>
              <w:t xml:space="preserve">预警中心 / 熔断</w:t>
            </w:r>
          </w:p>
        </w:tc>
        <w:tc>
          <w:tcPr>
            <w:tcW w:type="dxa" w:w="2900"/>
            <w:tcBorders>
              <w:top w:val="single" w:color="D6D9DD" w:sz="1"/>
              <w:left w:val="single" w:color="D6D9DD" w:sz="1"/>
              <w:bottom w:val="single" w:color="D6D9DD" w:sz="1"/>
              <w:right w:val="single" w:color="D6D9DD" w:sz="1"/>
            </w:tcBorders>
            <w:shd w:fill="F7F8F9" w:val="clear"/>
            <w:tcMar>
              <w:top w:type="dxa" w:w="70"/>
              <w:left w:type="dxa" w:w="120"/>
              <w:bottom w:type="dxa" w:w="70"/>
              <w:right w:type="dxa" w:w="120"/>
            </w:tcMar>
          </w:tcPr>
          <w:p>
            <w:pPr>
              <w:spacing w:after="0" w:line="252"/>
            </w:pPr>
            <w:r>
              <w:rPr>
                <w:rFonts w:ascii="Consolas" w:cs="Consolas" w:eastAsia="Consolas" w:hAnsi="Consolas"/>
                <w:sz w:val="18"/>
                <w:szCs w:val="18"/>
              </w:rPr>
              <w:t xml:space="preserve">MON 派生 + cbrow</w:t>
            </w:r>
          </w:p>
        </w:tc>
        <w:tc>
          <w:tcPr>
            <w:tcW w:type="dxa" w:w="2200"/>
            <w:tcBorders>
              <w:top w:val="single" w:color="D6D9DD" w:sz="1"/>
              <w:left w:val="single" w:color="D6D9DD" w:sz="1"/>
              <w:bottom w:val="single" w:color="D6D9DD" w:sz="1"/>
              <w:right w:val="single" w:color="D6D9DD" w:sz="1"/>
            </w:tcBorders>
            <w:shd w:fill="F7F8F9" w:val="clear"/>
            <w:tcMar>
              <w:top w:type="dxa" w:w="70"/>
              <w:left w:type="dxa" w:w="120"/>
              <w:bottom w:type="dxa" w:w="70"/>
              <w:right w:type="dxa" w:w="120"/>
            </w:tcMar>
          </w:tcPr>
          <w:p>
            <w:pPr>
              <w:spacing w:after="0" w:line="252"/>
            </w:pPr>
            <w:r>
              <w:rPr>
                <w:sz w:val="19"/>
                <w:szCs w:val="19"/>
              </w:rPr>
              <w:t xml:space="preserve">日(盘中可更高频)</w:t>
            </w:r>
          </w:p>
        </w:tc>
      </w:tr>
      <w:tr>
        <w:tc>
          <w:tcPr>
            <w:tcW w:type="dxa" w:w="1900"/>
            <w:tcBorders>
              <w:top w:val="single" w:color="D6D9DD" w:sz="1"/>
              <w:left w:val="single" w:color="D6D9DD" w:sz="1"/>
              <w:bottom w:val="single" w:color="D6D9DD" w:sz="1"/>
              <w:right w:val="single" w:color="D6D9DD" w:sz="1"/>
            </w:tcBorders>
            <w:shd w:fill="FFFFFF" w:val="clear"/>
            <w:tcMar>
              <w:top w:type="dxa" w:w="70"/>
              <w:left w:type="dxa" w:w="120"/>
              <w:bottom w:type="dxa" w:w="70"/>
              <w:right w:type="dxa" w:w="120"/>
            </w:tcMar>
          </w:tcPr>
          <w:p>
            <w:pPr>
              <w:spacing w:after="0" w:line="252"/>
            </w:pPr>
            <w:r>
              <w:rPr>
                <w:sz w:val="19"/>
                <w:szCs w:val="19"/>
              </w:rPr>
              <w:t xml:space="preserve">backtest.json</w:t>
            </w:r>
          </w:p>
        </w:tc>
        <w:tc>
          <w:tcPr>
            <w:tcW w:type="dxa" w:w="2360"/>
            <w:tcBorders>
              <w:top w:val="single" w:color="D6D9DD" w:sz="1"/>
              <w:left w:val="single" w:color="D6D9DD" w:sz="1"/>
              <w:bottom w:val="single" w:color="D6D9DD" w:sz="1"/>
              <w:right w:val="single" w:color="D6D9DD" w:sz="1"/>
            </w:tcBorders>
            <w:shd w:fill="FFFFFF" w:val="clear"/>
            <w:tcMar>
              <w:top w:type="dxa" w:w="70"/>
              <w:left w:type="dxa" w:w="120"/>
              <w:bottom w:type="dxa" w:w="70"/>
              <w:right w:type="dxa" w:w="120"/>
            </w:tcMar>
          </w:tcPr>
          <w:p>
            <w:pPr>
              <w:spacing w:after="0" w:line="252"/>
            </w:pPr>
            <w:r>
              <w:rPr>
                <w:sz w:val="19"/>
                <w:szCs w:val="19"/>
              </w:rPr>
              <w:t xml:space="preserve">SuperBox 回测(L4)</w:t>
            </w:r>
          </w:p>
        </w:tc>
        <w:tc>
          <w:tcPr>
            <w:tcW w:type="dxa" w:w="2900"/>
            <w:tcBorders>
              <w:top w:val="single" w:color="D6D9DD" w:sz="1"/>
              <w:left w:val="single" w:color="D6D9DD" w:sz="1"/>
              <w:bottom w:val="single" w:color="D6D9DD" w:sz="1"/>
              <w:right w:val="single" w:color="D6D9DD" w:sz="1"/>
            </w:tcBorders>
            <w:shd w:fill="FFFFFF" w:val="clear"/>
            <w:tcMar>
              <w:top w:type="dxa" w:w="70"/>
              <w:left w:type="dxa" w:w="120"/>
              <w:bottom w:type="dxa" w:w="70"/>
              <w:right w:type="dxa" w:w="120"/>
            </w:tcMar>
          </w:tcPr>
          <w:p>
            <w:pPr>
              <w:spacing w:after="0" w:line="252"/>
            </w:pPr>
            <w:r>
              <w:rPr>
                <w:rFonts w:ascii="Consolas" w:cs="Consolas" w:eastAsia="Consolas" w:hAnsi="Consolas"/>
                <w:sz w:val="18"/>
                <w:szCs w:val="18"/>
              </w:rPr>
              <w:t xml:space="preserve">FULL + CONTRIB + metrics</w:t>
            </w:r>
          </w:p>
        </w:tc>
        <w:tc>
          <w:tcPr>
            <w:tcW w:type="dxa" w:w="2200"/>
            <w:tcBorders>
              <w:top w:val="single" w:color="D6D9DD" w:sz="1"/>
              <w:left w:val="single" w:color="D6D9DD" w:sz="1"/>
              <w:bottom w:val="single" w:color="D6D9DD" w:sz="1"/>
              <w:right w:val="single" w:color="D6D9DD" w:sz="1"/>
            </w:tcBorders>
            <w:shd w:fill="FFFFFF" w:val="clear"/>
            <w:tcMar>
              <w:top w:type="dxa" w:w="70"/>
              <w:left w:type="dxa" w:w="120"/>
              <w:bottom w:type="dxa" w:w="70"/>
              <w:right w:type="dxa" w:w="120"/>
            </w:tcMar>
          </w:tcPr>
          <w:p>
            <w:pPr>
              <w:spacing w:after="0" w:line="252"/>
            </w:pPr>
            <w:r>
              <w:rPr>
                <w:sz w:val="19"/>
                <w:szCs w:val="19"/>
              </w:rPr>
              <w:t xml:space="preserve">日</w:t>
            </w:r>
          </w:p>
        </w:tc>
      </w:tr>
      <w:tr>
        <w:tc>
          <w:tcPr>
            <w:tcW w:type="dxa" w:w="1900"/>
            <w:tcBorders>
              <w:top w:val="single" w:color="D6D9DD" w:sz="1"/>
              <w:left w:val="single" w:color="D6D9DD" w:sz="1"/>
              <w:bottom w:val="single" w:color="D6D9DD" w:sz="1"/>
              <w:right w:val="single" w:color="D6D9DD" w:sz="1"/>
            </w:tcBorders>
            <w:shd w:fill="F7F8F9" w:val="clear"/>
            <w:tcMar>
              <w:top w:type="dxa" w:w="70"/>
              <w:left w:type="dxa" w:w="120"/>
              <w:bottom w:type="dxa" w:w="70"/>
              <w:right w:type="dxa" w:w="120"/>
            </w:tcMar>
          </w:tcPr>
          <w:p>
            <w:pPr>
              <w:spacing w:after="0" w:line="252"/>
            </w:pPr>
            <w:r>
              <w:rPr>
                <w:sz w:val="19"/>
                <w:szCs w:val="19"/>
              </w:rPr>
              <w:t xml:space="preserve">model_health.json</w:t>
            </w:r>
          </w:p>
        </w:tc>
        <w:tc>
          <w:tcPr>
            <w:tcW w:type="dxa" w:w="2360"/>
            <w:tcBorders>
              <w:top w:val="single" w:color="D6D9DD" w:sz="1"/>
              <w:left w:val="single" w:color="D6D9DD" w:sz="1"/>
              <w:bottom w:val="single" w:color="D6D9DD" w:sz="1"/>
              <w:right w:val="single" w:color="D6D9DD" w:sz="1"/>
            </w:tcBorders>
            <w:shd w:fill="F7F8F9" w:val="clear"/>
            <w:tcMar>
              <w:top w:type="dxa" w:w="70"/>
              <w:left w:type="dxa" w:w="120"/>
              <w:bottom w:type="dxa" w:w="70"/>
              <w:right w:type="dxa" w:w="120"/>
            </w:tcMar>
          </w:tcPr>
          <w:p>
            <w:pPr>
              <w:spacing w:after="0" w:line="252"/>
            </w:pPr>
            <w:r>
              <w:rPr>
                <w:sz w:val="19"/>
                <w:szCs w:val="19"/>
              </w:rPr>
              <w:t xml:space="preserve">状态栏 / IC 监控</w:t>
            </w:r>
          </w:p>
        </w:tc>
        <w:tc>
          <w:tcPr>
            <w:tcW w:type="dxa" w:w="2900"/>
            <w:tcBorders>
              <w:top w:val="single" w:color="D6D9DD" w:sz="1"/>
              <w:left w:val="single" w:color="D6D9DD" w:sz="1"/>
              <w:bottom w:val="single" w:color="D6D9DD" w:sz="1"/>
              <w:right w:val="single" w:color="D6D9DD" w:sz="1"/>
            </w:tcBorders>
            <w:shd w:fill="F7F8F9" w:val="clear"/>
            <w:tcMar>
              <w:top w:type="dxa" w:w="70"/>
              <w:left w:type="dxa" w:w="120"/>
              <w:bottom w:type="dxa" w:w="70"/>
              <w:right w:type="dxa" w:w="120"/>
            </w:tcMar>
          </w:tcPr>
          <w:p>
            <w:pPr>
              <w:spacing w:after="0" w:line="252"/>
            </w:pPr>
            <w:r>
              <w:rPr>
                <w:sz w:val="19"/>
                <w:szCs w:val="19"/>
              </w:rPr>
              <w:t xml:space="preserve">(看板暂缺)</w:t>
            </w:r>
          </w:p>
        </w:tc>
        <w:tc>
          <w:tcPr>
            <w:tcW w:type="dxa" w:w="2200"/>
            <w:tcBorders>
              <w:top w:val="single" w:color="D6D9DD" w:sz="1"/>
              <w:left w:val="single" w:color="D6D9DD" w:sz="1"/>
              <w:bottom w:val="single" w:color="D6D9DD" w:sz="1"/>
              <w:right w:val="single" w:color="D6D9DD" w:sz="1"/>
            </w:tcBorders>
            <w:shd w:fill="F7F8F9" w:val="clear"/>
            <w:tcMar>
              <w:top w:type="dxa" w:w="70"/>
              <w:left w:type="dxa" w:w="120"/>
              <w:bottom w:type="dxa" w:w="70"/>
              <w:right w:type="dxa" w:w="120"/>
            </w:tcMar>
          </w:tcPr>
          <w:p>
            <w:pPr>
              <w:spacing w:after="0" w:line="252"/>
            </w:pPr>
            <w:r>
              <w:rPr>
                <w:sz w:val="19"/>
                <w:szCs w:val="19"/>
              </w:rPr>
              <w:t xml:space="preserve">日</w:t>
            </w:r>
          </w:p>
        </w:tc>
      </w:tr>
    </w:tbl>
    <w:p>
      <w:r>
        <w:br w:type="page"/>
      </w:r>
    </w:p>
    <w:p>
      <w:pPr>
        <w:pStyle w:val="Heading1"/>
      </w:pPr>
      <w:r>
        <w:t xml:space="preserve">三 · JSON 契约定义</w:t>
      </w:r>
    </w:p>
    <w:p>
      <w:pPr>
        <w:pStyle w:val="Heading2"/>
      </w:pPr>
      <w:r>
        <w:t xml:space="preserve">3.1  holdings.json</w:t>
      </w:r>
    </w:p>
    <w:p>
      <w:pPr>
        <w:spacing w:after="120" w:line="276"/>
      </w:pPr>
      <w:r>
        <w:t xml:space="preserve">替换 </w:t>
      </w:r>
      <w:r>
        <w:rPr>
          <w:rFonts w:ascii="Consolas" w:cs="Consolas" w:eastAsia="Consolas" w:hAnsi="Consolas"/>
          <w:sz w:val="18"/>
          <w:szCs w:val="18"/>
        </w:rPr>
        <w:t xml:space="preserve">STOCKS / CB / MON</w:t>
      </w:r>
      <w:r>
        <w:t xml:space="preserve"> 三个内联对象。驱动 KPI 条与个股卡片。</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9DD" w:sz="1"/>
              <w:left w:val="single" w:color="D6D9DD" w:sz="1"/>
              <w:bottom w:val="single" w:color="D6D9DD" w:sz="1"/>
              <w:right w:val="single" w:color="D6D9DD" w:sz="1"/>
            </w:tcBorders>
            <w:shd w:fill="F2F4F5" w:val="clear"/>
            <w:tcMar>
              <w:top w:type="dxa" w:w="100"/>
              <w:left w:type="dxa" w:w="160"/>
              <w:bottom w:type="dxa" w:w="100"/>
              <w:right w:type="dxa" w:w="120"/>
            </w:tcMar>
          </w:tcPr>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"as_of": "2026-06-11",</w:t>
            </w:r>
          </w:p>
          <w:p>
            <w:pPr>
              <w:spacing w:after="0" w:line="240"/>
            </w:pPr>
            <w:r>
              <w:rPr>
                <w:rFonts w:ascii="Consolas" w:cs="Consolas" w:eastAsia="Consolas" w:hAnsi="Consolas"/>
                <w:sz w:val="18"/>
                <w:szCs w:val="18"/>
              </w:rPr>
              <w:t xml:space="preserve">  "fund": { "nav": 1.184, "excess_vs_bench": 0.061,</w:t>
            </w:r>
          </w:p>
          <w:p>
            <w:pPr>
              <w:spacing w:after="0" w:line="240"/>
            </w:pPr>
            <w:r>
              <w:rPr>
                <w:rFonts w:ascii="Consolas" w:cs="Consolas" w:eastAsia="Consolas" w:hAnsi="Consolas"/>
                <w:sz w:val="18"/>
                <w:szCs w:val="18"/>
              </w:rPr>
              <w:t xml:space="preserve">            "drawdown": -0.042, "max_drawdown": -0.197,</w:t>
            </w:r>
          </w:p>
          <w:p>
            <w:pPr>
              <w:spacing w:after="0" w:line="240"/>
            </w:pPr>
            <w:r>
              <w:rPr>
                <w:rFonts w:ascii="Consolas" w:cs="Consolas" w:eastAsia="Consolas" w:hAnsi="Consolas"/>
                <w:sz w:val="18"/>
                <w:szCs w:val="18"/>
              </w:rPr>
              <w:t xml:space="preserve">            "beta": 1.32, "cash": 0.12 },</w:t>
            </w:r>
          </w:p>
          <w:p>
            <w:pPr>
              <w:spacing w:after="0" w:line="240"/>
            </w:pPr>
            <w:r>
              <w:rPr>
                <w:rFonts w:ascii="Consolas" w:cs="Consolas" w:eastAsia="Consolas" w:hAnsi="Consolas"/>
                <w:sz w:val="18"/>
                <w:szCs w:val="18"/>
              </w:rPr>
              <w:t xml:space="preserve">  "holdings":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"ticker": "NVDA", "name": "英伟达",</w:t>
            </w:r>
          </w:p>
          <w:p>
            <w:pPr>
              <w:spacing w:after="0" w:line="240"/>
            </w:pPr>
            <w:r>
              <w:rPr>
                <w:rFonts w:ascii="Consolas" w:cs="Consolas" w:eastAsia="Consolas" w:hAnsi="Consolas"/>
                <w:sz w:val="18"/>
                <w:szCs w:val="18"/>
              </w:rPr>
              <w:t xml:space="preserve">      "layer": "compute",            // compute | cloud | app | power</w:t>
            </w:r>
          </w:p>
          <w:p>
            <w:pPr>
              <w:spacing w:after="0" w:line="240"/>
            </w:pPr>
            <w:r>
              <w:rPr>
                <w:rFonts w:ascii="Consolas" w:cs="Consolas" w:eastAsia="Consolas" w:hAnsi="Consolas"/>
                <w:sz w:val="18"/>
                <w:szCs w:val="18"/>
              </w:rPr>
              <w:t xml:space="preserve">      "weight": 0.15,</w:t>
            </w:r>
          </w:p>
          <w:p>
            <w:pPr>
              <w:spacing w:after="0" w:line="240"/>
            </w:pPr>
            <w:r>
              <w:rPr>
                <w:rFonts w:ascii="Consolas" w:cs="Consolas" w:eastAsia="Consolas" w:hAnsi="Consolas"/>
                <w:sz w:val="18"/>
                <w:szCs w:val="18"/>
              </w:rPr>
              <w:t xml:space="preserve">      "day_change": 0.018,</w:t>
            </w:r>
          </w:p>
          <w:p>
            <w:pPr>
              <w:spacing w:after="0" w:line="240"/>
            </w:pPr>
            <w:r>
              <w:rPr>
                <w:rFonts w:ascii="Consolas" w:cs="Consolas" w:eastAsia="Consolas" w:hAnsi="Consolas"/>
                <w:sz w:val="18"/>
                <w:szCs w:val="18"/>
              </w:rPr>
              <w:t xml:space="preserve">      "health": 82,                  // 0-100 论点健康度</w:t>
            </w:r>
          </w:p>
          <w:p>
            <w:pPr>
              <w:spacing w:after="0" w:line="240"/>
            </w:pPr>
            <w:r>
              <w:rPr>
                <w:rFonts w:ascii="Consolas" w:cs="Consolas" w:eastAsia="Consolas" w:hAnsi="Consolas"/>
                <w:sz w:val="18"/>
                <w:szCs w:val="18"/>
              </w:rPr>
              <w:t xml:space="preserve">      "capex_beta": "high",          // high | mid | low</w:t>
            </w:r>
          </w:p>
          <w:p>
            <w:pPr>
              <w:spacing w:after="0" w:line="240"/>
            </w:pPr>
            <w:r>
              <w:rPr>
                <w:rFonts w:ascii="Consolas" w:cs="Consolas" w:eastAsia="Consolas" w:hAnsi="Consolas"/>
                <w:sz w:val="18"/>
                <w:szCs w:val="18"/>
              </w:rPr>
              <w:t xml:space="preserve">      "pillars": ["CUDA 护城河", "数据中心加速期", "定价权强"],</w:t>
            </w:r>
          </w:p>
          <w:p>
            <w:pPr>
              <w:spacing w:after="0" w:line="240"/>
            </w:pPr>
            <w:r>
              <w:rPr>
                <w:rFonts w:ascii="Consolas" w:cs="Consolas" w:eastAsia="Consolas" w:hAnsi="Consolas"/>
                <w:sz w:val="18"/>
                <w:szCs w:val="18"/>
              </w:rPr>
              <w:t xml:space="preserve">      "kpis": [ {"label":"数据中心营收 YoY","value":"+94%"},</w:t>
            </w:r>
          </w:p>
          <w:p>
            <w:pPr>
              <w:spacing w:after="0" w:line="240"/>
            </w:pPr>
            <w:r>
              <w:rPr>
                <w:rFonts w:ascii="Consolas" w:cs="Consolas" w:eastAsia="Consolas" w:hAnsi="Consolas"/>
                <w:sz w:val="18"/>
                <w:szCs w:val="18"/>
              </w:rPr>
              <w:t xml:space="preserve">                {"label":"毛利率","value":"75%"} ],</w:t>
            </w:r>
          </w:p>
          <w:p>
            <w:pPr>
              <w:spacing w:after="0" w:line="240"/>
            </w:pPr>
            <w:r>
              <w:rPr>
                <w:rFonts w:ascii="Consolas" w:cs="Consolas" w:eastAsia="Consolas" w:hAnsi="Consolas"/>
                <w:sz w:val="18"/>
                <w:szCs w:val="18"/>
              </w:rPr>
              <w:t xml:space="preserve">      "tripwire": "数据中心营收增速连续两季放缓 / 大客户ASIC替代加速",</w:t>
            </w:r>
          </w:p>
          <w:p>
            <w:pPr>
              <w:spacing w:after="0" w:line="240"/>
            </w:pPr>
            <w:r>
              <w:rPr>
                <w:rFonts w:ascii="Consolas" w:cs="Consolas" w:eastAsia="Consolas" w:hAnsi="Consolas"/>
                <w:sz w:val="18"/>
                <w:szCs w:val="18"/>
              </w:rPr>
              <w:t xml:space="preserve">      "monitor": { "metric":"数据中心营收 YoY", "current":94,</w:t>
            </w:r>
          </w:p>
          <w:p>
            <w:pPr>
              <w:spacing w:after="0" w:line="240"/>
            </w:pPr>
            <w:r>
              <w:rPr>
                <w:rFonts w:ascii="Consolas" w:cs="Consolas" w:eastAsia="Consolas" w:hAnsi="Consolas"/>
                <w:sz w:val="18"/>
                <w:szCs w:val="18"/>
              </w:rPr>
              <w:t xml:space="preserve">                   "threshold":60, "direction":"below", "unit":"%"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3660"/>
        <w:gridCol w:w="2800"/>
      </w:tblGrid>
      <w:tr>
        <w:trPr>
          <w:tblHeader/>
        </w:trPr>
        <w:tc>
          <w:tcPr>
            <w:tcW w:type="dxa" w:w="1700"/>
            <w:tcBorders>
              <w:top w:val="single" w:color="D6D9DD" w:sz="1"/>
              <w:left w:val="single" w:color="D6D9DD" w:sz="1"/>
              <w:bottom w:val="single" w:color="D6D9DD" w:sz="1"/>
              <w:right w:val="single" w:color="D6D9DD" w:sz="1"/>
            </w:tcBorders>
            <w:shd w:fill="0F7A6B" w:val="clear"/>
            <w:tcMar>
              <w:top w:type="dxa" w:w="70"/>
              <w:left w:type="dxa" w:w="120"/>
              <w:bottom w:type="dxa" w:w="70"/>
              <w:right w:type="dxa" w:w="120"/>
            </w:tcMar>
            <w:vAlign w:val="center"/>
          </w:tcPr>
          <w:p>
            <w:pPr>
              <w:spacing w:after="0"/>
            </w:pPr>
            <w:r>
              <w:rPr>
                <w:b/>
                <w:bCs/>
                <w:color w:val="FFFFFF"/>
                <w:sz w:val="19"/>
                <w:szCs w:val="19"/>
              </w:rPr>
              <w:t xml:space="preserve">字段</w:t>
            </w:r>
          </w:p>
        </w:tc>
        <w:tc>
          <w:tcPr>
            <w:tcW w:type="dxa" w:w="1200"/>
            <w:tcBorders>
              <w:top w:val="single" w:color="D6D9DD" w:sz="1"/>
              <w:left w:val="single" w:color="D6D9DD" w:sz="1"/>
              <w:bottom w:val="single" w:color="D6D9DD" w:sz="1"/>
              <w:right w:val="single" w:color="D6D9DD" w:sz="1"/>
            </w:tcBorders>
            <w:shd w:fill="0F7A6B" w:val="clear"/>
            <w:tcMar>
              <w:top w:type="dxa" w:w="70"/>
              <w:left w:type="dxa" w:w="120"/>
              <w:bottom w:type="dxa" w:w="70"/>
              <w:right w:type="dxa" w:w="120"/>
            </w:tcMar>
            <w:vAlign w:val="center"/>
          </w:tcPr>
          <w:p>
            <w:pPr>
              <w:spacing w:after="0"/>
            </w:pPr>
            <w:r>
              <w:rPr>
                <w:b/>
                <w:bCs/>
                <w:color w:val="FFFFFF"/>
                <w:sz w:val="19"/>
                <w:szCs w:val="19"/>
              </w:rPr>
              <w:t xml:space="preserve">类型</w:t>
            </w:r>
          </w:p>
        </w:tc>
        <w:tc>
          <w:tcPr>
            <w:tcW w:type="dxa" w:w="3660"/>
            <w:tcBorders>
              <w:top w:val="single" w:color="D6D9DD" w:sz="1"/>
              <w:left w:val="single" w:color="D6D9DD" w:sz="1"/>
              <w:bottom w:val="single" w:color="D6D9DD" w:sz="1"/>
              <w:right w:val="single" w:color="D6D9DD" w:sz="1"/>
            </w:tcBorders>
            <w:shd w:fill="0F7A6B" w:val="clear"/>
            <w:tcMar>
              <w:top w:type="dxa" w:w="70"/>
              <w:left w:type="dxa" w:w="120"/>
              <w:bottom w:type="dxa" w:w="70"/>
              <w:right w:type="dxa" w:w="120"/>
            </w:tcMar>
            <w:vAlign w:val="center"/>
          </w:tcPr>
          <w:p>
            <w:pPr>
              <w:spacing w:after="0"/>
            </w:pPr>
            <w:r>
              <w:rPr>
                <w:b/>
                <w:bCs/>
                <w:color w:val="FFFFFF"/>
                <w:sz w:val="19"/>
                <w:szCs w:val="19"/>
              </w:rPr>
              <w:t xml:space="preserve">含义 / 取值</w:t>
            </w:r>
          </w:p>
        </w:tc>
        <w:tc>
          <w:tcPr>
            <w:tcW w:type="dxa" w:w="2800"/>
            <w:tcBorders>
              <w:top w:val="single" w:color="D6D9DD" w:sz="1"/>
              <w:left w:val="single" w:color="D6D9DD" w:sz="1"/>
              <w:bottom w:val="single" w:color="D6D9DD" w:sz="1"/>
              <w:right w:val="single" w:color="D6D9DD" w:sz="1"/>
            </w:tcBorders>
            <w:shd w:fill="0F7A6B" w:val="clear"/>
            <w:tcMar>
              <w:top w:type="dxa" w:w="70"/>
              <w:left w:type="dxa" w:w="120"/>
              <w:bottom w:type="dxa" w:w="70"/>
              <w:right w:type="dxa" w:w="120"/>
            </w:tcMar>
            <w:vAlign w:val="center"/>
          </w:tcPr>
          <w:p>
            <w:pPr>
              <w:spacing w:after="0"/>
            </w:pPr>
            <w:r>
              <w:rPr>
                <w:b/>
                <w:bCs/>
                <w:color w:val="FFFFFF"/>
                <w:sz w:val="19"/>
                <w:szCs w:val="19"/>
              </w:rPr>
              <w:t xml:space="preserve">演示 → 真实</w:t>
            </w:r>
          </w:p>
        </w:tc>
      </w:tr>
      <w:tr>
        <w:tc>
          <w:tcPr>
            <w:tcW w:type="dxa" w:w="1700"/>
            <w:tcBorders>
              <w:top w:val="single" w:color="D6D9DD" w:sz="1"/>
              <w:left w:val="single" w:color="D6D9DD" w:sz="1"/>
              <w:bottom w:val="single" w:color="D6D9DD" w:sz="1"/>
              <w:right w:val="single" w:color="D6D9DD" w:sz="1"/>
            </w:tcBorders>
            <w:shd w:fill="F7F8F9" w:val="clear"/>
            <w:tcMar>
              <w:top w:type="dxa" w:w="70"/>
              <w:left w:type="dxa" w:w="120"/>
              <w:bottom w:type="dxa" w:w="70"/>
              <w:right w:type="dxa" w:w="120"/>
            </w:tcMar>
          </w:tcPr>
          <w:p>
            <w:pPr>
              <w:spacing w:after="0" w:line="252"/>
            </w:pPr>
            <w:r>
              <w:rPr>
                <w:sz w:val="19"/>
                <w:szCs w:val="19"/>
              </w:rPr>
              <w:t xml:space="preserve">layer</w:t>
            </w:r>
          </w:p>
        </w:tc>
        <w:tc>
          <w:tcPr>
            <w:tcW w:type="dxa" w:w="1200"/>
            <w:tcBorders>
              <w:top w:val="single" w:color="D6D9DD" w:sz="1"/>
              <w:left w:val="single" w:color="D6D9DD" w:sz="1"/>
              <w:bottom w:val="single" w:color="D6D9DD" w:sz="1"/>
              <w:right w:val="single" w:color="D6D9DD" w:sz="1"/>
            </w:tcBorders>
            <w:shd w:fill="F7F8F9" w:val="clear"/>
            <w:tcMar>
              <w:top w:type="dxa" w:w="70"/>
              <w:left w:type="dxa" w:w="120"/>
              <w:bottom w:type="dxa" w:w="70"/>
              <w:right w:type="dxa" w:w="120"/>
            </w:tcMar>
          </w:tcPr>
          <w:p>
            <w:pPr>
              <w:spacing w:after="0" w:line="252"/>
            </w:pPr>
            <w:r>
              <w:rPr>
                <w:sz w:val="19"/>
                <w:szCs w:val="19"/>
              </w:rPr>
              <w:t xml:space="preserve">string</w:t>
            </w:r>
          </w:p>
        </w:tc>
        <w:tc>
          <w:tcPr>
            <w:tcW w:type="dxa" w:w="3660"/>
            <w:tcBorders>
              <w:top w:val="single" w:color="D6D9DD" w:sz="1"/>
              <w:left w:val="single" w:color="D6D9DD" w:sz="1"/>
              <w:bottom w:val="single" w:color="D6D9DD" w:sz="1"/>
              <w:right w:val="single" w:color="D6D9DD" w:sz="1"/>
            </w:tcBorders>
            <w:shd w:fill="F7F8F9" w:val="clear"/>
            <w:tcMar>
              <w:top w:type="dxa" w:w="70"/>
              <w:left w:type="dxa" w:w="120"/>
              <w:bottom w:type="dxa" w:w="70"/>
              <w:right w:type="dxa" w:w="120"/>
            </w:tcMar>
          </w:tcPr>
          <w:p>
            <w:pPr>
              <w:spacing w:after="0" w:line="252"/>
            </w:pPr>
            <w:r>
              <w:rPr>
                <w:sz w:val="19"/>
                <w:szCs w:val="19"/>
              </w:rPr>
              <w:t xml:space="preserve">价值链段:compute/cloud/app/power</w:t>
            </w:r>
          </w:p>
        </w:tc>
        <w:tc>
          <w:tcPr>
            <w:tcW w:type="dxa" w:w="2800"/>
            <w:tcBorders>
              <w:top w:val="single" w:color="D6D9DD" w:sz="1"/>
              <w:left w:val="single" w:color="D6D9DD" w:sz="1"/>
              <w:bottom w:val="single" w:color="D6D9DD" w:sz="1"/>
              <w:right w:val="single" w:color="D6D9DD" w:sz="1"/>
            </w:tcBorders>
            <w:shd w:fill="F7F8F9" w:val="clear"/>
            <w:tcMar>
              <w:top w:type="dxa" w:w="70"/>
              <w:left w:type="dxa" w:w="120"/>
              <w:bottom w:type="dxa" w:w="70"/>
              <w:right w:type="dxa" w:w="120"/>
            </w:tcMar>
          </w:tcPr>
          <w:p>
            <w:pPr>
              <w:spacing w:after="0" w:line="252"/>
            </w:pPr>
            <w:r>
              <w:rPr>
                <w:sz w:val="19"/>
                <w:szCs w:val="19"/>
              </w:rPr>
              <w:t xml:space="preserve">保留</w:t>
            </w:r>
          </w:p>
        </w:tc>
      </w:tr>
      <w:tr>
        <w:tc>
          <w:tcPr>
            <w:tcW w:type="dxa" w:w="1700"/>
            <w:tcBorders>
              <w:top w:val="single" w:color="D6D9DD" w:sz="1"/>
              <w:left w:val="single" w:color="D6D9DD" w:sz="1"/>
              <w:bottom w:val="single" w:color="D6D9DD" w:sz="1"/>
              <w:right w:val="single" w:color="D6D9DD" w:sz="1"/>
            </w:tcBorders>
            <w:shd w:fill="FFFFFF" w:val="clear"/>
            <w:tcMar>
              <w:top w:type="dxa" w:w="70"/>
              <w:left w:type="dxa" w:w="120"/>
              <w:bottom w:type="dxa" w:w="70"/>
              <w:right w:type="dxa" w:w="120"/>
            </w:tcMar>
          </w:tcPr>
          <w:p>
            <w:pPr>
              <w:spacing w:after="0" w:line="252"/>
            </w:pPr>
            <w:r>
              <w:rPr>
                <w:sz w:val="19"/>
                <w:szCs w:val="19"/>
              </w:rPr>
              <w:t xml:space="preserve">health</w:t>
            </w:r>
          </w:p>
        </w:tc>
        <w:tc>
          <w:tcPr>
            <w:tcW w:type="dxa" w:w="1200"/>
            <w:tcBorders>
              <w:top w:val="single" w:color="D6D9DD" w:sz="1"/>
              <w:left w:val="single" w:color="D6D9DD" w:sz="1"/>
              <w:bottom w:val="single" w:color="D6D9DD" w:sz="1"/>
              <w:right w:val="single" w:color="D6D9DD" w:sz="1"/>
            </w:tcBorders>
            <w:shd w:fill="FFFFFF" w:val="clear"/>
            <w:tcMar>
              <w:top w:type="dxa" w:w="70"/>
              <w:left w:type="dxa" w:w="120"/>
              <w:bottom w:type="dxa" w:w="70"/>
              <w:right w:type="dxa" w:w="120"/>
            </w:tcMar>
          </w:tcPr>
          <w:p>
            <w:pPr>
              <w:spacing w:after="0" w:line="252"/>
            </w:pPr>
            <w:r>
              <w:rPr>
                <w:sz w:val="19"/>
                <w:szCs w:val="19"/>
              </w:rPr>
              <w:t xml:space="preserve">int 0-100</w:t>
            </w:r>
          </w:p>
        </w:tc>
        <w:tc>
          <w:tcPr>
            <w:tcW w:type="dxa" w:w="3660"/>
            <w:tcBorders>
              <w:top w:val="single" w:color="D6D9DD" w:sz="1"/>
              <w:left w:val="single" w:color="D6D9DD" w:sz="1"/>
              <w:bottom w:val="single" w:color="D6D9DD" w:sz="1"/>
              <w:right w:val="single" w:color="D6D9DD" w:sz="1"/>
            </w:tcBorders>
            <w:shd w:fill="FFFFFF" w:val="clear"/>
            <w:tcMar>
              <w:top w:type="dxa" w:w="70"/>
              <w:left w:type="dxa" w:w="120"/>
              <w:bottom w:type="dxa" w:w="70"/>
              <w:right w:type="dxa" w:w="120"/>
            </w:tcMar>
          </w:tcPr>
          <w:p>
            <w:pPr>
              <w:spacing w:after="0" w:line="252"/>
            </w:pPr>
            <w:r>
              <w:rPr>
                <w:sz w:val="19"/>
                <w:szCs w:val="19"/>
              </w:rPr>
              <w:t xml:space="preserve">论点健康度,驱动卡片血条与预警</w:t>
            </w:r>
          </w:p>
        </w:tc>
        <w:tc>
          <w:tcPr>
            <w:tcW w:type="dxa" w:w="2800"/>
            <w:tcBorders>
              <w:top w:val="single" w:color="D6D9DD" w:sz="1"/>
              <w:left w:val="single" w:color="D6D9DD" w:sz="1"/>
              <w:bottom w:val="single" w:color="D6D9DD" w:sz="1"/>
              <w:right w:val="single" w:color="D6D9DD" w:sz="1"/>
            </w:tcBorders>
            <w:shd w:fill="FFFFFF" w:val="clear"/>
            <w:tcMar>
              <w:top w:type="dxa" w:w="70"/>
              <w:left w:type="dxa" w:w="120"/>
              <w:bottom w:type="dxa" w:w="70"/>
              <w:right w:type="dxa" w:w="120"/>
            </w:tcMar>
          </w:tcPr>
          <w:p>
            <w:pPr>
              <w:spacing w:after="0" w:line="252"/>
            </w:pPr>
            <w:r>
              <w:rPr>
                <w:sz w:val="19"/>
                <w:szCs w:val="19"/>
              </w:rPr>
              <w:t xml:space="preserve">真实版由基本面验证度模型给出</w:t>
            </w:r>
          </w:p>
        </w:tc>
      </w:tr>
      <w:tr>
        <w:tc>
          <w:tcPr>
            <w:tcW w:type="dxa" w:w="1700"/>
            <w:tcBorders>
              <w:top w:val="single" w:color="D6D9DD" w:sz="1"/>
              <w:left w:val="single" w:color="D6D9DD" w:sz="1"/>
              <w:bottom w:val="single" w:color="D6D9DD" w:sz="1"/>
              <w:right w:val="single" w:color="D6D9DD" w:sz="1"/>
            </w:tcBorders>
            <w:shd w:fill="F7F8F9" w:val="clear"/>
            <w:tcMar>
              <w:top w:type="dxa" w:w="70"/>
              <w:left w:type="dxa" w:w="120"/>
              <w:bottom w:type="dxa" w:w="70"/>
              <w:right w:type="dxa" w:w="120"/>
            </w:tcMar>
          </w:tcPr>
          <w:p>
            <w:pPr>
              <w:spacing w:after="0" w:line="252"/>
            </w:pPr>
            <w:r>
              <w:rPr>
                <w:sz w:val="19"/>
                <w:szCs w:val="19"/>
              </w:rPr>
              <w:t xml:space="preserve">capex_beta</w:t>
            </w:r>
          </w:p>
        </w:tc>
        <w:tc>
          <w:tcPr>
            <w:tcW w:type="dxa" w:w="1200"/>
            <w:tcBorders>
              <w:top w:val="single" w:color="D6D9DD" w:sz="1"/>
              <w:left w:val="single" w:color="D6D9DD" w:sz="1"/>
              <w:bottom w:val="single" w:color="D6D9DD" w:sz="1"/>
              <w:right w:val="single" w:color="D6D9DD" w:sz="1"/>
            </w:tcBorders>
            <w:shd w:fill="F7F8F9" w:val="clear"/>
            <w:tcMar>
              <w:top w:type="dxa" w:w="70"/>
              <w:left w:type="dxa" w:w="120"/>
              <w:bottom w:type="dxa" w:w="70"/>
              <w:right w:type="dxa" w:w="120"/>
            </w:tcMar>
          </w:tcPr>
          <w:p>
            <w:pPr>
              <w:spacing w:after="0" w:line="252"/>
            </w:pPr>
            <w:r>
              <w:rPr>
                <w:sz w:val="19"/>
                <w:szCs w:val="19"/>
              </w:rPr>
              <w:t xml:space="preserve">enum</w:t>
            </w:r>
          </w:p>
        </w:tc>
        <w:tc>
          <w:tcPr>
            <w:tcW w:type="dxa" w:w="3660"/>
            <w:tcBorders>
              <w:top w:val="single" w:color="D6D9DD" w:sz="1"/>
              <w:left w:val="single" w:color="D6D9DD" w:sz="1"/>
              <w:bottom w:val="single" w:color="D6D9DD" w:sz="1"/>
              <w:right w:val="single" w:color="D6D9DD" w:sz="1"/>
            </w:tcBorders>
            <w:shd w:fill="F7F8F9" w:val="clear"/>
            <w:tcMar>
              <w:top w:type="dxa" w:w="70"/>
              <w:left w:type="dxa" w:w="120"/>
              <w:bottom w:type="dxa" w:w="70"/>
              <w:right w:type="dxa" w:w="120"/>
            </w:tcMar>
          </w:tcPr>
          <w:p>
            <w:pPr>
              <w:spacing w:after="0" w:line="252"/>
            </w:pPr>
            <w:r>
              <w:rPr>
                <w:sz w:val="19"/>
                <w:szCs w:val="19"/>
              </w:rPr>
              <w:t xml:space="preserve">对超大厂 Capex 叙事的敏感度分档</w:t>
            </w:r>
          </w:p>
        </w:tc>
        <w:tc>
          <w:tcPr>
            <w:tcW w:type="dxa" w:w="2800"/>
            <w:tcBorders>
              <w:top w:val="single" w:color="D6D9DD" w:sz="1"/>
              <w:left w:val="single" w:color="D6D9DD" w:sz="1"/>
              <w:bottom w:val="single" w:color="D6D9DD" w:sz="1"/>
              <w:right w:val="single" w:color="D6D9DD" w:sz="1"/>
            </w:tcBorders>
            <w:shd w:fill="F7F8F9" w:val="clear"/>
            <w:tcMar>
              <w:top w:type="dxa" w:w="70"/>
              <w:left w:type="dxa" w:w="120"/>
              <w:bottom w:type="dxa" w:w="70"/>
              <w:right w:type="dxa" w:w="120"/>
            </w:tcMar>
          </w:tcPr>
          <w:p>
            <w:pPr>
              <w:spacing w:after="0" w:line="252"/>
            </w:pPr>
            <w:r>
              <w:rPr>
                <w:sz w:val="19"/>
                <w:szCs w:val="19"/>
              </w:rPr>
              <w:t xml:space="preserve">真实版=滚动回归 β 分档,见 §7</w:t>
            </w:r>
          </w:p>
        </w:tc>
      </w:tr>
      <w:tr>
        <w:tc>
          <w:tcPr>
            <w:tcW w:type="dxa" w:w="1700"/>
            <w:tcBorders>
              <w:top w:val="single" w:color="D6D9DD" w:sz="1"/>
              <w:left w:val="single" w:color="D6D9DD" w:sz="1"/>
              <w:bottom w:val="single" w:color="D6D9DD" w:sz="1"/>
              <w:right w:val="single" w:color="D6D9DD" w:sz="1"/>
            </w:tcBorders>
            <w:shd w:fill="FFFFFF" w:val="clear"/>
            <w:tcMar>
              <w:top w:type="dxa" w:w="70"/>
              <w:left w:type="dxa" w:w="120"/>
              <w:bottom w:type="dxa" w:w="70"/>
              <w:right w:type="dxa" w:w="120"/>
            </w:tcMar>
          </w:tcPr>
          <w:p>
            <w:pPr>
              <w:spacing w:after="0" w:line="252"/>
            </w:pPr>
            <w:r>
              <w:rPr>
                <w:sz w:val="19"/>
                <w:szCs w:val="19"/>
              </w:rPr>
              <w:t xml:space="preserve">monitor</w:t>
            </w:r>
          </w:p>
        </w:tc>
        <w:tc>
          <w:tcPr>
            <w:tcW w:type="dxa" w:w="1200"/>
            <w:tcBorders>
              <w:top w:val="single" w:color="D6D9DD" w:sz="1"/>
              <w:left w:val="single" w:color="D6D9DD" w:sz="1"/>
              <w:bottom w:val="single" w:color="D6D9DD" w:sz="1"/>
              <w:right w:val="single" w:color="D6D9DD" w:sz="1"/>
            </w:tcBorders>
            <w:shd w:fill="FFFFFF" w:val="clear"/>
            <w:tcMar>
              <w:top w:type="dxa" w:w="70"/>
              <w:left w:type="dxa" w:w="120"/>
              <w:bottom w:type="dxa" w:w="70"/>
              <w:right w:type="dxa" w:w="120"/>
            </w:tcMar>
          </w:tcPr>
          <w:p>
            <w:pPr>
              <w:spacing w:after="0" w:line="252"/>
            </w:pPr>
            <w:r>
              <w:rPr>
                <w:sz w:val="19"/>
                <w:szCs w:val="19"/>
              </w:rPr>
              <w:t xml:space="preserve">object</w:t>
            </w:r>
          </w:p>
        </w:tc>
        <w:tc>
          <w:tcPr>
            <w:tcW w:type="dxa" w:w="3660"/>
            <w:tcBorders>
              <w:top w:val="single" w:color="D6D9DD" w:sz="1"/>
              <w:left w:val="single" w:color="D6D9DD" w:sz="1"/>
              <w:bottom w:val="single" w:color="D6D9DD" w:sz="1"/>
              <w:right w:val="single" w:color="D6D9DD" w:sz="1"/>
            </w:tcBorders>
            <w:shd w:fill="FFFFFF" w:val="clear"/>
            <w:tcMar>
              <w:top w:type="dxa" w:w="70"/>
              <w:left w:type="dxa" w:w="120"/>
              <w:bottom w:type="dxa" w:w="70"/>
              <w:right w:type="dxa" w:w="120"/>
            </w:tcMar>
          </w:tcPr>
          <w:p>
            <w:pPr>
              <w:spacing w:after="0" w:line="252"/>
            </w:pPr>
            <w:r>
              <w:rPr>
                <w:sz w:val="19"/>
                <w:szCs w:val="19"/>
              </w:rPr>
              <w:t xml:space="preserve">该标的被监控的单一指标 + 阈值</w:t>
            </w:r>
          </w:p>
        </w:tc>
        <w:tc>
          <w:tcPr>
            <w:tcW w:type="dxa" w:w="2800"/>
            <w:tcBorders>
              <w:top w:val="single" w:color="D6D9DD" w:sz="1"/>
              <w:left w:val="single" w:color="D6D9DD" w:sz="1"/>
              <w:bottom w:val="single" w:color="D6D9DD" w:sz="1"/>
              <w:right w:val="single" w:color="D6D9DD" w:sz="1"/>
            </w:tcBorders>
            <w:shd w:fill="FFFFFF" w:val="clear"/>
            <w:tcMar>
              <w:top w:type="dxa" w:w="70"/>
              <w:left w:type="dxa" w:w="120"/>
              <w:bottom w:type="dxa" w:w="70"/>
              <w:right w:type="dxa" w:w="120"/>
            </w:tcMar>
          </w:tcPr>
          <w:p>
            <w:pPr>
              <w:spacing w:after="0" w:line="252"/>
            </w:pPr>
            <w:r>
              <w:rPr>
                <w:sz w:val="19"/>
                <w:szCs w:val="19"/>
              </w:rPr>
              <w:t xml:space="preserve">真实版从财报/行情源喂 current</w:t>
            </w:r>
          </w:p>
        </w:tc>
      </w:tr>
      <w:tr>
        <w:tc>
          <w:tcPr>
            <w:tcW w:type="dxa" w:w="1700"/>
            <w:tcBorders>
              <w:top w:val="single" w:color="D6D9DD" w:sz="1"/>
              <w:left w:val="single" w:color="D6D9DD" w:sz="1"/>
              <w:bottom w:val="single" w:color="D6D9DD" w:sz="1"/>
              <w:right w:val="single" w:color="D6D9DD" w:sz="1"/>
            </w:tcBorders>
            <w:shd w:fill="F7F8F9" w:val="clear"/>
            <w:tcMar>
              <w:top w:type="dxa" w:w="70"/>
              <w:left w:type="dxa" w:w="120"/>
              <w:bottom w:type="dxa" w:w="70"/>
              <w:right w:type="dxa" w:w="120"/>
            </w:tcMar>
          </w:tcPr>
          <w:p>
            <w:pPr>
              <w:spacing w:after="0" w:line="252"/>
            </w:pPr>
            <w:r>
              <w:rPr>
                <w:sz w:val="19"/>
                <w:szCs w:val="19"/>
              </w:rPr>
              <w:t xml:space="preserve">monitor.direction</w:t>
            </w:r>
          </w:p>
        </w:tc>
        <w:tc>
          <w:tcPr>
            <w:tcW w:type="dxa" w:w="1200"/>
            <w:tcBorders>
              <w:top w:val="single" w:color="D6D9DD" w:sz="1"/>
              <w:left w:val="single" w:color="D6D9DD" w:sz="1"/>
              <w:bottom w:val="single" w:color="D6D9DD" w:sz="1"/>
              <w:right w:val="single" w:color="D6D9DD" w:sz="1"/>
            </w:tcBorders>
            <w:shd w:fill="F7F8F9" w:val="clear"/>
            <w:tcMar>
              <w:top w:type="dxa" w:w="70"/>
              <w:left w:type="dxa" w:w="120"/>
              <w:bottom w:type="dxa" w:w="70"/>
              <w:right w:type="dxa" w:w="120"/>
            </w:tcMar>
          </w:tcPr>
          <w:p>
            <w:pPr>
              <w:spacing w:after="0" w:line="252"/>
            </w:pPr>
            <w:r>
              <w:rPr>
                <w:sz w:val="19"/>
                <w:szCs w:val="19"/>
              </w:rPr>
              <w:t xml:space="preserve">enum</w:t>
            </w:r>
          </w:p>
        </w:tc>
        <w:tc>
          <w:tcPr>
            <w:tcW w:type="dxa" w:w="3660"/>
            <w:tcBorders>
              <w:top w:val="single" w:color="D6D9DD" w:sz="1"/>
              <w:left w:val="single" w:color="D6D9DD" w:sz="1"/>
              <w:bottom w:val="single" w:color="D6D9DD" w:sz="1"/>
              <w:right w:val="single" w:color="D6D9DD" w:sz="1"/>
            </w:tcBorders>
            <w:shd w:fill="F7F8F9" w:val="clear"/>
            <w:tcMar>
              <w:top w:type="dxa" w:w="70"/>
              <w:left w:type="dxa" w:w="120"/>
              <w:bottom w:type="dxa" w:w="70"/>
              <w:right w:type="dxa" w:w="120"/>
            </w:tcMar>
          </w:tcPr>
          <w:p>
            <w:pPr>
              <w:spacing w:after="0" w:line="252"/>
            </w:pPr>
            <w:r>
              <w:rPr>
                <w:sz w:val="19"/>
                <w:szCs w:val="19"/>
              </w:rPr>
              <w:t xml:space="preserve">below=跌破触发,above=升破触发</w:t>
            </w:r>
          </w:p>
        </w:tc>
        <w:tc>
          <w:tcPr>
            <w:tcW w:type="dxa" w:w="2800"/>
            <w:tcBorders>
              <w:top w:val="single" w:color="D6D9DD" w:sz="1"/>
              <w:left w:val="single" w:color="D6D9DD" w:sz="1"/>
              <w:bottom w:val="single" w:color="D6D9DD" w:sz="1"/>
              <w:right w:val="single" w:color="D6D9DD" w:sz="1"/>
            </w:tcBorders>
            <w:shd w:fill="F7F8F9" w:val="clear"/>
            <w:tcMar>
              <w:top w:type="dxa" w:w="70"/>
              <w:left w:type="dxa" w:w="120"/>
              <w:bottom w:type="dxa" w:w="70"/>
              <w:right w:type="dxa" w:w="120"/>
            </w:tcMar>
          </w:tcPr>
          <w:p>
            <w:pPr>
              <w:spacing w:after="0" w:line="252"/>
            </w:pPr>
            <w:r>
              <w:rPr>
                <w:sz w:val="19"/>
                <w:szCs w:val="19"/>
              </w:rPr>
              <w:t xml:space="preserve">保留</w:t>
            </w:r>
          </w:p>
        </w:tc>
      </w:tr>
    </w:tbl>
    <w:p>
      <w:pPr>
        <w:pStyle w:val="Heading2"/>
      </w:pPr>
      <w:r>
        <w:t xml:space="preserve">3.2  regime.json</w:t>
      </w:r>
    </w:p>
    <w:p>
      <w:pPr>
        <w:spacing w:after="120" w:line="276"/>
      </w:pPr>
      <w:r>
        <w:t xml:space="preserve">移植 Gold </w:t>
      </w:r>
      <w:r>
        <w:rPr>
          <w:rFonts w:ascii="Consolas" w:cs="Consolas" w:eastAsia="Consolas" w:hAnsi="Consolas"/>
          <w:sz w:val="18"/>
          <w:szCs w:val="18"/>
        </w:rPr>
        <w:t xml:space="preserve">regime_v2.py</w:t>
      </w:r>
      <w:r>
        <w:t xml:space="preserve"> 的 L1–L4 结构。最终 </w:t>
      </w:r>
      <w:r>
        <w:rPr>
          <w:rFonts w:ascii="Consolas" w:cs="Consolas" w:eastAsia="Consolas" w:hAnsi="Consolas"/>
          <w:sz w:val="18"/>
          <w:szCs w:val="18"/>
        </w:rPr>
        <w:t xml:space="preserve">final_mult</w:t>
      </w:r>
      <w:r>
        <w:t xml:space="preserve"> 乘到目标总仓位 / Beta 上 —— 与黄金把乘数乘到单标的仓位上同构。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9DD" w:sz="1"/>
              <w:left w:val="single" w:color="D6D9DD" w:sz="1"/>
              <w:bottom w:val="single" w:color="D6D9DD" w:sz="1"/>
              <w:right w:val="single" w:color="D6D9DD" w:sz="1"/>
            </w:tcBorders>
            <w:shd w:fill="F2F4F5" w:val="clear"/>
            <w:tcMar>
              <w:top w:type="dxa" w:w="100"/>
              <w:left w:type="dxa" w:w="160"/>
              <w:bottom w:type="dxa" w:w="100"/>
              <w:right w:type="dxa" w:w="120"/>
            </w:tcMar>
          </w:tcPr>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"as_of": "2026-06-11",</w:t>
            </w:r>
          </w:p>
          <w:p>
            <w:pPr>
              <w:spacing w:after="0" w:line="240"/>
            </w:pPr>
            <w:r>
              <w:rPr>
                <w:rFonts w:ascii="Consolas" w:cs="Consolas" w:eastAsia="Consolas" w:hAnsi="Consolas"/>
                <w:sz w:val="18"/>
                <w:szCs w:val="18"/>
              </w:rPr>
              <w:t xml:space="preserve">  "verdict": { "season":"summer", "label":"盛夏 · 进攻为主",</w:t>
            </w:r>
          </w:p>
          <w:p>
            <w:pPr>
              <w:spacing w:after="0" w:line="240"/>
            </w:pPr>
            <w:r>
              <w:rPr>
                <w:rFonts w:ascii="Consolas" w:cs="Consolas" w:eastAsia="Consolas" w:hAnsi="Consolas"/>
                <w:sz w:val="18"/>
                <w:szCs w:val="18"/>
              </w:rPr>
              <w:t xml:space="preserve">               "gauge":0.78, "stance":"offense" },</w:t>
            </w:r>
          </w:p>
          <w:p>
            <w:pPr>
              <w:spacing w:after="0" w:line="240"/>
            </w:pPr>
            <w:r>
              <w:rPr>
                <w:rFonts w:ascii="Consolas" w:cs="Consolas" w:eastAsia="Consolas" w:hAnsi="Consolas"/>
                <w:sz w:val="18"/>
                <w:szCs w:val="18"/>
              </w:rPr>
              <w:t xml:space="preserve">  "final_mult": 1.18,</w:t>
            </w:r>
          </w:p>
          <w:p>
            <w:pPr>
              <w:spacing w:after="0" w:line="240"/>
            </w:pPr>
            <w:r>
              <w:rPr>
                <w:rFonts w:ascii="Consolas" w:cs="Consolas" w:eastAsia="Consolas" w:hAnsi="Consolas"/>
                <w:sz w:val="18"/>
                <w:szCs w:val="18"/>
              </w:rPr>
              <w:t xml:space="preserve">  "signals": [</w:t>
            </w:r>
          </w:p>
          <w:p>
            <w:pPr>
              <w:spacing w:after="0" w:line="240"/>
            </w:pPr>
            <w:r>
              <w:rPr>
                <w:rFonts w:ascii="Consolas" w:cs="Consolas" w:eastAsia="Consolas" w:hAnsi="Consolas"/>
                <w:sz w:val="18"/>
                <w:szCs w:val="18"/>
              </w:rPr>
              <w:t xml:space="preserve">    {"key":"capex_guidance","name":"超大厂 Capex 指引",</w:t>
            </w:r>
          </w:p>
          <w:p>
            <w:pPr>
              <w:spacing w:after="0" w:line="240"/>
            </w:pPr>
            <w:r>
              <w:rPr>
                <w:rFonts w:ascii="Consolas" w:cs="Consolas" w:eastAsia="Consolas" w:hAnsi="Consolas"/>
                <w:sz w:val="18"/>
                <w:szCs w:val="18"/>
              </w:rPr>
              <w:t xml:space="preserve">     "state":"up","is_master":true,"z":1.2},</w:t>
            </w:r>
          </w:p>
          <w:p>
            <w:pPr>
              <w:spacing w:after="0" w:line="240"/>
            </w:pPr>
            <w:r>
              <w:rPr>
                <w:rFonts w:ascii="Consolas" w:cs="Consolas" w:eastAsia="Consolas" w:hAnsi="Consolas"/>
                <w:sz w:val="18"/>
                <w:szCs w:val="18"/>
              </w:rPr>
              <w:t xml:space="preserve">    {"key":"liquidity","name":"流动性/利率","state":"neutral_loose","z":0.3},</w:t>
            </w:r>
          </w:p>
          <w:p>
            <w:pPr>
              <w:spacing w:after="0" w:line="240"/>
            </w:pPr>
            <w:r>
              <w:rPr>
                <w:rFonts w:ascii="Consolas" w:cs="Consolas" w:eastAsia="Consolas" w:hAnsi="Consolas"/>
                <w:sz w:val="18"/>
                <w:szCs w:val="18"/>
              </w:rPr>
              <w:t xml:space="preserve">    {"key":"inference_demand","name":"推理/Token 需求","state":"accelerating","z":1.5},</w:t>
            </w:r>
          </w:p>
          <w:p>
            <w:pPr>
              <w:spacing w:after="0" w:line="240"/>
            </w:pPr>
            <w:r>
              <w:rPr>
                <w:rFonts w:ascii="Consolas" w:cs="Consolas" w:eastAsia="Consolas" w:hAnsi="Consolas"/>
                <w:sz w:val="18"/>
                <w:szCs w:val="18"/>
              </w:rPr>
              <w:t xml:space="preserve">    {"key":"supply_power","name":"电力/供应链约束","state":"tightening","z":-0.8}</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"layers": {</w:t>
            </w:r>
          </w:p>
          <w:p>
            <w:pPr>
              <w:spacing w:after="0" w:line="240"/>
            </w:pPr>
            <w:r>
              <w:rPr>
                <w:rFonts w:ascii="Consolas" w:cs="Consolas" w:eastAsia="Consolas" w:hAnsi="Consolas"/>
                <w:sz w:val="18"/>
                <w:szCs w:val="18"/>
              </w:rPr>
              <w:t xml:space="preserve">    "L1_macro_quadrant":  {"quadrant":"overheating","mult":1.00},</w:t>
            </w:r>
          </w:p>
          <w:p>
            <w:pPr>
              <w:spacing w:after="0" w:line="240"/>
            </w:pPr>
            <w:r>
              <w:rPr>
                <w:rFonts w:ascii="Consolas" w:cs="Consolas" w:eastAsia="Consolas" w:hAnsi="Consolas"/>
                <w:sz w:val="18"/>
                <w:szCs w:val="18"/>
              </w:rPr>
              <w:t xml:space="preserve">    "L2_market_structure":{"state":"trending","adj":1.05},</w:t>
            </w:r>
          </w:p>
          <w:p>
            <w:pPr>
              <w:spacing w:after="0" w:line="240"/>
            </w:pPr>
            <w:r>
              <w:rPr>
                <w:rFonts w:ascii="Consolas" w:cs="Consolas" w:eastAsia="Consolas" w:hAnsi="Consolas"/>
                <w:sz w:val="18"/>
                <w:szCs w:val="18"/>
              </w:rPr>
              <w:t xml:space="preserve">    "L3_event_overlay":   {"delta":-0.05,"events":["supply_constraint"]},</w:t>
            </w:r>
          </w:p>
          <w:p>
            <w:pPr>
              <w:spacing w:after="0" w:line="240"/>
            </w:pPr>
            <w:r>
              <w:rPr>
                <w:rFonts w:ascii="Consolas" w:cs="Consolas" w:eastAsia="Consolas" w:hAnsi="Consolas"/>
                <w:sz w:val="18"/>
                <w:szCs w:val="18"/>
              </w:rPr>
              <w:t xml:space="preserve">    "L4_capex_cycle":     {"state":"capex_expansion","mult":1.10}</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F7A6B" w:sz="18"/>
              <w:bottom w:val="none"/>
              <w:right w:val="none"/>
            </w:tcBorders>
            <w:shd w:fill="DCEFEB" w:val="clear"/>
            <w:tcMar>
              <w:top w:type="dxa" w:w="100"/>
              <w:left w:type="dxa" w:w="180"/>
              <w:bottom w:type="dxa" w:w="100"/>
              <w:right w:type="dxa" w:w="140"/>
            </w:tcMar>
          </w:tcPr>
          <w:p>
            <w:pPr>
              <w:spacing w:after="0" w:line="264"/>
            </w:pPr>
            <w:r>
              <w:rPr>
                <w:rFonts w:ascii="Consolas" w:cs="Consolas" w:eastAsia="Consolas" w:hAnsi="Consolas"/>
                <w:sz w:val="18"/>
                <w:szCs w:val="18"/>
              </w:rPr>
              <w:t xml:space="preserve">final_mult = clip(L1.mult × L2.adj × (1 + L3.delta) × L4.mult, 0.5, 1.5)</w:t>
            </w:r>
            <w:r>
              <w:rPr>
                <w:i/>
                <w:iCs/>
              </w:rPr>
              <w:t xml:space="preserve">  —— 公式照搬 Gold;唯一改动是 L4 从「通胀状态机」换成「Capex 周期状态机」(expansion / digestion / contraction → ×1.10 / ×0.85 / ×0.6)。</w:t>
            </w:r>
          </w:p>
        </w:tc>
      </w:tr>
    </w:tbl>
    <w:p>
      <w:pPr>
        <w:pStyle w:val="Heading2"/>
      </w:pPr>
      <w:r>
        <w:t xml:space="preserve">3.3  exposure.json</w:t>
      </w:r>
    </w:p>
    <w:p>
      <w:pPr>
        <w:spacing w:after="120" w:line="276"/>
      </w:pPr>
      <w:r>
        <w:t xml:space="preserve">驱动曝露条、集中度与「假分散」预警。新增字段是黄金没有的(黄金单资产无组合相关性问题)。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9DD" w:sz="1"/>
              <w:left w:val="single" w:color="D6D9DD" w:sz="1"/>
              <w:bottom w:val="single" w:color="D6D9DD" w:sz="1"/>
              <w:right w:val="single" w:color="D6D9DD" w:sz="1"/>
            </w:tcBorders>
            <w:shd w:fill="F2F4F5" w:val="clear"/>
            <w:tcMar>
              <w:top w:type="dxa" w:w="100"/>
              <w:left w:type="dxa" w:w="160"/>
              <w:bottom w:type="dxa" w:w="100"/>
              <w:right w:type="dxa" w:w="120"/>
            </w:tcMar>
          </w:tcPr>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"segments": {"compute":0.39,"cloud":0.25,"app":0.14,"power":0.10,"cash":0.12},</w:t>
            </w:r>
          </w:p>
          <w:p>
            <w:pPr>
              <w:spacing w:after="0" w:line="240"/>
            </w:pPr>
            <w:r>
              <w:rPr>
                <w:rFonts w:ascii="Consolas" w:cs="Consolas" w:eastAsia="Consolas" w:hAnsi="Consolas"/>
                <w:sz w:val="18"/>
                <w:szCs w:val="18"/>
              </w:rPr>
              <w:t xml:space="preserve">  "segment_counts": {"compute":4,"cloud":3,"app":2,"power":1},</w:t>
            </w:r>
          </w:p>
          <w:p>
            <w:pPr>
              <w:spacing w:after="0" w:line="240"/>
            </w:pPr>
            <w:r>
              <w:rPr>
                <w:rFonts w:ascii="Consolas" w:cs="Consolas" w:eastAsia="Consolas" w:hAnsi="Consolas"/>
                <w:sz w:val="18"/>
                <w:szCs w:val="18"/>
              </w:rPr>
              <w:t xml:space="preserve">  "concentration": {"top1":0.15,"top3":0.35,"top5":0.52},</w:t>
            </w:r>
          </w:p>
          <w:p>
            <w:pPr>
              <w:spacing w:after="0" w:line="240"/>
            </w:pPr>
            <w:r>
              <w:rPr>
                <w:rFonts w:ascii="Consolas" w:cs="Consolas" w:eastAsia="Consolas" w:hAnsi="Consolas"/>
                <w:sz w:val="18"/>
                <w:szCs w:val="18"/>
              </w:rPr>
              <w:t xml:space="preserve">  "avg_correlation": 0.81,</w:t>
            </w:r>
          </w:p>
          <w:p>
            <w:pPr>
              <w:spacing w:after="0" w:line="240"/>
            </w:pPr>
            <w:r>
              <w:rPr>
                <w:rFonts w:ascii="Consolas" w:cs="Consolas" w:eastAsia="Consolas" w:hAnsi="Consolas"/>
                <w:sz w:val="18"/>
                <w:szCs w:val="18"/>
              </w:rPr>
              <w:t xml:space="preserve">  "capex_beta_high_count": 8,</w:t>
            </w:r>
          </w:p>
          <w:p>
            <w:pPr>
              <w:spacing w:after="0" w:line="240"/>
            </w:pPr>
            <w:r>
              <w:rPr>
                <w:rFonts w:ascii="Consolas" w:cs="Consolas" w:eastAsia="Consolas" w:hAnsi="Consolas"/>
                <w:sz w:val="18"/>
                <w:szCs w:val="18"/>
              </w:rPr>
              <w:t xml:space="preserve">  "independent_bets_est": 3,</w:t>
            </w:r>
          </w:p>
          <w:p>
            <w:pPr>
              <w:spacing w:after="0" w:line="240"/>
            </w:pPr>
            <w:r>
              <w:rPr>
                <w:rFonts w:ascii="Consolas" w:cs="Consolas" w:eastAsia="Consolas" w:hAnsi="Consolas"/>
                <w:sz w:val="18"/>
                <w:szCs w:val="18"/>
              </w:rPr>
              <w:t xml:space="preserve">  "correlation_matrix": [[1.0,0.74,...],[0.74,1.0,...], ...]</w:t>
            </w:r>
          </w:p>
          <w:p>
            <w:pPr>
              <w:spacing w:after="0" w:line="240"/>
            </w:pPr>
            <w:r>
              <w:rPr>
                <w:rFonts w:ascii="Consolas" w:cs="Consolas" w:eastAsia="Consolas" w:hAnsi="Consolas"/>
                <w:sz w:val="18"/>
                <w:szCs w:val="18"/>
              </w:rPr>
              <w:t xml:space="preserve">}</w:t>
            </w:r>
          </w:p>
        </w:tc>
      </w:tr>
    </w:tbl>
    <w:p>
      <w:pPr>
        <w:spacing w:after="120" w:line="276"/>
      </w:pPr>
      <w:r>
        <w:t xml:space="preserve">其中 </w:t>
      </w:r>
      <w:r>
        <w:rPr>
          <w:rFonts w:ascii="Consolas" w:cs="Consolas" w:eastAsia="Consolas" w:hAnsi="Consolas"/>
          <w:sz w:val="18"/>
          <w:szCs w:val="18"/>
        </w:rPr>
        <w:t xml:space="preserve">independent_bets_est</w:t>
      </w:r>
      <w:r>
        <w:t xml:space="preserve"> ≈ N / (1 + (N−1)·avg_corr) 的有效独立赌注数,是看板「真实判断 ≈ 3 注」那行字的来源,提醒组合的隐藏相关性。</w:t>
      </w:r>
    </w:p>
    <w:p>
      <w:pPr>
        <w:pStyle w:val="Heading2"/>
      </w:pPr>
      <w:r>
        <w:t xml:space="preserve">3.4  bench.json</w:t>
      </w:r>
    </w:p>
    <w:p>
      <w:pPr>
        <w:spacing w:after="120" w:line="276"/>
      </w:pPr>
      <w:r>
        <w:t xml:space="preserve">替换 </w:t>
      </w:r>
      <w:r>
        <w:rPr>
          <w:rFonts w:ascii="Consolas" w:cs="Consolas" w:eastAsia="Consolas" w:hAnsi="Consolas"/>
          <w:sz w:val="18"/>
          <w:szCs w:val="18"/>
        </w:rPr>
        <w:t xml:space="preserve">BENCH</w:t>
      </w:r>
      <w:r>
        <w:t xml:space="preserve">。备用池候补标的,每只标注 capex_beta 用于判断换仓是否改善分散。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9DD" w:sz="1"/>
              <w:left w:val="single" w:color="D6D9DD" w:sz="1"/>
              <w:bottom w:val="single" w:color="D6D9DD" w:sz="1"/>
              <w:right w:val="single" w:color="D6D9DD" w:sz="1"/>
            </w:tcBorders>
            <w:shd w:fill="F2F4F5" w:val="clear"/>
            <w:tcMar>
              <w:top w:type="dxa" w:w="100"/>
              <w:left w:type="dxa" w:w="160"/>
              <w:bottom w:type="dxa" w:w="100"/>
              <w:right w:type="dxa" w:w="120"/>
            </w:tcMar>
          </w:tcPr>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"candidates": [</w:t>
            </w:r>
          </w:p>
          <w:p>
            <w:pPr>
              <w:spacing w:after="0" w:line="240"/>
            </w:pPr>
            <w:r>
              <w:rPr>
                <w:rFonts w:ascii="Consolas" w:cs="Consolas" w:eastAsia="Consolas" w:hAnsi="Consolas"/>
                <w:sz w:val="18"/>
                <w:szCs w:val="18"/>
              </w:rPr>
              <w:t xml:space="preserve">    { "ticker":"CEG", "name":"Constellation", "layer":"power",</w:t>
            </w:r>
          </w:p>
          <w:p>
            <w:pPr>
              <w:spacing w:after="0" w:line="240"/>
            </w:pPr>
            <w:r>
              <w:rPr>
                <w:rFonts w:ascii="Consolas" w:cs="Consolas" w:eastAsia="Consolas" w:hAnsi="Consolas"/>
                <w:sz w:val="18"/>
                <w:szCs w:val="18"/>
              </w:rPr>
              <w:t xml:space="preserve">      "capex_beta":"low", "readiness":80,</w:t>
            </w:r>
          </w:p>
          <w:p>
            <w:pPr>
              <w:spacing w:after="0" w:line="240"/>
            </w:pPr>
            <w:r>
              <w:rPr>
                <w:rFonts w:ascii="Consolas" w:cs="Consolas" w:eastAsia="Consolas" w:hAnsi="Consolas"/>
                <w:sz w:val="18"/>
                <w:szCs w:val="18"/>
              </w:rPr>
              <w:t xml:space="preserve">      "thesis":"核电直供数据中心,驱动因子是电力周期,与算力叙事低相关",</w:t>
            </w:r>
          </w:p>
          <w:p>
            <w:pPr>
              <w:spacing w:after="0" w:line="240"/>
            </w:pPr>
            <w:r>
              <w:rPr>
                <w:rFonts w:ascii="Consolas" w:cs="Consolas" w:eastAsia="Consolas" w:hAnsi="Consolas"/>
                <w:sz w:val="18"/>
                <w:szCs w:val="18"/>
              </w:rPr>
              <w:t xml:space="preserve">      "catalyst":"数据中心供电协议 / 核电产能",</w:t>
            </w:r>
          </w:p>
          <w:p>
            <w:pPr>
              <w:spacing w:after="0" w:line="240"/>
            </w:pPr>
            <w:r>
              <w:rPr>
                <w:rFonts w:ascii="Consolas" w:cs="Consolas" w:eastAsia="Consolas" w:hAnsi="Consolas"/>
                <w:sz w:val="18"/>
                <w:szCs w:val="18"/>
              </w:rPr>
              <w:t xml:space="preserve">      "promotion_trigger":"组合 Capex-β 过高 → 用电力侧降系统性相关"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tc>
      </w:tr>
    </w:tbl>
    <w:p>
      <w:r>
        <w:br w:type="page"/>
      </w:r>
    </w:p>
    <w:p>
      <w:pPr>
        <w:pStyle w:val="Heading2"/>
      </w:pPr>
      <w:r>
        <w:t xml:space="preserve">3.5  alerts.json</w:t>
      </w:r>
    </w:p>
    <w:p>
      <w:pPr>
        <w:spacing w:after="120" w:line="276"/>
      </w:pPr>
      <w:r>
        <w:t xml:space="preserve">= Gold </w:t>
      </w:r>
      <w:r>
        <w:rPr>
          <w:rFonts w:ascii="Consolas" w:cs="Consolas" w:eastAsia="Consolas" w:hAnsi="Consolas"/>
          <w:sz w:val="18"/>
          <w:szCs w:val="18"/>
        </w:rPr>
        <w:t xml:space="preserve">circuit_breaker.json</w:t>
      </w:r>
      <w:r>
        <w:t xml:space="preserve"> 的适配版。两层:组合熔断(沿用黄金回撤阶梯)+ 个股预警。</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9DD" w:sz="1"/>
              <w:left w:val="single" w:color="D6D9DD" w:sz="1"/>
              <w:bottom w:val="single" w:color="D6D9DD" w:sz="1"/>
              <w:right w:val="single" w:color="D6D9DD" w:sz="1"/>
            </w:tcBorders>
            <w:shd w:fill="F2F4F5" w:val="clear"/>
            <w:tcMar>
              <w:top w:type="dxa" w:w="100"/>
              <w:left w:type="dxa" w:w="160"/>
              <w:bottom w:type="dxa" w:w="100"/>
              <w:right w:type="dxa" w:w="120"/>
            </w:tcMar>
          </w:tcPr>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"as_of": "2026-06-11",</w:t>
            </w:r>
          </w:p>
          <w:p>
            <w:pPr>
              <w:spacing w:after="0" w:line="240"/>
            </w:pPr>
            <w:r>
              <w:rPr>
                <w:rFonts w:ascii="Consolas" w:cs="Consolas" w:eastAsia="Consolas" w:hAnsi="Consolas"/>
                <w:sz w:val="18"/>
                <w:szCs w:val="18"/>
              </w:rPr>
              <w:t xml:space="preserve">  "circuit_breakers": [</w:t>
            </w:r>
          </w:p>
          <w:p>
            <w:pPr>
              <w:spacing w:after="0" w:line="240"/>
            </w:pPr>
            <w:r>
              <w:rPr>
                <w:rFonts w:ascii="Consolas" w:cs="Consolas" w:eastAsia="Consolas" w:hAnsi="Consolas"/>
                <w:sz w:val="18"/>
                <w:szCs w:val="18"/>
              </w:rPr>
              <w:t xml:space="preserve">    {"key":"drawdown","name":"回撤熔断","state":"normal","value":-0.042,</w:t>
            </w:r>
          </w:p>
          <w:p>
            <w:pPr>
              <w:spacing w:after="0" w:line="240"/>
            </w:pPr>
            <w:r>
              <w:rPr>
                <w:rFonts w:ascii="Consolas" w:cs="Consolas" w:eastAsia="Consolas" w:hAnsi="Consolas"/>
                <w:sz w:val="18"/>
                <w:szCs w:val="18"/>
              </w:rPr>
              <w:t xml:space="preserve">     "ladder":{"reduce":-0.05,"pause":-0.08,"liquidate":-0.15},"mult":1.0},</w:t>
            </w:r>
          </w:p>
          <w:p>
            <w:pPr>
              <w:spacing w:after="0" w:line="240"/>
            </w:pPr>
            <w:r>
              <w:rPr>
                <w:rFonts w:ascii="Consolas" w:cs="Consolas" w:eastAsia="Consolas" w:hAnsi="Consolas"/>
                <w:sz w:val="18"/>
                <w:szCs w:val="18"/>
              </w:rPr>
              <w:t xml:space="preserve">    {"key":"correlation","name":"相关性熔断","state":"watch",</w:t>
            </w:r>
          </w:p>
          <w:p>
            <w:pPr>
              <w:spacing w:after="0" w:line="240"/>
            </w:pPr>
            <w:r>
              <w:rPr>
                <w:rFonts w:ascii="Consolas" w:cs="Consolas" w:eastAsia="Consolas" w:hAnsi="Consolas"/>
                <w:sz w:val="18"/>
                <w:szCs w:val="18"/>
              </w:rPr>
              <w:t xml:space="preserve">     "value":0.81,"threshold":0.85,"mult":1.0},</w:t>
            </w:r>
          </w:p>
          <w:p>
            <w:pPr>
              <w:spacing w:after="0" w:line="240"/>
            </w:pPr>
            <w:r>
              <w:rPr>
                <w:rFonts w:ascii="Consolas" w:cs="Consolas" w:eastAsia="Consolas" w:hAnsi="Consolas"/>
                <w:sz w:val="18"/>
                <w:szCs w:val="18"/>
              </w:rPr>
              <w:t xml:space="preserve">    {"key":"ic_monitor","name":"信号有效性","state":"pending",</w:t>
            </w:r>
          </w:p>
          <w:p>
            <w:pPr>
              <w:spacing w:after="0" w:line="240"/>
            </w:pPr>
            <w:r>
              <w:rPr>
                <w:rFonts w:ascii="Consolas" w:cs="Consolas" w:eastAsia="Consolas" w:hAnsi="Consolas"/>
                <w:sz w:val="18"/>
                <w:szCs w:val="18"/>
              </w:rPr>
              <w:t xml:space="preserve">     "rolling_ic":null,"note":"接入真实数据后启用"}</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"stock_alerts": [</w:t>
            </w:r>
          </w:p>
          <w:p>
            <w:pPr>
              <w:spacing w:after="0" w:line="240"/>
            </w:pPr>
            <w:r>
              <w:rPr>
                <w:rFonts w:ascii="Consolas" w:cs="Consolas" w:eastAsia="Consolas" w:hAnsi="Consolas"/>
                <w:sz w:val="18"/>
                <w:szCs w:val="18"/>
              </w:rPr>
              <w:t xml:space="preserve">    {"ticker":"AMD","state":"fire","metric":"MI 数据中心 YoY",</w:t>
            </w:r>
          </w:p>
          <w:p>
            <w:pPr>
              <w:spacing w:after="0" w:line="240"/>
            </w:pPr>
            <w:r>
              <w:rPr>
                <w:rFonts w:ascii="Consolas" w:cs="Consolas" w:eastAsia="Consolas" w:hAnsi="Consolas"/>
                <w:sz w:val="18"/>
                <w:szCs w:val="18"/>
              </w:rPr>
              <w:t xml:space="preserve">     "current":38,"threshold":40,"direction":"below","push_target":"MU"}</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"portfolio_mult": 1.0</w:t>
            </w:r>
          </w:p>
          <w:p>
            <w:pPr>
              <w:spacing w:after="0" w:line="240"/>
            </w:pPr>
            <w:r>
              <w:rPr>
                <w:rFonts w:ascii="Consolas" w:cs="Consolas" w:eastAsia="Consolas" w:hAnsi="Consolas"/>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3000"/>
      </w:tblGrid>
      <w:tr>
        <w:trPr>
          <w:tblHeader/>
        </w:trPr>
        <w:tc>
          <w:tcPr>
            <w:tcW w:type="dxa" w:w="2600"/>
            <w:tcBorders>
              <w:top w:val="single" w:color="D6D9DD" w:sz="1"/>
              <w:left w:val="single" w:color="D6D9DD" w:sz="1"/>
              <w:bottom w:val="single" w:color="D6D9DD" w:sz="1"/>
              <w:right w:val="single" w:color="D6D9DD" w:sz="1"/>
            </w:tcBorders>
            <w:shd w:fill="0F7A6B" w:val="clear"/>
            <w:tcMar>
              <w:top w:type="dxa" w:w="70"/>
              <w:left w:type="dxa" w:w="120"/>
              <w:bottom w:type="dxa" w:w="70"/>
              <w:right w:type="dxa" w:w="120"/>
            </w:tcMar>
            <w:vAlign w:val="center"/>
          </w:tcPr>
          <w:p>
            <w:pPr>
              <w:spacing w:after="0"/>
            </w:pPr>
            <w:r>
              <w:rPr>
                <w:b/>
                <w:bCs/>
                <w:color w:val="FFFFFF"/>
                <w:sz w:val="19"/>
                <w:szCs w:val="19"/>
              </w:rPr>
              <w:t xml:space="preserve">字段</w:t>
            </w:r>
          </w:p>
        </w:tc>
        <w:tc>
          <w:tcPr>
            <w:tcW w:type="dxa" w:w="3760"/>
            <w:tcBorders>
              <w:top w:val="single" w:color="D6D9DD" w:sz="1"/>
              <w:left w:val="single" w:color="D6D9DD" w:sz="1"/>
              <w:bottom w:val="single" w:color="D6D9DD" w:sz="1"/>
              <w:right w:val="single" w:color="D6D9DD" w:sz="1"/>
            </w:tcBorders>
            <w:shd w:fill="0F7A6B" w:val="clear"/>
            <w:tcMar>
              <w:top w:type="dxa" w:w="70"/>
              <w:left w:type="dxa" w:w="120"/>
              <w:bottom w:type="dxa" w:w="70"/>
              <w:right w:type="dxa" w:w="120"/>
            </w:tcMar>
            <w:vAlign w:val="center"/>
          </w:tcPr>
          <w:p>
            <w:pPr>
              <w:spacing w:after="0"/>
            </w:pPr>
            <w:r>
              <w:rPr>
                <w:b/>
                <w:bCs/>
                <w:color w:val="FFFFFF"/>
                <w:sz w:val="19"/>
                <w:szCs w:val="19"/>
              </w:rPr>
              <w:t xml:space="preserve">含义</w:t>
            </w:r>
          </w:p>
        </w:tc>
        <w:tc>
          <w:tcPr>
            <w:tcW w:type="dxa" w:w="3000"/>
            <w:tcBorders>
              <w:top w:val="single" w:color="D6D9DD" w:sz="1"/>
              <w:left w:val="single" w:color="D6D9DD" w:sz="1"/>
              <w:bottom w:val="single" w:color="D6D9DD" w:sz="1"/>
              <w:right w:val="single" w:color="D6D9DD" w:sz="1"/>
            </w:tcBorders>
            <w:shd w:fill="0F7A6B" w:val="clear"/>
            <w:tcMar>
              <w:top w:type="dxa" w:w="70"/>
              <w:left w:type="dxa" w:w="120"/>
              <w:bottom w:type="dxa" w:w="70"/>
              <w:right w:type="dxa" w:w="120"/>
            </w:tcMar>
            <w:vAlign w:val="center"/>
          </w:tcPr>
          <w:p>
            <w:pPr>
              <w:spacing w:after="0"/>
            </w:pPr>
            <w:r>
              <w:rPr>
                <w:b/>
                <w:bCs/>
                <w:color w:val="FFFFFF"/>
                <w:sz w:val="19"/>
                <w:szCs w:val="19"/>
              </w:rPr>
              <w:t xml:space="preserve">复用自 Gold</w:t>
            </w:r>
          </w:p>
        </w:tc>
      </w:tr>
      <w:tr>
        <w:tc>
          <w:tcPr>
            <w:tcW w:type="dxa" w:w="2600"/>
            <w:tcBorders>
              <w:top w:val="single" w:color="D6D9DD" w:sz="1"/>
              <w:left w:val="single" w:color="D6D9DD" w:sz="1"/>
              <w:bottom w:val="single" w:color="D6D9DD" w:sz="1"/>
              <w:right w:val="single" w:color="D6D9DD" w:sz="1"/>
            </w:tcBorders>
            <w:shd w:fill="F7F8F9" w:val="clear"/>
            <w:tcMar>
              <w:top w:type="dxa" w:w="70"/>
              <w:left w:type="dxa" w:w="120"/>
              <w:bottom w:type="dxa" w:w="70"/>
              <w:right w:type="dxa" w:w="120"/>
            </w:tcMar>
          </w:tcPr>
          <w:p>
            <w:pPr>
              <w:spacing w:after="0" w:line="252"/>
            </w:pPr>
            <w:r>
              <w:rPr>
                <w:sz w:val="19"/>
                <w:szCs w:val="19"/>
              </w:rPr>
              <w:t xml:space="preserve">circuit_breakers[drawdown]</w:t>
            </w:r>
          </w:p>
        </w:tc>
        <w:tc>
          <w:tcPr>
            <w:tcW w:type="dxa" w:w="3760"/>
            <w:tcBorders>
              <w:top w:val="single" w:color="D6D9DD" w:sz="1"/>
              <w:left w:val="single" w:color="D6D9DD" w:sz="1"/>
              <w:bottom w:val="single" w:color="D6D9DD" w:sz="1"/>
              <w:right w:val="single" w:color="D6D9DD" w:sz="1"/>
            </w:tcBorders>
            <w:shd w:fill="F7F8F9" w:val="clear"/>
            <w:tcMar>
              <w:top w:type="dxa" w:w="70"/>
              <w:left w:type="dxa" w:w="120"/>
              <w:bottom w:type="dxa" w:w="70"/>
              <w:right w:type="dxa" w:w="120"/>
            </w:tcMar>
          </w:tcPr>
          <w:p>
            <w:pPr>
              <w:spacing w:after="0" w:line="252"/>
            </w:pPr>
            <w:r>
              <w:rPr>
                <w:sz w:val="19"/>
                <w:szCs w:val="19"/>
              </w:rPr>
              <w:t xml:space="preserve">月度回撤 5/8/15% → 减半/暂停/清仓</w:t>
            </w:r>
          </w:p>
        </w:tc>
        <w:tc>
          <w:tcPr>
            <w:tcW w:type="dxa" w:w="3000"/>
            <w:tcBorders>
              <w:top w:val="single" w:color="D6D9DD" w:sz="1"/>
              <w:left w:val="single" w:color="D6D9DD" w:sz="1"/>
              <w:bottom w:val="single" w:color="D6D9DD" w:sz="1"/>
              <w:right w:val="single" w:color="D6D9DD" w:sz="1"/>
            </w:tcBorders>
            <w:shd w:fill="F7F8F9" w:val="clear"/>
            <w:tcMar>
              <w:top w:type="dxa" w:w="70"/>
              <w:left w:type="dxa" w:w="120"/>
              <w:bottom w:type="dxa" w:w="70"/>
              <w:right w:type="dxa" w:w="120"/>
            </w:tcMar>
          </w:tcPr>
          <w:p>
            <w:pPr>
              <w:spacing w:after="0" w:line="252"/>
            </w:pPr>
            <w:r>
              <w:rPr>
                <w:sz w:val="19"/>
                <w:szCs w:val="19"/>
              </w:rPr>
              <w:t xml:space="preserve">circuit_breaker.py Layer A 直接搬</w:t>
            </w:r>
          </w:p>
        </w:tc>
      </w:tr>
      <w:tr>
        <w:tc>
          <w:tcPr>
            <w:tcW w:type="dxa" w:w="2600"/>
            <w:tcBorders>
              <w:top w:val="single" w:color="D6D9DD" w:sz="1"/>
              <w:left w:val="single" w:color="D6D9DD" w:sz="1"/>
              <w:bottom w:val="single" w:color="D6D9DD" w:sz="1"/>
              <w:right w:val="single" w:color="D6D9DD" w:sz="1"/>
            </w:tcBorders>
            <w:shd w:fill="FFFFFF" w:val="clear"/>
            <w:tcMar>
              <w:top w:type="dxa" w:w="70"/>
              <w:left w:type="dxa" w:w="120"/>
              <w:bottom w:type="dxa" w:w="70"/>
              <w:right w:type="dxa" w:w="120"/>
            </w:tcMar>
          </w:tcPr>
          <w:p>
            <w:pPr>
              <w:spacing w:after="0" w:line="252"/>
            </w:pPr>
            <w:r>
              <w:rPr>
                <w:sz w:val="19"/>
                <w:szCs w:val="19"/>
              </w:rPr>
              <w:t xml:space="preserve">circuit_breakers[ic_monitor]</w:t>
            </w:r>
          </w:p>
        </w:tc>
        <w:tc>
          <w:tcPr>
            <w:tcW w:type="dxa" w:w="3760"/>
            <w:tcBorders>
              <w:top w:val="single" w:color="D6D9DD" w:sz="1"/>
              <w:left w:val="single" w:color="D6D9DD" w:sz="1"/>
              <w:bottom w:val="single" w:color="D6D9DD" w:sz="1"/>
              <w:right w:val="single" w:color="D6D9DD" w:sz="1"/>
            </w:tcBorders>
            <w:shd w:fill="FFFFFF" w:val="clear"/>
            <w:tcMar>
              <w:top w:type="dxa" w:w="70"/>
              <w:left w:type="dxa" w:w="120"/>
              <w:bottom w:type="dxa" w:w="70"/>
              <w:right w:type="dxa" w:w="120"/>
            </w:tcMar>
          </w:tcPr>
          <w:p>
            <w:pPr>
              <w:spacing w:after="0" w:line="252"/>
            </w:pPr>
            <w:r>
              <w:rPr>
                <w:sz w:val="19"/>
                <w:szCs w:val="19"/>
              </w:rPr>
              <w:t xml:space="preserve">门控/选股近 60 日 IC 失效则缩仓</w:t>
            </w:r>
          </w:p>
        </w:tc>
        <w:tc>
          <w:tcPr>
            <w:tcW w:type="dxa" w:w="3000"/>
            <w:tcBorders>
              <w:top w:val="single" w:color="D6D9DD" w:sz="1"/>
              <w:left w:val="single" w:color="D6D9DD" w:sz="1"/>
              <w:bottom w:val="single" w:color="D6D9DD" w:sz="1"/>
              <w:right w:val="single" w:color="D6D9DD" w:sz="1"/>
            </w:tcBorders>
            <w:shd w:fill="FFFFFF" w:val="clear"/>
            <w:tcMar>
              <w:top w:type="dxa" w:w="70"/>
              <w:left w:type="dxa" w:w="120"/>
              <w:bottom w:type="dxa" w:w="70"/>
              <w:right w:type="dxa" w:w="120"/>
            </w:tcMar>
          </w:tcPr>
          <w:p>
            <w:pPr>
              <w:spacing w:after="0" w:line="252"/>
            </w:pPr>
            <w:r>
              <w:rPr>
                <w:sz w:val="19"/>
                <w:szCs w:val="19"/>
              </w:rPr>
              <w:t xml:space="preserve">Layer B;被监控信号由黄金20d预测换为本系统信号</w:t>
            </w:r>
          </w:p>
        </w:tc>
      </w:tr>
      <w:tr>
        <w:tc>
          <w:tcPr>
            <w:tcW w:type="dxa" w:w="2600"/>
            <w:tcBorders>
              <w:top w:val="single" w:color="D6D9DD" w:sz="1"/>
              <w:left w:val="single" w:color="D6D9DD" w:sz="1"/>
              <w:bottom w:val="single" w:color="D6D9DD" w:sz="1"/>
              <w:right w:val="single" w:color="D6D9DD" w:sz="1"/>
            </w:tcBorders>
            <w:shd w:fill="F7F8F9" w:val="clear"/>
            <w:tcMar>
              <w:top w:type="dxa" w:w="70"/>
              <w:left w:type="dxa" w:w="120"/>
              <w:bottom w:type="dxa" w:w="70"/>
              <w:right w:type="dxa" w:w="120"/>
            </w:tcMar>
          </w:tcPr>
          <w:p>
            <w:pPr>
              <w:spacing w:after="0" w:line="252"/>
            </w:pPr>
            <w:r>
              <w:rPr>
                <w:sz w:val="19"/>
                <w:szCs w:val="19"/>
              </w:rPr>
              <w:t xml:space="preserve">circuit_breakers[correlation]</w:t>
            </w:r>
          </w:p>
        </w:tc>
        <w:tc>
          <w:tcPr>
            <w:tcW w:type="dxa" w:w="3760"/>
            <w:tcBorders>
              <w:top w:val="single" w:color="D6D9DD" w:sz="1"/>
              <w:left w:val="single" w:color="D6D9DD" w:sz="1"/>
              <w:bottom w:val="single" w:color="D6D9DD" w:sz="1"/>
              <w:right w:val="single" w:color="D6D9DD" w:sz="1"/>
            </w:tcBorders>
            <w:shd w:fill="F7F8F9" w:val="clear"/>
            <w:tcMar>
              <w:top w:type="dxa" w:w="70"/>
              <w:left w:type="dxa" w:w="120"/>
              <w:bottom w:type="dxa" w:w="70"/>
              <w:right w:type="dxa" w:w="120"/>
            </w:tcMar>
          </w:tcPr>
          <w:p>
            <w:pPr>
              <w:spacing w:after="0" w:line="252"/>
            </w:pPr>
            <w:r>
              <w:rPr>
                <w:sz w:val="19"/>
                <w:szCs w:val="19"/>
              </w:rPr>
              <w:t xml:space="preserve">组合平均相关越线则减仓</w:t>
            </w:r>
          </w:p>
        </w:tc>
        <w:tc>
          <w:tcPr>
            <w:tcW w:type="dxa" w:w="3000"/>
            <w:tcBorders>
              <w:top w:val="single" w:color="D6D9DD" w:sz="1"/>
              <w:left w:val="single" w:color="D6D9DD" w:sz="1"/>
              <w:bottom w:val="single" w:color="D6D9DD" w:sz="1"/>
              <w:right w:val="single" w:color="D6D9DD" w:sz="1"/>
            </w:tcBorders>
            <w:shd w:fill="F7F8F9" w:val="clear"/>
            <w:tcMar>
              <w:top w:type="dxa" w:w="70"/>
              <w:left w:type="dxa" w:w="120"/>
              <w:bottom w:type="dxa" w:w="70"/>
              <w:right w:type="dxa" w:w="120"/>
            </w:tcMar>
          </w:tcPr>
          <w:p>
            <w:pPr>
              <w:spacing w:after="0" w:line="252"/>
            </w:pPr>
            <w:r>
              <w:rPr>
                <w:sz w:val="19"/>
                <w:szCs w:val="19"/>
              </w:rPr>
              <w:t xml:space="preserve">本系统新增(黄金单资产无此问题)</w:t>
            </w:r>
          </w:p>
        </w:tc>
      </w:tr>
      <w:tr>
        <w:tc>
          <w:tcPr>
            <w:tcW w:type="dxa" w:w="2600"/>
            <w:tcBorders>
              <w:top w:val="single" w:color="D6D9DD" w:sz="1"/>
              <w:left w:val="single" w:color="D6D9DD" w:sz="1"/>
              <w:bottom w:val="single" w:color="D6D9DD" w:sz="1"/>
              <w:right w:val="single" w:color="D6D9DD" w:sz="1"/>
            </w:tcBorders>
            <w:shd w:fill="FFFFFF" w:val="clear"/>
            <w:tcMar>
              <w:top w:type="dxa" w:w="70"/>
              <w:left w:type="dxa" w:w="120"/>
              <w:bottom w:type="dxa" w:w="70"/>
              <w:right w:type="dxa" w:w="120"/>
            </w:tcMar>
          </w:tcPr>
          <w:p>
            <w:pPr>
              <w:spacing w:after="0" w:line="252"/>
            </w:pPr>
            <w:r>
              <w:rPr>
                <w:sz w:val="19"/>
                <w:szCs w:val="19"/>
              </w:rPr>
              <w:t xml:space="preserve">stock_alerts[].state</w:t>
            </w:r>
          </w:p>
        </w:tc>
        <w:tc>
          <w:tcPr>
            <w:tcW w:type="dxa" w:w="3760"/>
            <w:tcBorders>
              <w:top w:val="single" w:color="D6D9DD" w:sz="1"/>
              <w:left w:val="single" w:color="D6D9DD" w:sz="1"/>
              <w:bottom w:val="single" w:color="D6D9DD" w:sz="1"/>
              <w:right w:val="single" w:color="D6D9DD" w:sz="1"/>
            </w:tcBorders>
            <w:shd w:fill="FFFFFF" w:val="clear"/>
            <w:tcMar>
              <w:top w:type="dxa" w:w="70"/>
              <w:left w:type="dxa" w:w="120"/>
              <w:bottom w:type="dxa" w:w="70"/>
              <w:right w:type="dxa" w:w="120"/>
            </w:tcMar>
          </w:tcPr>
          <w:p>
            <w:pPr>
              <w:spacing w:after="0" w:line="252"/>
            </w:pPr>
            <w:r>
              <w:rPr>
                <w:sz w:val="19"/>
                <w:szCs w:val="19"/>
              </w:rPr>
              <w:t xml:space="preserve">fire=触发 / watch=观察 / normal=正常</w:t>
            </w:r>
          </w:p>
        </w:tc>
        <w:tc>
          <w:tcPr>
            <w:tcW w:type="dxa" w:w="3000"/>
            <w:tcBorders>
              <w:top w:val="single" w:color="D6D9DD" w:sz="1"/>
              <w:left w:val="single" w:color="D6D9DD" w:sz="1"/>
              <w:bottom w:val="single" w:color="D6D9DD" w:sz="1"/>
              <w:right w:val="single" w:color="D6D9DD" w:sz="1"/>
            </w:tcBorders>
            <w:shd w:fill="FFFFFF" w:val="clear"/>
            <w:tcMar>
              <w:top w:type="dxa" w:w="70"/>
              <w:left w:type="dxa" w:w="120"/>
              <w:bottom w:type="dxa" w:w="70"/>
              <w:right w:type="dxa" w:w="120"/>
            </w:tcMar>
          </w:tcPr>
          <w:p>
            <w:pPr>
              <w:spacing w:after="0" w:line="252"/>
            </w:pPr>
            <w:r>
              <w:rPr>
                <w:sz w:val="19"/>
                <w:szCs w:val="19"/>
              </w:rPr>
              <w:t xml:space="preserve">信号分类思路同 inference 阈值分级</w:t>
            </w:r>
          </w:p>
        </w:tc>
      </w:tr>
      <w:tr>
        <w:tc>
          <w:tcPr>
            <w:tcW w:type="dxa" w:w="2600"/>
            <w:tcBorders>
              <w:top w:val="single" w:color="D6D9DD" w:sz="1"/>
              <w:left w:val="single" w:color="D6D9DD" w:sz="1"/>
              <w:bottom w:val="single" w:color="D6D9DD" w:sz="1"/>
              <w:right w:val="single" w:color="D6D9DD" w:sz="1"/>
            </w:tcBorders>
            <w:shd w:fill="F7F8F9" w:val="clear"/>
            <w:tcMar>
              <w:top w:type="dxa" w:w="70"/>
              <w:left w:type="dxa" w:w="120"/>
              <w:bottom w:type="dxa" w:w="70"/>
              <w:right w:type="dxa" w:w="120"/>
            </w:tcMar>
          </w:tcPr>
          <w:p>
            <w:pPr>
              <w:spacing w:after="0" w:line="252"/>
            </w:pPr>
            <w:r>
              <w:rPr>
                <w:sz w:val="19"/>
                <w:szCs w:val="19"/>
              </w:rPr>
              <w:t xml:space="preserve">portfolio_mult</w:t>
            </w:r>
          </w:p>
        </w:tc>
        <w:tc>
          <w:tcPr>
            <w:tcW w:type="dxa" w:w="3760"/>
            <w:tcBorders>
              <w:top w:val="single" w:color="D6D9DD" w:sz="1"/>
              <w:left w:val="single" w:color="D6D9DD" w:sz="1"/>
              <w:bottom w:val="single" w:color="D6D9DD" w:sz="1"/>
              <w:right w:val="single" w:color="D6D9DD" w:sz="1"/>
            </w:tcBorders>
            <w:shd w:fill="F7F8F9" w:val="clear"/>
            <w:tcMar>
              <w:top w:type="dxa" w:w="70"/>
              <w:left w:type="dxa" w:w="120"/>
              <w:bottom w:type="dxa" w:w="70"/>
              <w:right w:type="dxa" w:w="120"/>
            </w:tcMar>
          </w:tcPr>
          <w:p>
            <w:pPr>
              <w:spacing w:after="0" w:line="252"/>
            </w:pPr>
            <w:r>
              <w:rPr>
                <w:sz w:val="19"/>
                <w:szCs w:val="19"/>
              </w:rPr>
              <w:t xml:space="preserve">= min(各熔断 mult),乘到目标仓位</w:t>
            </w:r>
          </w:p>
        </w:tc>
        <w:tc>
          <w:tcPr>
            <w:tcW w:type="dxa" w:w="3000"/>
            <w:tcBorders>
              <w:top w:val="single" w:color="D6D9DD" w:sz="1"/>
              <w:left w:val="single" w:color="D6D9DD" w:sz="1"/>
              <w:bottom w:val="single" w:color="D6D9DD" w:sz="1"/>
              <w:right w:val="single" w:color="D6D9DD" w:sz="1"/>
            </w:tcBorders>
            <w:shd w:fill="F7F8F9" w:val="clear"/>
            <w:tcMar>
              <w:top w:type="dxa" w:w="70"/>
              <w:left w:type="dxa" w:w="120"/>
              <w:bottom w:type="dxa" w:w="70"/>
              <w:right w:type="dxa" w:w="120"/>
            </w:tcMar>
          </w:tcPr>
          <w:p>
            <w:pPr>
              <w:spacing w:after="0" w:line="252"/>
            </w:pPr>
            <w:r>
              <w:rPr>
                <w:sz w:val="19"/>
                <w:szCs w:val="19"/>
              </w:rPr>
              <w:t xml:space="preserve">两层取 min,同黄金</w:t>
            </w:r>
          </w:p>
        </w:tc>
      </w:tr>
    </w:tbl>
    <w:p>
      <w:pPr>
        <w:pStyle w:val="Heading2"/>
      </w:pPr>
      <w:r>
        <w:t xml:space="preserve">3.6  backtest.json</w:t>
      </w:r>
    </w:p>
    <w:p>
      <w:pPr>
        <w:spacing w:after="120" w:line="276"/>
      </w:pPr>
      <w:r>
        <w:t xml:space="preserve">合并 Gold 的 </w:t>
      </w:r>
      <w:r>
        <w:rPr>
          <w:rFonts w:ascii="Consolas" w:cs="Consolas" w:eastAsia="Consolas" w:hAnsi="Consolas"/>
          <w:sz w:val="18"/>
          <w:szCs w:val="18"/>
        </w:rPr>
        <w:t xml:space="preserve">equity_curve.json + account.json + cpcv_validation.json</w:t>
      </w:r>
      <w:r>
        <w:t xml:space="preserve">。注意 frequency 是再平衡频率,不是日频。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9DD" w:sz="1"/>
              <w:left w:val="single" w:color="D6D9DD" w:sz="1"/>
              <w:bottom w:val="single" w:color="D6D9DD" w:sz="1"/>
              <w:right w:val="single" w:color="D6D9DD" w:sz="1"/>
            </w:tcBorders>
            <w:shd w:fill="F2F4F5" w:val="clear"/>
            <w:tcMar>
              <w:top w:type="dxa" w:w="100"/>
              <w:left w:type="dxa" w:w="160"/>
              <w:bottom w:type="dxa" w:w="100"/>
              <w:right w:type="dxa" w:w="120"/>
            </w:tcMar>
          </w:tcPr>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"as_of": "2026-06-11", "frequency": "weekly",</w:t>
            </w:r>
          </w:p>
          <w:p>
            <w:pPr>
              <w:spacing w:after="0" w:line="240"/>
            </w:pPr>
            <w:r>
              <w:rPr>
                <w:rFonts w:ascii="Consolas" w:cs="Consolas" w:eastAsia="Consolas" w:hAnsi="Consolas"/>
                <w:sz w:val="18"/>
                <w:szCs w:val="18"/>
              </w:rPr>
              <w:t xml:space="preserve">  "equity_curve": {</w:t>
            </w:r>
          </w:p>
          <w:p>
            <w:pPr>
              <w:spacing w:after="0" w:line="240"/>
            </w:pPr>
            <w:r>
              <w:rPr>
                <w:rFonts w:ascii="Consolas" w:cs="Consolas" w:eastAsia="Consolas" w:hAnsi="Consolas"/>
                <w:sz w:val="18"/>
                <w:szCs w:val="18"/>
              </w:rPr>
              <w:t xml:space="preserve">    "dates": ["2023-06-09", "..."],</w:t>
            </w:r>
          </w:p>
          <w:p>
            <w:pPr>
              <w:spacing w:after="0" w:line="240"/>
            </w:pPr>
            <w:r>
              <w:rPr>
                <w:rFonts w:ascii="Consolas" w:cs="Consolas" w:eastAsia="Consolas" w:hAnsi="Consolas"/>
                <w:sz w:val="18"/>
                <w:szCs w:val="18"/>
              </w:rPr>
              <w:t xml:space="preserve">    "methodology": [100, "..."],</w:t>
            </w:r>
          </w:p>
          <w:p>
            <w:pPr>
              <w:spacing w:after="0" w:line="240"/>
            </w:pPr>
            <w:r>
              <w:rPr>
                <w:rFonts w:ascii="Consolas" w:cs="Consolas" w:eastAsia="Consolas" w:hAnsi="Consolas"/>
                <w:sz w:val="18"/>
                <w:szCs w:val="18"/>
              </w:rPr>
              <w:t xml:space="preserve">    "benchmark":   [100, "..."],</w:t>
            </w:r>
          </w:p>
          <w:p>
            <w:pPr>
              <w:spacing w:after="0" w:line="240"/>
            </w:pPr>
            <w:r>
              <w:rPr>
                <w:rFonts w:ascii="Consolas" w:cs="Consolas" w:eastAsia="Consolas" w:hAnsi="Consolas"/>
                <w:sz w:val="18"/>
                <w:szCs w:val="18"/>
              </w:rPr>
              <w:t xml:space="preserve">    "defensive_periods": [[40,52],[96,108]]</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"account": { "annualized":0.171, "max_drawdown":-0.143,</w:t>
            </w:r>
          </w:p>
          <w:p>
            <w:pPr>
              <w:spacing w:after="0" w:line="240"/>
            </w:pPr>
            <w:r>
              <w:rPr>
                <w:rFonts w:ascii="Consolas" w:cs="Consolas" w:eastAsia="Consolas" w:hAnsi="Consolas"/>
                <w:sz w:val="18"/>
                <w:szCs w:val="18"/>
              </w:rPr>
              <w:t xml:space="preserve">               "sharpe":1.42, "win_rate":0.58,</w:t>
            </w:r>
          </w:p>
          <w:p>
            <w:pPr>
              <w:spacing w:after="0" w:line="240"/>
            </w:pPr>
            <w:r>
              <w:rPr>
                <w:rFonts w:ascii="Consolas" w:cs="Consolas" w:eastAsia="Consolas" w:hAnsi="Consolas"/>
                <w:sz w:val="18"/>
                <w:szCs w:val="18"/>
              </w:rPr>
              <w:t xml:space="preserve">               "excess_vs_bench":0.061, "n_rebalances":36 },</w:t>
            </w:r>
          </w:p>
          <w:p>
            <w:pPr>
              <w:spacing w:after="0" w:line="240"/>
            </w:pPr>
            <w:r>
              <w:rPr>
                <w:rFonts w:ascii="Consolas" w:cs="Consolas" w:eastAsia="Consolas" w:hAnsi="Consolas"/>
                <w:sz w:val="18"/>
                <w:szCs w:val="18"/>
              </w:rPr>
              <w:t xml:space="preserve">  "contribution_bps": {"NVDA":142,"AVGO":71,"AMD":-22, "...":0},</w:t>
            </w:r>
          </w:p>
          <w:p>
            <w:pPr>
              <w:spacing w:after="0" w:line="240"/>
            </w:pPr>
            <w:r>
              <w:rPr>
                <w:rFonts w:ascii="Consolas" w:cs="Consolas" w:eastAsia="Consolas" w:hAnsi="Consolas"/>
                <w:sz w:val="18"/>
                <w:szCs w:val="18"/>
              </w:rPr>
              <w:t xml:space="preserve">  "validation": {</w:t>
            </w:r>
          </w:p>
          <w:p>
            <w:pPr>
              <w:spacing w:after="0" w:line="240"/>
            </w:pPr>
            <w:r>
              <w:rPr>
                <w:rFonts w:ascii="Consolas" w:cs="Consolas" w:eastAsia="Consolas" w:hAnsi="Consolas"/>
                <w:sz w:val="18"/>
                <w:szCs w:val="18"/>
              </w:rPr>
              <w:t xml:space="preserve">    "method":"CPCV", "n_paths":15, "median_sharpe":0.9,</w:t>
            </w:r>
          </w:p>
          <w:p>
            <w:pPr>
              <w:spacing w:after="0" w:line="240"/>
            </w:pPr>
            <w:r>
              <w:rPr>
                <w:rFonts w:ascii="Consolas" w:cs="Consolas" w:eastAsia="Consolas" w:hAnsi="Consolas"/>
                <w:sz w:val="18"/>
                <w:szCs w:val="18"/>
              </w:rPr>
              <w:t xml:space="preserve">    "p_value":0.21, "alpha_confirmed": false,</w:t>
            </w:r>
          </w:p>
          <w:p>
            <w:pPr>
              <w:spacing w:after="0" w:line="240"/>
            </w:pPr>
            <w:r>
              <w:rPr>
                <w:rFonts w:ascii="Consolas" w:cs="Consolas" w:eastAsia="Consolas" w:hAnsi="Consolas"/>
                <w:sz w:val="18"/>
                <w:szCs w:val="18"/>
              </w:rPr>
              <w:t xml:space="preserve">    "oos_start":"2025-10-01",</w:t>
            </w:r>
          </w:p>
          <w:p>
            <w:pPr>
              <w:spacing w:after="0" w:line="240"/>
            </w:pPr>
            <w:r>
              <w:rPr>
                <w:rFonts w:ascii="Consolas" w:cs="Consolas" w:eastAsia="Consolas" w:hAnsi="Consolas"/>
                <w:sz w:val="18"/>
                <w:szCs w:val="18"/>
              </w:rPr>
              <w:t xml:space="preserve">    "note":"AI Capex 周期样本不足,CPCV 统计力弱,alpha 多数情形不可确认"</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F7A6B" w:sz="18"/>
              <w:bottom w:val="none"/>
              <w:right w:val="none"/>
            </w:tcBorders>
            <w:shd w:fill="DCEFEB" w:val="clear"/>
            <w:tcMar>
              <w:top w:type="dxa" w:w="100"/>
              <w:left w:type="dxa" w:w="180"/>
              <w:bottom w:type="dxa" w:w="100"/>
              <w:right w:type="dxa" w:w="140"/>
            </w:tcMar>
          </w:tcPr>
          <w:p>
            <w:pPr>
              <w:spacing w:after="0" w:line="264"/>
            </w:pPr>
            <w:r>
              <w:rPr>
                <w:b/>
                <w:bCs/>
              </w:rPr>
              <w:t xml:space="preserve">沿用黄金铁律:</w:t>
            </w:r>
            <w:r>
              <w:rPr>
                <w:rFonts w:ascii="Consolas" w:cs="Consolas" w:eastAsia="Consolas" w:hAnsi="Consolas"/>
                <w:sz w:val="18"/>
                <w:szCs w:val="18"/>
              </w:rPr>
              <w:t xml:space="preserve">alpha_confirmed == false</w:t>
            </w:r>
            <w:r>
              <w:rPr>
                <w:i/>
                <w:iCs/>
              </w:rPr>
              <w:t xml:space="preserve"> 时不得再做任何回测/超参优化(会把噪音优化成假 alpha),应回到因子研究阶段。本系统因样本短,这一项大概率为 false —— 见 §7。</w:t>
            </w:r>
          </w:p>
        </w:tc>
      </w:tr>
    </w:tbl>
    <w:p>
      <w:pPr>
        <w:pStyle w:val="Heading2"/>
      </w:pPr>
      <w:r>
        <w:t xml:space="preserve">3.7  model_health.json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9DD" w:sz="1"/>
              <w:left w:val="single" w:color="D6D9DD" w:sz="1"/>
              <w:bottom w:val="single" w:color="D6D9DD" w:sz="1"/>
              <w:right w:val="single" w:color="D6D9DD" w:sz="1"/>
            </w:tcBorders>
            <w:shd w:fill="F2F4F5" w:val="clear"/>
            <w:tcMar>
              <w:top w:type="dxa" w:w="100"/>
              <w:left w:type="dxa" w:w="160"/>
              <w:bottom w:type="dxa" w:w="100"/>
              <w:right w:type="dxa" w:w="120"/>
            </w:tcMar>
          </w:tcPr>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"oos_ic": null,</w:t>
            </w:r>
          </w:p>
          <w:p>
            <w:pPr>
              <w:spacing w:after="0" w:line="240"/>
            </w:pPr>
            <w:r>
              <w:rPr>
                <w:rFonts w:ascii="Consolas" w:cs="Consolas" w:eastAsia="Consolas" w:hAnsi="Consolas"/>
                <w:sz w:val="18"/>
                <w:szCs w:val="18"/>
              </w:rPr>
              <w:t xml:space="preserve">  "factor_ic": {"capex_revision":null,"earnings_revision":null,</w:t>
            </w:r>
          </w:p>
          <w:p>
            <w:pPr>
              <w:spacing w:after="0" w:line="240"/>
            </w:pPr>
            <w:r>
              <w:rPr>
                <w:rFonts w:ascii="Consolas" w:cs="Consolas" w:eastAsia="Consolas" w:hAnsi="Consolas"/>
                <w:sz w:val="18"/>
                <w:szCs w:val="18"/>
              </w:rPr>
              <w:t xml:space="preserve">                "momentum":null,"valuation":null},</w:t>
            </w:r>
          </w:p>
          <w:p>
            <w:pPr>
              <w:spacing w:after="0" w:line="240"/>
            </w:pPr>
            <w:r>
              <w:rPr>
                <w:rFonts w:ascii="Consolas" w:cs="Consolas" w:eastAsia="Consolas" w:hAnsi="Consolas"/>
                <w:sz w:val="18"/>
                <w:szCs w:val="18"/>
              </w:rPr>
              <w:t xml:space="preserve">  "collinearity_warnings": [],</w:t>
            </w:r>
          </w:p>
          <w:p>
            <w:pPr>
              <w:spacing w:after="0" w:line="240"/>
            </w:pPr>
            <w:r>
              <w:rPr>
                <w:rFonts w:ascii="Consolas" w:cs="Consolas" w:eastAsia="Consolas" w:hAnsi="Consolas"/>
                <w:sz w:val="18"/>
                <w:szCs w:val="18"/>
              </w:rPr>
              <w:t xml:space="preserve">  "alpha_confirmed": false,</w:t>
            </w:r>
          </w:p>
          <w:p>
            <w:pPr>
              <w:spacing w:after="0" w:line="240"/>
            </w:pPr>
            <w:r>
              <w:rPr>
                <w:rFonts w:ascii="Consolas" w:cs="Consolas" w:eastAsia="Consolas" w:hAnsi="Consolas"/>
                <w:sz w:val="18"/>
                <w:szCs w:val="18"/>
              </w:rPr>
              <w:t xml:space="preserve">  "status": "demo"          // demo | live</w:t>
            </w:r>
          </w:p>
          <w:p>
            <w:pPr>
              <w:spacing w:after="0" w:line="240"/>
            </w:pPr>
            <w:r>
              <w:rPr>
                <w:rFonts w:ascii="Consolas" w:cs="Consolas" w:eastAsia="Consolas" w:hAnsi="Consolas"/>
                <w:sz w:val="18"/>
                <w:szCs w:val="18"/>
              </w:rPr>
              <w:t xml:space="preserve">}</w:t>
            </w:r>
          </w:p>
        </w:tc>
      </w:tr>
    </w:tbl>
    <w:p>
      <w:pPr>
        <w:spacing w:after="120" w:line="276"/>
      </w:pPr>
      <w:r>
        <w:t xml:space="preserve">点亮预警中心「信号有效性 (IC)」状态条的数据源。</w:t>
      </w:r>
      <w:r>
        <w:rPr>
          <w:rFonts w:ascii="Consolas" w:cs="Consolas" w:eastAsia="Consolas" w:hAnsi="Consolas"/>
          <w:sz w:val="18"/>
          <w:szCs w:val="18"/>
        </w:rPr>
        <w:t xml:space="preserve"> status:"demo"</w:t>
      </w:r>
      <w:r>
        <w:t xml:space="preserve"> 时前端应显示「待接入」而非假装有效。</w:t>
      </w:r>
    </w:p>
    <w:p>
      <w:r>
        <w:br w:type="page"/>
      </w:r>
    </w:p>
    <w:p>
      <w:pPr>
        <w:pStyle w:val="Heading1"/>
      </w:pPr>
      <w:r>
        <w:t xml:space="preserve">四 · 函数契约(输入 / 输出)</w:t>
      </w:r>
    </w:p>
    <w:p>
      <w:pPr>
        <w:spacing w:after="120" w:line="276"/>
      </w:pPr>
      <w:r>
        <w:t xml:space="preserve">引擎需实现的六个函数边界。看板已实现 simulate_rotation 的客户端版,其余在 SuperBox 后端实现并落盘为 §3 的 JSON。</w:t>
      </w:r>
    </w:p>
    <w:p>
      <w:pPr>
        <w:pStyle w:val="Heading3"/>
      </w:pPr>
      <w:r>
        <w:t xml:space="preserve">compute_regime(features) → regime.json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9DD" w:sz="1"/>
              <w:left w:val="single" w:color="D6D9DD" w:sz="1"/>
              <w:bottom w:val="single" w:color="D6D9DD" w:sz="1"/>
              <w:right w:val="single" w:color="D6D9DD" w:sz="1"/>
            </w:tcBorders>
            <w:shd w:fill="F2F4F5" w:val="clear"/>
            <w:tcMar>
              <w:top w:type="dxa" w:w="100"/>
              <w:left w:type="dxa" w:w="160"/>
              <w:bottom w:type="dxa" w:w="100"/>
              <w:right w:type="dxa" w:w="120"/>
            </w:tcMar>
          </w:tcPr>
          <w:p>
            <w:pPr>
              <w:spacing w:after="0" w:line="240"/>
            </w:pPr>
            <w:r>
              <w:rPr>
                <w:rFonts w:ascii="Consolas" w:cs="Consolas" w:eastAsia="Consolas" w:hAnsi="Consolas"/>
                <w:sz w:val="18"/>
                <w:szCs w:val="18"/>
              </w:rPr>
              <w:t xml:space="preserve">输入  features: { capex_revision_z, liquidity_z, token_growth_z,</w:t>
            </w:r>
          </w:p>
          <w:p>
            <w:pPr>
              <w:spacing w:after="0" w:line="240"/>
            </w:pPr>
            <w:r>
              <w:rPr>
                <w:rFonts w:ascii="Consolas" w:cs="Consolas" w:eastAsia="Consolas" w:hAnsi="Consolas"/>
                <w:sz w:val="18"/>
                <w:szCs w:val="18"/>
              </w:rPr>
              <w:t xml:space="preserve">                   power_constraint_z, macro_quadrant, hmm_state, events[] }</w:t>
            </w:r>
          </w:p>
          <w:p>
            <w:pPr>
              <w:spacing w:after="0" w:line="240"/>
            </w:pPr>
            <w:r>
              <w:rPr>
                <w:rFonts w:ascii="Consolas" w:cs="Consolas" w:eastAsia="Consolas" w:hAnsi="Consolas"/>
                <w:sz w:val="18"/>
                <w:szCs w:val="18"/>
              </w:rPr>
              <w:t xml:space="preserve">输出  regime.json (见 §3.2)</w:t>
            </w:r>
          </w:p>
          <w:p>
            <w:pPr>
              <w:spacing w:after="0" w:line="240"/>
            </w:pPr>
            <w:r>
              <w:rPr>
                <w:rFonts w:ascii="Consolas" w:cs="Consolas" w:eastAsia="Consolas" w:hAnsi="Consolas"/>
                <w:sz w:val="18"/>
                <w:szCs w:val="18"/>
              </w:rPr>
              <w:t xml:space="preserve">复用  regime_v2.py 全部;仅 L4 状态机重写为 Capex 周期</w:t>
            </w:r>
          </w:p>
        </w:tc>
      </w:tr>
    </w:tbl>
    <w:p>
      <w:pPr>
        <w:pStyle w:val="Heading3"/>
      </w:pPr>
      <w:r>
        <w:t xml:space="preserve">select_and_size(signals, regime, config) → target_weights[]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9DD" w:sz="1"/>
              <w:left w:val="single" w:color="D6D9DD" w:sz="1"/>
              <w:bottom w:val="single" w:color="D6D9DD" w:sz="1"/>
              <w:right w:val="single" w:color="D6D9DD" w:sz="1"/>
            </w:tcBorders>
            <w:shd w:fill="F2F4F5" w:val="clear"/>
            <w:tcMar>
              <w:top w:type="dxa" w:w="100"/>
              <w:left w:type="dxa" w:w="160"/>
              <w:bottom w:type="dxa" w:w="100"/>
              <w:right w:type="dxa" w:w="120"/>
            </w:tcMar>
          </w:tcPr>
          <w:p>
            <w:pPr>
              <w:spacing w:after="0" w:line="240"/>
            </w:pPr>
            <w:r>
              <w:rPr>
                <w:rFonts w:ascii="Consolas" w:cs="Consolas" w:eastAsia="Consolas" w:hAnsi="Consolas"/>
                <w:sz w:val="18"/>
                <w:szCs w:val="18"/>
              </w:rPr>
              <w:t xml:space="preserve">输入  signals: 截面排序或逐标的 {ticker, signal_strength, health}</w:t>
            </w:r>
          </w:p>
          <w:p>
            <w:pPr>
              <w:spacing w:after="0" w:line="240"/>
            </w:pPr>
            <w:r>
              <w:rPr>
                <w:rFonts w:ascii="Consolas" w:cs="Consolas" w:eastAsia="Consolas" w:hAnsi="Consolas"/>
                <w:sz w:val="18"/>
                <w:szCs w:val="18"/>
              </w:rPr>
              <w:t xml:space="preserve">      regime.final_mult, config (见 §6)</w:t>
            </w:r>
          </w:p>
          <w:p>
            <w:pPr>
              <w:spacing w:after="0" w:line="240"/>
            </w:pPr>
            <w:r>
              <w:rPr>
                <w:rFonts w:ascii="Consolas" w:cs="Consolas" w:eastAsia="Consolas" w:hAnsi="Consolas"/>
                <w:sz w:val="18"/>
                <w:szCs w:val="18"/>
              </w:rPr>
              <w:t xml:space="preserve">输出  [{ticker, target_weight}]  Σweight + cash = 1</w:t>
            </w:r>
          </w:p>
          <w:p>
            <w:pPr>
              <w:spacing w:after="0" w:line="240"/>
            </w:pPr>
            <w:r>
              <w:rPr>
                <w:rFonts w:ascii="Consolas" w:cs="Consolas" w:eastAsia="Consolas" w:hAnsi="Consolas"/>
                <w:sz w:val="18"/>
                <w:szCs w:val="18"/>
              </w:rPr>
              <w:t xml:space="preserve">逻辑  base = 组合风险预算 (Wilson下界 + 1/4 Kelly, 复用 kelly.py)</w:t>
            </w:r>
          </w:p>
          <w:p>
            <w:pPr>
              <w:spacing w:after="0" w:line="240"/>
            </w:pPr>
            <w:r>
              <w:rPr>
                <w:rFonts w:ascii="Consolas" w:cs="Consolas" w:eastAsia="Consolas" w:hAnsi="Consolas"/>
                <w:sz w:val="18"/>
                <w:szCs w:val="18"/>
              </w:rPr>
              <w:t xml:space="preserve">      weight_i = base_i × regime.final_mult × cb_mult</w:t>
            </w:r>
          </w:p>
          <w:p>
            <w:pPr>
              <w:spacing w:after="0" w:line="240"/>
            </w:pPr>
            <w:r>
              <w:rPr>
                <w:rFonts w:ascii="Consolas" w:cs="Consolas" w:eastAsia="Consolas" w:hAnsi="Consolas"/>
                <w:sz w:val="18"/>
                <w:szCs w:val="18"/>
              </w:rPr>
              <w:t xml:space="preserve">      约束: single ≤ SINGLE_NAME_CAP, top3 ≤ TOP3_CAP</w:t>
            </w:r>
          </w:p>
          <w:p>
            <w:pPr>
              <w:spacing w:after="0" w:line="240"/>
            </w:pPr>
            <w:r>
              <w:rPr>
                <w:rFonts w:ascii="Consolas" w:cs="Consolas" w:eastAsia="Consolas" w:hAnsi="Consolas"/>
                <w:sz w:val="18"/>
                <w:szCs w:val="18"/>
              </w:rPr>
              <w:t xml:space="preserve">适配  黄金「单注 Kelly」→ 本系统「组合内风险预算分配」(长多, 无做空)</w:t>
            </w:r>
          </w:p>
        </w:tc>
      </w:tr>
    </w:tbl>
    <w:p>
      <w:pPr>
        <w:pStyle w:val="Heading3"/>
      </w:pPr>
      <w:r>
        <w:t xml:space="preserve">run_backtest(prices, weights_history, regime_series, config) → backtest.json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9DD" w:sz="1"/>
              <w:left w:val="single" w:color="D6D9DD" w:sz="1"/>
              <w:bottom w:val="single" w:color="D6D9DD" w:sz="1"/>
              <w:right w:val="single" w:color="D6D9DD" w:sz="1"/>
            </w:tcBorders>
            <w:shd w:fill="F2F4F5" w:val="clear"/>
            <w:tcMar>
              <w:top w:type="dxa" w:w="100"/>
              <w:left w:type="dxa" w:w="160"/>
              <w:bottom w:type="dxa" w:w="100"/>
              <w:right w:type="dxa" w:w="120"/>
            </w:tcMar>
          </w:tcPr>
          <w:p>
            <w:pPr>
              <w:spacing w:after="0" w:line="240"/>
            </w:pPr>
            <w:r>
              <w:rPr>
                <w:rFonts w:ascii="Consolas" w:cs="Consolas" w:eastAsia="Consolas" w:hAnsi="Consolas"/>
                <w:sz w:val="18"/>
                <w:szCs w:val="18"/>
              </w:rPr>
              <w:t xml:space="preserve">输入  prices: 各标的历史价格; weights_history: 各再平衡日目标权重</w:t>
            </w:r>
          </w:p>
          <w:p>
            <w:pPr>
              <w:spacing w:after="0" w:line="240"/>
            </w:pPr>
            <w:r>
              <w:rPr>
                <w:rFonts w:ascii="Consolas" w:cs="Consolas" w:eastAsia="Consolas" w:hAnsi="Consolas"/>
                <w:sz w:val="18"/>
                <w:szCs w:val="18"/>
              </w:rPr>
              <w:t xml:space="preserve">      regime_series: 历史 final_mult; config</w:t>
            </w:r>
          </w:p>
          <w:p>
            <w:pPr>
              <w:spacing w:after="0" w:line="240"/>
            </w:pPr>
            <w:r>
              <w:rPr>
                <w:rFonts w:ascii="Consolas" w:cs="Consolas" w:eastAsia="Consolas" w:hAnsi="Consolas"/>
                <w:sz w:val="18"/>
                <w:szCs w:val="18"/>
              </w:rPr>
              <w:t xml:space="preserve">输出  backtest.json (见 §3.6)</w:t>
            </w:r>
          </w:p>
          <w:p>
            <w:pPr>
              <w:spacing w:after="0" w:line="240"/>
            </w:pPr>
            <w:r>
              <w:rPr>
                <w:rFonts w:ascii="Consolas" w:cs="Consolas" w:eastAsia="Consolas" w:hAnsi="Consolas"/>
                <w:sz w:val="18"/>
                <w:szCs w:val="18"/>
              </w:rPr>
              <w:t xml:space="preserve">适配  Gold 日频 ATR 移动止损 → 本系统按 REBALANCE_FREQ 再平衡;</w:t>
            </w:r>
          </w:p>
          <w:p>
            <w:pPr>
              <w:spacing w:after="0" w:line="240"/>
            </w:pPr>
            <w:r>
              <w:rPr>
                <w:rFonts w:ascii="Consolas" w:cs="Consolas" w:eastAsia="Consolas" w:hAnsi="Consolas"/>
                <w:sz w:val="18"/>
                <w:szCs w:val="18"/>
              </w:rPr>
              <w:t xml:space="preserve">      成本 TRADE_COST_BPS 仍单边计;防御期 = final_mult &lt; 1 的区间</w:t>
            </w:r>
          </w:p>
        </w:tc>
      </w:tr>
    </w:tbl>
    <w:p>
      <w:pPr>
        <w:pStyle w:val="Heading3"/>
      </w:pPr>
      <w:r>
        <w:t xml:space="preserve">compute_alerts(holdings, account, config) → alerts.json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9DD" w:sz="1"/>
              <w:left w:val="single" w:color="D6D9DD" w:sz="1"/>
              <w:bottom w:val="single" w:color="D6D9DD" w:sz="1"/>
              <w:right w:val="single" w:color="D6D9DD" w:sz="1"/>
            </w:tcBorders>
            <w:shd w:fill="F2F4F5" w:val="clear"/>
            <w:tcMar>
              <w:top w:type="dxa" w:w="100"/>
              <w:left w:type="dxa" w:w="160"/>
              <w:bottom w:type="dxa" w:w="100"/>
              <w:right w:type="dxa" w:w="120"/>
            </w:tcMar>
          </w:tcPr>
          <w:p>
            <w:pPr>
              <w:spacing w:after="0" w:line="240"/>
            </w:pPr>
            <w:r>
              <w:rPr>
                <w:rFonts w:ascii="Consolas" w:cs="Consolas" w:eastAsia="Consolas" w:hAnsi="Consolas"/>
                <w:sz w:val="18"/>
                <w:szCs w:val="18"/>
              </w:rPr>
              <w:t xml:space="preserve">输入  holdings (含 monitor 字段), account (含回撤), exposure (含相关性)</w:t>
            </w:r>
          </w:p>
          <w:p>
            <w:pPr>
              <w:spacing w:after="0" w:line="240"/>
            </w:pPr>
            <w:r>
              <w:rPr>
                <w:rFonts w:ascii="Consolas" w:cs="Consolas" w:eastAsia="Consolas" w:hAnsi="Consolas"/>
                <w:sz w:val="18"/>
                <w:szCs w:val="18"/>
              </w:rPr>
              <w:t xml:space="preserve">输出  alerts.json (见 §3.5)</w:t>
            </w:r>
          </w:p>
          <w:p>
            <w:pPr>
              <w:spacing w:after="0" w:line="240"/>
            </w:pPr>
            <w:r>
              <w:rPr>
                <w:rFonts w:ascii="Consolas" w:cs="Consolas" w:eastAsia="Consolas" w:hAnsi="Consolas"/>
                <w:sz w:val="18"/>
                <w:szCs w:val="18"/>
              </w:rPr>
              <w:t xml:space="preserve">逻辑  个股: monitor.current vs threshold → fire/watch/normal</w:t>
            </w:r>
          </w:p>
          <w:p>
            <w:pPr>
              <w:spacing w:after="0" w:line="240"/>
            </w:pPr>
            <w:r>
              <w:rPr>
                <w:rFonts w:ascii="Consolas" w:cs="Consolas" w:eastAsia="Consolas" w:hAnsi="Consolas"/>
                <w:sz w:val="18"/>
                <w:szCs w:val="18"/>
              </w:rPr>
              <w:t xml:space="preserve">      组合: 回撤阶梯 + 相关性阈值 + IC 监控, portfolio_mult = min(mult)</w:t>
            </w:r>
          </w:p>
          <w:p>
            <w:pPr>
              <w:spacing w:after="0" w:line="240"/>
            </w:pPr>
            <w:r>
              <w:rPr>
                <w:rFonts w:ascii="Consolas" w:cs="Consolas" w:eastAsia="Consolas" w:hAnsi="Consolas"/>
                <w:sz w:val="18"/>
                <w:szCs w:val="18"/>
              </w:rPr>
              <w:t xml:space="preserve">复用  circuit_breaker.py 几乎直接搬</w:t>
            </w:r>
          </w:p>
        </w:tc>
      </w:tr>
    </w:tbl>
    <w:p>
      <w:pPr>
        <w:pStyle w:val="Heading3"/>
      </w:pPr>
      <w:r>
        <w:t xml:space="preserve">simulate_rotation(holdings, out, in, bench) → {after, gates,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9DD" w:sz="1"/>
              <w:left w:val="single" w:color="D6D9DD" w:sz="1"/>
              <w:bottom w:val="single" w:color="D6D9DD" w:sz="1"/>
              <w:right w:val="single" w:color="D6D9DD" w:sz="1"/>
            </w:tcBorders>
            <w:shd w:fill="F2F4F5" w:val="clear"/>
            <w:tcMar>
              <w:top w:type="dxa" w:w="100"/>
              <w:left w:type="dxa" w:w="160"/>
              <w:bottom w:type="dxa" w:w="100"/>
              <w:right w:type="dxa" w:w="120"/>
            </w:tcMar>
          </w:tcPr>
          <w:p>
            <w:pPr>
              <w:spacing w:after="0" w:line="240"/>
            </w:pPr>
            <w:r>
              <w:rPr>
                <w:rFonts w:ascii="Consolas" w:cs="Consolas" w:eastAsia="Consolas" w:hAnsi="Consolas"/>
                <w:sz w:val="18"/>
                <w:szCs w:val="18"/>
              </w:rPr>
              <w:t xml:space="preserve">输入  当前 holdings, 换出 ticker, 换入 ticker, bench 池</w:t>
            </w:r>
          </w:p>
          <w:p>
            <w:pPr>
              <w:spacing w:after="0" w:line="240"/>
            </w:pPr>
            <w:r>
              <w:rPr>
                <w:rFonts w:ascii="Consolas" w:cs="Consolas" w:eastAsia="Consolas" w:hAnsi="Consolas"/>
                <w:sz w:val="18"/>
                <w:szCs w:val="18"/>
              </w:rPr>
              <w:t xml:space="preserve">输出  { after_exposure, gates:{g1_trigger,g2_candidate,g3_validation}, verdict }</w:t>
            </w:r>
          </w:p>
          <w:p>
            <w:pPr>
              <w:spacing w:after="0" w:line="240"/>
            </w:pPr>
            <w:r>
              <w:rPr>
                <w:rFonts w:ascii="Consolas" w:cs="Consolas" w:eastAsia="Consolas" w:hAnsi="Consolas"/>
                <w:sz w:val="18"/>
                <w:szCs w:val="18"/>
              </w:rPr>
              <w:t xml:space="preserve">逻辑  g1: out.health&lt;70 或触发器命中或段超配</w:t>
            </w:r>
          </w:p>
          <w:p>
            <w:pPr>
              <w:spacing w:after="0" w:line="240"/>
            </w:pPr>
            <w:r>
              <w:rPr>
                <w:rFonts w:ascii="Consolas" w:cs="Consolas" w:eastAsia="Consolas" w:hAnsi="Consolas"/>
                <w:sz w:val="18"/>
                <w:szCs w:val="18"/>
              </w:rPr>
              <w:t xml:space="preserve">      g2: in.readiness 达标且段位匹配</w:t>
            </w:r>
          </w:p>
          <w:p>
            <w:pPr>
              <w:spacing w:after="0" w:line="240"/>
            </w:pPr>
            <w:r>
              <w:rPr>
                <w:rFonts w:ascii="Consolas" w:cs="Consolas" w:eastAsia="Consolas" w:hAnsi="Consolas"/>
                <w:sz w:val="18"/>
                <w:szCs w:val="18"/>
              </w:rPr>
              <w:t xml:space="preserve">      g3: single≤18% 且 top3≤40% 且 capex_β高标的数不增加</w:t>
            </w:r>
          </w:p>
          <w:p>
            <w:pPr>
              <w:spacing w:after="0" w:line="240"/>
            </w:pPr>
            <w:r>
              <w:rPr>
                <w:rFonts w:ascii="Consolas" w:cs="Consolas" w:eastAsia="Consolas" w:hAnsi="Consolas"/>
                <w:sz w:val="18"/>
                <w:szCs w:val="18"/>
              </w:rPr>
              <w:t xml:space="preserve">状态  看板已实现客户端版;后端版用于批量/自动建议</w:t>
            </w:r>
          </w:p>
        </w:tc>
      </w:tr>
    </w:tbl>
    <w:p>
      <w:pPr>
        <w:pStyle w:val="Heading3"/>
      </w:pPr>
      <w:r>
        <w:t xml:space="preserve">validate_alpha(returns_paths) → {median_sharpe, p_value, alpha_confirmed}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9DD" w:sz="1"/>
              <w:left w:val="single" w:color="D6D9DD" w:sz="1"/>
              <w:bottom w:val="single" w:color="D6D9DD" w:sz="1"/>
              <w:right w:val="single" w:color="D6D9DD" w:sz="1"/>
            </w:tcBorders>
            <w:shd w:fill="F2F4F5" w:val="clear"/>
            <w:tcMar>
              <w:top w:type="dxa" w:w="100"/>
              <w:left w:type="dxa" w:w="160"/>
              <w:bottom w:type="dxa" w:w="100"/>
              <w:right w:type="dxa" w:w="120"/>
            </w:tcMar>
          </w:tcPr>
          <w:p>
            <w:pPr>
              <w:spacing w:after="0" w:line="240"/>
            </w:pPr>
            <w:r>
              <w:rPr>
                <w:rFonts w:ascii="Consolas" w:cs="Consolas" w:eastAsia="Consolas" w:hAnsi="Consolas"/>
                <w:sz w:val="18"/>
                <w:szCs w:val="18"/>
              </w:rPr>
              <w:t xml:space="preserve">输入  CPCV 15 条路径的收益序列</w:t>
            </w:r>
          </w:p>
          <w:p>
            <w:pPr>
              <w:spacing w:after="0" w:line="240"/>
            </w:pPr>
            <w:r>
              <w:rPr>
                <w:rFonts w:ascii="Consolas" w:cs="Consolas" w:eastAsia="Consolas" w:hAnsi="Consolas"/>
                <w:sz w:val="18"/>
                <w:szCs w:val="18"/>
              </w:rPr>
              <w:t xml:space="preserve">输出  { median_sharpe, p_value, alpha_confirmed }</w:t>
            </w:r>
          </w:p>
          <w:p>
            <w:pPr>
              <w:spacing w:after="0" w:line="240"/>
            </w:pPr>
            <w:r>
              <w:rPr>
                <w:rFonts w:ascii="Consolas" w:cs="Consolas" w:eastAsia="Consolas" w:hAnsi="Consolas"/>
                <w:sz w:val="18"/>
                <w:szCs w:val="18"/>
              </w:rPr>
              <w:t xml:space="preserve">判定  alpha_confirmed = (median_sharpe &gt; 0) AND (p_value &lt; 0.05)</w:t>
            </w:r>
          </w:p>
          <w:p>
            <w:pPr>
              <w:spacing w:after="0" w:line="240"/>
            </w:pPr>
            <w:r>
              <w:rPr>
                <w:rFonts w:ascii="Consolas" w:cs="Consolas" w:eastAsia="Consolas" w:hAnsi="Consolas"/>
                <w:sz w:val="18"/>
                <w:szCs w:val="18"/>
              </w:rPr>
              <w:t xml:space="preserve">复用  cpcv.py 直接搬;注意本系统样本短,统计力弱(见 §7)</w:t>
            </w:r>
          </w:p>
        </w:tc>
      </w:tr>
    </w:tbl>
    <w:p>
      <w:r>
        <w:br w:type="page"/>
      </w:r>
    </w:p>
    <w:p>
      <w:pPr>
        <w:pStyle w:val="Heading1"/>
      </w:pPr>
      <w:r>
        <w:t xml:space="preserve">五 · Gold Monitor 复用映射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5060"/>
      </w:tblGrid>
      <w:tr>
        <w:trPr>
          <w:tblHeader/>
        </w:trPr>
        <w:tc>
          <w:tcPr>
            <w:tcW w:type="dxa" w:w="3000"/>
            <w:tcBorders>
              <w:top w:val="single" w:color="D6D9DD" w:sz="1"/>
              <w:left w:val="single" w:color="D6D9DD" w:sz="1"/>
              <w:bottom w:val="single" w:color="D6D9DD" w:sz="1"/>
              <w:right w:val="single" w:color="D6D9DD" w:sz="1"/>
            </w:tcBorders>
            <w:shd w:fill="0F7A6B" w:val="clear"/>
            <w:tcMar>
              <w:top w:type="dxa" w:w="70"/>
              <w:left w:type="dxa" w:w="120"/>
              <w:bottom w:type="dxa" w:w="70"/>
              <w:right w:type="dxa" w:w="120"/>
            </w:tcMar>
            <w:vAlign w:val="center"/>
          </w:tcPr>
          <w:p>
            <w:pPr>
              <w:spacing w:after="0"/>
            </w:pPr>
            <w:r>
              <w:rPr>
                <w:b/>
                <w:bCs/>
                <w:color w:val="FFFFFF"/>
                <w:sz w:val="19"/>
                <w:szCs w:val="19"/>
              </w:rPr>
              <w:t xml:space="preserve">Gold 组件</w:t>
            </w:r>
          </w:p>
        </w:tc>
        <w:tc>
          <w:tcPr>
            <w:tcW w:type="dxa" w:w="1300"/>
            <w:tcBorders>
              <w:top w:val="single" w:color="D6D9DD" w:sz="1"/>
              <w:left w:val="single" w:color="D6D9DD" w:sz="1"/>
              <w:bottom w:val="single" w:color="D6D9DD" w:sz="1"/>
              <w:right w:val="single" w:color="D6D9DD" w:sz="1"/>
            </w:tcBorders>
            <w:shd w:fill="0F7A6B" w:val="clear"/>
            <w:tcMar>
              <w:top w:type="dxa" w:w="70"/>
              <w:left w:type="dxa" w:w="120"/>
              <w:bottom w:type="dxa" w:w="70"/>
              <w:right w:type="dxa" w:w="120"/>
            </w:tcMar>
            <w:vAlign w:val="center"/>
          </w:tcPr>
          <w:p>
            <w:pPr>
              <w:spacing w:after="0"/>
            </w:pPr>
            <w:r>
              <w:rPr>
                <w:b/>
                <w:bCs/>
                <w:color w:val="FFFFFF"/>
                <w:sz w:val="19"/>
                <w:szCs w:val="19"/>
              </w:rPr>
              <w:t xml:space="preserve">复用度</w:t>
            </w:r>
          </w:p>
        </w:tc>
        <w:tc>
          <w:tcPr>
            <w:tcW w:type="dxa" w:w="5060"/>
            <w:tcBorders>
              <w:top w:val="single" w:color="D6D9DD" w:sz="1"/>
              <w:left w:val="single" w:color="D6D9DD" w:sz="1"/>
              <w:bottom w:val="single" w:color="D6D9DD" w:sz="1"/>
              <w:right w:val="single" w:color="D6D9DD" w:sz="1"/>
            </w:tcBorders>
            <w:shd w:fill="0F7A6B" w:val="clear"/>
            <w:tcMar>
              <w:top w:type="dxa" w:w="70"/>
              <w:left w:type="dxa" w:w="120"/>
              <w:bottom w:type="dxa" w:w="70"/>
              <w:right w:type="dxa" w:w="120"/>
            </w:tcMar>
            <w:vAlign w:val="center"/>
          </w:tcPr>
          <w:p>
            <w:pPr>
              <w:spacing w:after="0"/>
            </w:pPr>
            <w:r>
              <w:rPr>
                <w:b/>
                <w:bCs/>
                <w:color w:val="FFFFFF"/>
                <w:sz w:val="19"/>
                <w:szCs w:val="19"/>
              </w:rPr>
              <w:t xml:space="preserve">搬到本系统要改什么</w:t>
            </w:r>
          </w:p>
        </w:tc>
      </w:tr>
      <w:tr>
        <w:tc>
          <w:tcPr>
            <w:tcW w:type="dxa" w:w="3000"/>
            <w:tcBorders>
              <w:top w:val="single" w:color="D6D9DD" w:sz="1"/>
              <w:left w:val="single" w:color="D6D9DD" w:sz="1"/>
              <w:bottom w:val="single" w:color="D6D9DD" w:sz="1"/>
              <w:right w:val="single" w:color="D6D9DD" w:sz="1"/>
            </w:tcBorders>
            <w:shd w:fill="F7F8F9" w:val="clear"/>
            <w:tcMar>
              <w:top w:type="dxa" w:w="70"/>
              <w:left w:type="dxa" w:w="120"/>
              <w:bottom w:type="dxa" w:w="70"/>
              <w:right w:type="dxa" w:w="120"/>
            </w:tcMar>
          </w:tcPr>
          <w:p>
            <w:pPr>
              <w:spacing w:after="0" w:line="252"/>
            </w:pPr>
            <w:r>
              <w:rPr>
                <w:sz w:val="19"/>
                <w:szCs w:val="19"/>
              </w:rPr>
              <w:t xml:space="preserve">L1–L4 体制 → final_mult</w:t>
            </w:r>
          </w:p>
        </w:tc>
        <w:tc>
          <w:tcPr>
            <w:tcW w:type="dxa" w:w="1300"/>
            <w:tcBorders>
              <w:top w:val="single" w:color="D6D9DD" w:sz="1"/>
              <w:left w:val="single" w:color="D6D9DD" w:sz="1"/>
              <w:bottom w:val="single" w:color="D6D9DD" w:sz="1"/>
              <w:right w:val="single" w:color="D6D9DD" w:sz="1"/>
            </w:tcBorders>
            <w:shd w:fill="F7F8F9" w:val="clear"/>
            <w:tcMar>
              <w:top w:type="dxa" w:w="70"/>
              <w:left w:type="dxa" w:w="120"/>
              <w:bottom w:type="dxa" w:w="70"/>
              <w:right w:type="dxa" w:w="120"/>
            </w:tcMar>
          </w:tcPr>
          <w:p>
            <w:pPr>
              <w:spacing w:after="0" w:line="252"/>
            </w:pPr>
            <w:r>
              <w:rPr>
                <w:sz w:val="19"/>
                <w:szCs w:val="19"/>
              </w:rPr>
              <w:t xml:space="preserve">★★★★★</w:t>
            </w:r>
          </w:p>
        </w:tc>
        <w:tc>
          <w:tcPr>
            <w:tcW w:type="dxa" w:w="5060"/>
            <w:tcBorders>
              <w:top w:val="single" w:color="D6D9DD" w:sz="1"/>
              <w:left w:val="single" w:color="D6D9DD" w:sz="1"/>
              <w:bottom w:val="single" w:color="D6D9DD" w:sz="1"/>
              <w:right w:val="single" w:color="D6D9DD" w:sz="1"/>
            </w:tcBorders>
            <w:shd w:fill="F7F8F9" w:val="clear"/>
            <w:tcMar>
              <w:top w:type="dxa" w:w="70"/>
              <w:left w:type="dxa" w:w="120"/>
              <w:bottom w:type="dxa" w:w="70"/>
              <w:right w:type="dxa" w:w="120"/>
            </w:tcMar>
          </w:tcPr>
          <w:p>
            <w:pPr>
              <w:spacing w:after="0" w:line="252"/>
            </w:pPr>
            <w:r>
              <w:rPr>
                <w:sz w:val="19"/>
                <w:szCs w:val="19"/>
              </w:rPr>
              <w:t xml:space="preserve">L1 宏观四象限可直接用;L4 通胀状态机 → Capex 周期状态机</w:t>
            </w:r>
          </w:p>
        </w:tc>
      </w:tr>
      <w:tr>
        <w:tc>
          <w:tcPr>
            <w:tcW w:type="dxa" w:w="3000"/>
            <w:tcBorders>
              <w:top w:val="single" w:color="D6D9DD" w:sz="1"/>
              <w:left w:val="single" w:color="D6D9DD" w:sz="1"/>
              <w:bottom w:val="single" w:color="D6D9DD" w:sz="1"/>
              <w:right w:val="single" w:color="D6D9DD" w:sz="1"/>
            </w:tcBorders>
            <w:shd w:fill="FFFFFF" w:val="clear"/>
            <w:tcMar>
              <w:top w:type="dxa" w:w="70"/>
              <w:left w:type="dxa" w:w="120"/>
              <w:bottom w:type="dxa" w:w="70"/>
              <w:right w:type="dxa" w:w="120"/>
            </w:tcMar>
          </w:tcPr>
          <w:p>
            <w:pPr>
              <w:spacing w:after="0" w:line="252"/>
            </w:pPr>
            <w:r>
              <w:rPr>
                <w:sz w:val="19"/>
                <w:szCs w:val="19"/>
              </w:rPr>
              <w:t xml:space="preserve">Circuit Breaker(回撤+IC)</w:t>
            </w:r>
          </w:p>
        </w:tc>
        <w:tc>
          <w:tcPr>
            <w:tcW w:type="dxa" w:w="1300"/>
            <w:tcBorders>
              <w:top w:val="single" w:color="D6D9DD" w:sz="1"/>
              <w:left w:val="single" w:color="D6D9DD" w:sz="1"/>
              <w:bottom w:val="single" w:color="D6D9DD" w:sz="1"/>
              <w:right w:val="single" w:color="D6D9DD" w:sz="1"/>
            </w:tcBorders>
            <w:shd w:fill="FFFFFF" w:val="clear"/>
            <w:tcMar>
              <w:top w:type="dxa" w:w="70"/>
              <w:left w:type="dxa" w:w="120"/>
              <w:bottom w:type="dxa" w:w="70"/>
              <w:right w:type="dxa" w:w="120"/>
            </w:tcMar>
          </w:tcPr>
          <w:p>
            <w:pPr>
              <w:spacing w:after="0" w:line="252"/>
            </w:pPr>
            <w:r>
              <w:rPr>
                <w:sz w:val="19"/>
                <w:szCs w:val="19"/>
              </w:rPr>
              <w:t xml:space="preserve">★★★★★</w:t>
            </w:r>
          </w:p>
        </w:tc>
        <w:tc>
          <w:tcPr>
            <w:tcW w:type="dxa" w:w="5060"/>
            <w:tcBorders>
              <w:top w:val="single" w:color="D6D9DD" w:sz="1"/>
              <w:left w:val="single" w:color="D6D9DD" w:sz="1"/>
              <w:bottom w:val="single" w:color="D6D9DD" w:sz="1"/>
              <w:right w:val="single" w:color="D6D9DD" w:sz="1"/>
            </w:tcBorders>
            <w:shd w:fill="FFFFFF" w:val="clear"/>
            <w:tcMar>
              <w:top w:type="dxa" w:w="70"/>
              <w:left w:type="dxa" w:w="120"/>
              <w:bottom w:type="dxa" w:w="70"/>
              <w:right w:type="dxa" w:w="120"/>
            </w:tcMar>
          </w:tcPr>
          <w:p>
            <w:pPr>
              <w:spacing w:after="0" w:line="252"/>
            </w:pPr>
            <w:r>
              <w:rPr>
                <w:sz w:val="19"/>
                <w:szCs w:val="19"/>
              </w:rPr>
              <w:t xml:space="preserve">回撤阶梯直接搬;IC 监控的被测信号换成本系统门控/选股</w:t>
            </w:r>
          </w:p>
        </w:tc>
      </w:tr>
      <w:tr>
        <w:tc>
          <w:tcPr>
            <w:tcW w:type="dxa" w:w="3000"/>
            <w:tcBorders>
              <w:top w:val="single" w:color="D6D9DD" w:sz="1"/>
              <w:left w:val="single" w:color="D6D9DD" w:sz="1"/>
              <w:bottom w:val="single" w:color="D6D9DD" w:sz="1"/>
              <w:right w:val="single" w:color="D6D9DD" w:sz="1"/>
            </w:tcBorders>
            <w:shd w:fill="F7F8F9" w:val="clear"/>
            <w:tcMar>
              <w:top w:type="dxa" w:w="70"/>
              <w:left w:type="dxa" w:w="120"/>
              <w:bottom w:type="dxa" w:w="70"/>
              <w:right w:type="dxa" w:w="120"/>
            </w:tcMar>
          </w:tcPr>
          <w:p>
            <w:pPr>
              <w:spacing w:after="0" w:line="252"/>
            </w:pPr>
            <w:r>
              <w:rPr>
                <w:sz w:val="19"/>
                <w:szCs w:val="19"/>
              </w:rPr>
              <w:t xml:space="preserve">JSON → 前端卡片契约</w:t>
            </w:r>
          </w:p>
        </w:tc>
        <w:tc>
          <w:tcPr>
            <w:tcW w:type="dxa" w:w="1300"/>
            <w:tcBorders>
              <w:top w:val="single" w:color="D6D9DD" w:sz="1"/>
              <w:left w:val="single" w:color="D6D9DD" w:sz="1"/>
              <w:bottom w:val="single" w:color="D6D9DD" w:sz="1"/>
              <w:right w:val="single" w:color="D6D9DD" w:sz="1"/>
            </w:tcBorders>
            <w:shd w:fill="F7F8F9" w:val="clear"/>
            <w:tcMar>
              <w:top w:type="dxa" w:w="70"/>
              <w:left w:type="dxa" w:w="120"/>
              <w:bottom w:type="dxa" w:w="70"/>
              <w:right w:type="dxa" w:w="120"/>
            </w:tcMar>
          </w:tcPr>
          <w:p>
            <w:pPr>
              <w:spacing w:after="0" w:line="252"/>
            </w:pPr>
            <w:r>
              <w:rPr>
                <w:sz w:val="19"/>
                <w:szCs w:val="19"/>
              </w:rPr>
              <w:t xml:space="preserve">★★★★★</w:t>
            </w:r>
          </w:p>
        </w:tc>
        <w:tc>
          <w:tcPr>
            <w:tcW w:type="dxa" w:w="5060"/>
            <w:tcBorders>
              <w:top w:val="single" w:color="D6D9DD" w:sz="1"/>
              <w:left w:val="single" w:color="D6D9DD" w:sz="1"/>
              <w:bottom w:val="single" w:color="D6D9DD" w:sz="1"/>
              <w:right w:val="single" w:color="D6D9DD" w:sz="1"/>
            </w:tcBorders>
            <w:shd w:fill="F7F8F9" w:val="clear"/>
            <w:tcMar>
              <w:top w:type="dxa" w:w="70"/>
              <w:left w:type="dxa" w:w="120"/>
              <w:bottom w:type="dxa" w:w="70"/>
              <w:right w:type="dxa" w:w="120"/>
            </w:tcMar>
          </w:tcPr>
          <w:p>
            <w:pPr>
              <w:spacing w:after="0" w:line="252"/>
            </w:pPr>
            <w:r>
              <w:rPr>
                <w:sz w:val="19"/>
                <w:szCs w:val="19"/>
              </w:rPr>
              <w:t xml:space="preserve">换成本文档 §3 的 7 个文件,渲染同构</w:t>
            </w:r>
          </w:p>
        </w:tc>
      </w:tr>
      <w:tr>
        <w:tc>
          <w:tcPr>
            <w:tcW w:type="dxa" w:w="3000"/>
            <w:tcBorders>
              <w:top w:val="single" w:color="D6D9DD" w:sz="1"/>
              <w:left w:val="single" w:color="D6D9DD" w:sz="1"/>
              <w:bottom w:val="single" w:color="D6D9DD" w:sz="1"/>
              <w:right w:val="single" w:color="D6D9DD" w:sz="1"/>
            </w:tcBorders>
            <w:shd w:fill="FFFFFF" w:val="clear"/>
            <w:tcMar>
              <w:top w:type="dxa" w:w="70"/>
              <w:left w:type="dxa" w:w="120"/>
              <w:bottom w:type="dxa" w:w="70"/>
              <w:right w:type="dxa" w:w="120"/>
            </w:tcMar>
          </w:tcPr>
          <w:p>
            <w:pPr>
              <w:spacing w:after="0" w:line="252"/>
            </w:pPr>
            <w:r>
              <w:rPr>
                <w:sz w:val="19"/>
                <w:szCs w:val="19"/>
              </w:rPr>
              <w:t xml:space="preserve">CPCV / Purged CV 验证</w:t>
            </w:r>
          </w:p>
        </w:tc>
        <w:tc>
          <w:tcPr>
            <w:tcW w:type="dxa" w:w="1300"/>
            <w:tcBorders>
              <w:top w:val="single" w:color="D6D9DD" w:sz="1"/>
              <w:left w:val="single" w:color="D6D9DD" w:sz="1"/>
              <w:bottom w:val="single" w:color="D6D9DD" w:sz="1"/>
              <w:right w:val="single" w:color="D6D9DD" w:sz="1"/>
            </w:tcBorders>
            <w:shd w:fill="FFFFFF" w:val="clear"/>
            <w:tcMar>
              <w:top w:type="dxa" w:w="70"/>
              <w:left w:type="dxa" w:w="120"/>
              <w:bottom w:type="dxa" w:w="70"/>
              <w:right w:type="dxa" w:w="120"/>
            </w:tcMar>
          </w:tcPr>
          <w:p>
            <w:pPr>
              <w:spacing w:after="0" w:line="252"/>
            </w:pPr>
            <w:r>
              <w:rPr>
                <w:sz w:val="19"/>
                <w:szCs w:val="19"/>
              </w:rPr>
              <w:t xml:space="preserve">★★★★☆</w:t>
            </w:r>
          </w:p>
        </w:tc>
        <w:tc>
          <w:tcPr>
            <w:tcW w:type="dxa" w:w="5060"/>
            <w:tcBorders>
              <w:top w:val="single" w:color="D6D9DD" w:sz="1"/>
              <w:left w:val="single" w:color="D6D9DD" w:sz="1"/>
              <w:bottom w:val="single" w:color="D6D9DD" w:sz="1"/>
              <w:right w:val="single" w:color="D6D9DD" w:sz="1"/>
            </w:tcBorders>
            <w:shd w:fill="FFFFFF" w:val="clear"/>
            <w:tcMar>
              <w:top w:type="dxa" w:w="70"/>
              <w:left w:type="dxa" w:w="120"/>
              <w:bottom w:type="dxa" w:w="70"/>
              <w:right w:type="dxa" w:w="120"/>
            </w:tcMar>
          </w:tcPr>
          <w:p>
            <w:pPr>
              <w:spacing w:after="0" w:line="252"/>
            </w:pPr>
            <w:r>
              <w:rPr>
                <w:sz w:val="19"/>
                <w:szCs w:val="19"/>
              </w:rPr>
              <w:t xml:space="preserve">验证纪律直接搬;样本短导致结论偏弱</w:t>
            </w:r>
          </w:p>
        </w:tc>
      </w:tr>
      <w:tr>
        <w:tc>
          <w:tcPr>
            <w:tcW w:type="dxa" w:w="3000"/>
            <w:tcBorders>
              <w:top w:val="single" w:color="D6D9DD" w:sz="1"/>
              <w:left w:val="single" w:color="D6D9DD" w:sz="1"/>
              <w:bottom w:val="single" w:color="D6D9DD" w:sz="1"/>
              <w:right w:val="single" w:color="D6D9DD" w:sz="1"/>
            </w:tcBorders>
            <w:shd w:fill="F7F8F9" w:val="clear"/>
            <w:tcMar>
              <w:top w:type="dxa" w:w="70"/>
              <w:left w:type="dxa" w:w="120"/>
              <w:bottom w:type="dxa" w:w="70"/>
              <w:right w:type="dxa" w:w="120"/>
            </w:tcMar>
          </w:tcPr>
          <w:p>
            <w:pPr>
              <w:spacing w:after="0" w:line="252"/>
            </w:pPr>
            <w:r>
              <w:rPr>
                <w:sz w:val="19"/>
                <w:szCs w:val="19"/>
              </w:rPr>
              <w:t xml:space="preserve">Kelly + Wilson 仓位</w:t>
            </w:r>
          </w:p>
        </w:tc>
        <w:tc>
          <w:tcPr>
            <w:tcW w:type="dxa" w:w="1300"/>
            <w:tcBorders>
              <w:top w:val="single" w:color="D6D9DD" w:sz="1"/>
              <w:left w:val="single" w:color="D6D9DD" w:sz="1"/>
              <w:bottom w:val="single" w:color="D6D9DD" w:sz="1"/>
              <w:right w:val="single" w:color="D6D9DD" w:sz="1"/>
            </w:tcBorders>
            <w:shd w:fill="F7F8F9" w:val="clear"/>
            <w:tcMar>
              <w:top w:type="dxa" w:w="70"/>
              <w:left w:type="dxa" w:w="120"/>
              <w:bottom w:type="dxa" w:w="70"/>
              <w:right w:type="dxa" w:w="120"/>
            </w:tcMar>
          </w:tcPr>
          <w:p>
            <w:pPr>
              <w:spacing w:after="0" w:line="252"/>
            </w:pPr>
            <w:r>
              <w:rPr>
                <w:sz w:val="19"/>
                <w:szCs w:val="19"/>
              </w:rPr>
              <w:t xml:space="preserve">★★★☆☆</w:t>
            </w:r>
          </w:p>
        </w:tc>
        <w:tc>
          <w:tcPr>
            <w:tcW w:type="dxa" w:w="5060"/>
            <w:tcBorders>
              <w:top w:val="single" w:color="D6D9DD" w:sz="1"/>
              <w:left w:val="single" w:color="D6D9DD" w:sz="1"/>
              <w:bottom w:val="single" w:color="D6D9DD" w:sz="1"/>
              <w:right w:val="single" w:color="D6D9DD" w:sz="1"/>
            </w:tcBorders>
            <w:shd w:fill="F7F8F9" w:val="clear"/>
            <w:tcMar>
              <w:top w:type="dxa" w:w="70"/>
              <w:left w:type="dxa" w:w="120"/>
              <w:bottom w:type="dxa" w:w="70"/>
              <w:right w:type="dxa" w:w="120"/>
            </w:tcMar>
          </w:tcPr>
          <w:p>
            <w:pPr>
              <w:spacing w:after="0" w:line="252"/>
            </w:pPr>
            <w:r>
              <w:rPr>
                <w:sz w:val="19"/>
                <w:szCs w:val="19"/>
              </w:rPr>
              <w:t xml:space="preserve">单注 → 组合风险预算分配</w:t>
            </w:r>
          </w:p>
        </w:tc>
      </w:tr>
      <w:tr>
        <w:tc>
          <w:tcPr>
            <w:tcW w:type="dxa" w:w="3000"/>
            <w:tcBorders>
              <w:top w:val="single" w:color="D6D9DD" w:sz="1"/>
              <w:left w:val="single" w:color="D6D9DD" w:sz="1"/>
              <w:bottom w:val="single" w:color="D6D9DD" w:sz="1"/>
              <w:right w:val="single" w:color="D6D9DD" w:sz="1"/>
            </w:tcBorders>
            <w:shd w:fill="FFFFFF" w:val="clear"/>
            <w:tcMar>
              <w:top w:type="dxa" w:w="70"/>
              <w:left w:type="dxa" w:w="120"/>
              <w:bottom w:type="dxa" w:w="70"/>
              <w:right w:type="dxa" w:w="120"/>
            </w:tcMar>
          </w:tcPr>
          <w:p>
            <w:pPr>
              <w:spacing w:after="0" w:line="252"/>
            </w:pPr>
            <w:r>
              <w:rPr>
                <w:sz w:val="19"/>
                <w:szCs w:val="19"/>
              </w:rPr>
              <w:t xml:space="preserve">8 个黄金因子</w:t>
            </w:r>
          </w:p>
        </w:tc>
        <w:tc>
          <w:tcPr>
            <w:tcW w:type="dxa" w:w="1300"/>
            <w:tcBorders>
              <w:top w:val="single" w:color="D6D9DD" w:sz="1"/>
              <w:left w:val="single" w:color="D6D9DD" w:sz="1"/>
              <w:bottom w:val="single" w:color="D6D9DD" w:sz="1"/>
              <w:right w:val="single" w:color="D6D9DD" w:sz="1"/>
            </w:tcBorders>
            <w:shd w:fill="FFFFFF" w:val="clear"/>
            <w:tcMar>
              <w:top w:type="dxa" w:w="70"/>
              <w:left w:type="dxa" w:w="120"/>
              <w:bottom w:type="dxa" w:w="70"/>
              <w:right w:type="dxa" w:w="120"/>
            </w:tcMar>
          </w:tcPr>
          <w:p>
            <w:pPr>
              <w:spacing w:after="0" w:line="252"/>
            </w:pPr>
            <w:r>
              <w:rPr>
                <w:sz w:val="19"/>
                <w:szCs w:val="19"/>
              </w:rPr>
              <w:t xml:space="preserve">★☆☆☆☆</w:t>
            </w:r>
          </w:p>
        </w:tc>
        <w:tc>
          <w:tcPr>
            <w:tcW w:type="dxa" w:w="5060"/>
            <w:tcBorders>
              <w:top w:val="single" w:color="D6D9DD" w:sz="1"/>
              <w:left w:val="single" w:color="D6D9DD" w:sz="1"/>
              <w:bottom w:val="single" w:color="D6D9DD" w:sz="1"/>
              <w:right w:val="single" w:color="D6D9DD" w:sz="1"/>
            </w:tcBorders>
            <w:shd w:fill="FFFFFF" w:val="clear"/>
            <w:tcMar>
              <w:top w:type="dxa" w:w="70"/>
              <w:left w:type="dxa" w:w="120"/>
              <w:bottom w:type="dxa" w:w="70"/>
              <w:right w:type="dxa" w:w="120"/>
            </w:tcMar>
          </w:tcPr>
          <w:p>
            <w:pPr>
              <w:spacing w:after="0" w:line="252"/>
            </w:pPr>
            <w:r>
              <w:rPr>
                <w:sz w:val="19"/>
                <w:szCs w:val="19"/>
              </w:rPr>
              <w:t xml:space="preserve">几乎全换为 AI 生态因子</w:t>
            </w:r>
          </w:p>
        </w:tc>
      </w:tr>
      <w:tr>
        <w:tc>
          <w:tcPr>
            <w:tcW w:type="dxa" w:w="3000"/>
            <w:tcBorders>
              <w:top w:val="single" w:color="D6D9DD" w:sz="1"/>
              <w:left w:val="single" w:color="D6D9DD" w:sz="1"/>
              <w:bottom w:val="single" w:color="D6D9DD" w:sz="1"/>
              <w:right w:val="single" w:color="D6D9DD" w:sz="1"/>
            </w:tcBorders>
            <w:shd w:fill="F7F8F9" w:val="clear"/>
            <w:tcMar>
              <w:top w:type="dxa" w:w="70"/>
              <w:left w:type="dxa" w:w="120"/>
              <w:bottom w:type="dxa" w:w="70"/>
              <w:right w:type="dxa" w:w="120"/>
            </w:tcMar>
          </w:tcPr>
          <w:p>
            <w:pPr>
              <w:spacing w:after="0" w:line="252"/>
            </w:pPr>
            <w:r>
              <w:rPr>
                <w:sz w:val="19"/>
                <w:szCs w:val="19"/>
              </w:rPr>
              <w:t xml:space="preserve">XGBoost 单资产方向预测</w:t>
            </w:r>
          </w:p>
        </w:tc>
        <w:tc>
          <w:tcPr>
            <w:tcW w:type="dxa" w:w="1300"/>
            <w:tcBorders>
              <w:top w:val="single" w:color="D6D9DD" w:sz="1"/>
              <w:left w:val="single" w:color="D6D9DD" w:sz="1"/>
              <w:bottom w:val="single" w:color="D6D9DD" w:sz="1"/>
              <w:right w:val="single" w:color="D6D9DD" w:sz="1"/>
            </w:tcBorders>
            <w:shd w:fill="F7F8F9" w:val="clear"/>
            <w:tcMar>
              <w:top w:type="dxa" w:w="70"/>
              <w:left w:type="dxa" w:w="120"/>
              <w:bottom w:type="dxa" w:w="70"/>
              <w:right w:type="dxa" w:w="120"/>
            </w:tcMar>
          </w:tcPr>
          <w:p>
            <w:pPr>
              <w:spacing w:after="0" w:line="252"/>
            </w:pPr>
            <w:r>
              <w:rPr>
                <w:sz w:val="19"/>
                <w:szCs w:val="19"/>
              </w:rPr>
              <w:t xml:space="preserve">★★☆☆☆</w:t>
            </w:r>
          </w:p>
        </w:tc>
        <w:tc>
          <w:tcPr>
            <w:tcW w:type="dxa" w:w="5060"/>
            <w:tcBorders>
              <w:top w:val="single" w:color="D6D9DD" w:sz="1"/>
              <w:left w:val="single" w:color="D6D9DD" w:sz="1"/>
              <w:bottom w:val="single" w:color="D6D9DD" w:sz="1"/>
              <w:right w:val="single" w:color="D6D9DD" w:sz="1"/>
            </w:tcBorders>
            <w:shd w:fill="F7F8F9" w:val="clear"/>
            <w:tcMar>
              <w:top w:type="dxa" w:w="70"/>
              <w:left w:type="dxa" w:w="120"/>
              <w:bottom w:type="dxa" w:w="70"/>
              <w:right w:type="dxa" w:w="120"/>
            </w:tcMar>
          </w:tcPr>
          <w:p>
            <w:pPr>
              <w:spacing w:after="0" w:line="252"/>
            </w:pPr>
            <w:r>
              <w:rPr>
                <w:sz w:val="19"/>
                <w:szCs w:val="19"/>
              </w:rPr>
              <w:t xml:space="preserve">单资产 → 截面排序;target/label 重设计</w:t>
            </w:r>
          </w:p>
        </w:tc>
      </w:tr>
      <w:tr>
        <w:tc>
          <w:tcPr>
            <w:tcW w:type="dxa" w:w="3000"/>
            <w:tcBorders>
              <w:top w:val="single" w:color="D6D9DD" w:sz="1"/>
              <w:left w:val="single" w:color="D6D9DD" w:sz="1"/>
              <w:bottom w:val="single" w:color="D6D9DD" w:sz="1"/>
              <w:right w:val="single" w:color="D6D9DD" w:sz="1"/>
            </w:tcBorders>
            <w:shd w:fill="FFFFFF" w:val="clear"/>
            <w:tcMar>
              <w:top w:type="dxa" w:w="70"/>
              <w:left w:type="dxa" w:w="120"/>
              <w:bottom w:type="dxa" w:w="70"/>
              <w:right w:type="dxa" w:w="120"/>
            </w:tcMar>
          </w:tcPr>
          <w:p>
            <w:pPr>
              <w:spacing w:after="0" w:line="252"/>
            </w:pPr>
            <w:r>
              <w:rPr>
                <w:sz w:val="19"/>
                <w:szCs w:val="19"/>
              </w:rPr>
              <w:t xml:space="preserve">日级 ATR 止损回测引擎</w:t>
            </w:r>
          </w:p>
        </w:tc>
        <w:tc>
          <w:tcPr>
            <w:tcW w:type="dxa" w:w="1300"/>
            <w:tcBorders>
              <w:top w:val="single" w:color="D6D9DD" w:sz="1"/>
              <w:left w:val="single" w:color="D6D9DD" w:sz="1"/>
              <w:bottom w:val="single" w:color="D6D9DD" w:sz="1"/>
              <w:right w:val="single" w:color="D6D9DD" w:sz="1"/>
            </w:tcBorders>
            <w:shd w:fill="FFFFFF" w:val="clear"/>
            <w:tcMar>
              <w:top w:type="dxa" w:w="70"/>
              <w:left w:type="dxa" w:w="120"/>
              <w:bottom w:type="dxa" w:w="70"/>
              <w:right w:type="dxa" w:w="120"/>
            </w:tcMar>
          </w:tcPr>
          <w:p>
            <w:pPr>
              <w:spacing w:after="0" w:line="252"/>
            </w:pPr>
            <w:r>
              <w:rPr>
                <w:sz w:val="19"/>
                <w:szCs w:val="19"/>
              </w:rPr>
              <w:t xml:space="preserve">★★☆☆☆</w:t>
            </w:r>
          </w:p>
        </w:tc>
        <w:tc>
          <w:tcPr>
            <w:tcW w:type="dxa" w:w="5060"/>
            <w:tcBorders>
              <w:top w:val="single" w:color="D6D9DD" w:sz="1"/>
              <w:left w:val="single" w:color="D6D9DD" w:sz="1"/>
              <w:bottom w:val="single" w:color="D6D9DD" w:sz="1"/>
              <w:right w:val="single" w:color="D6D9DD" w:sz="1"/>
            </w:tcBorders>
            <w:shd w:fill="FFFFFF" w:val="clear"/>
            <w:tcMar>
              <w:top w:type="dxa" w:w="70"/>
              <w:left w:type="dxa" w:w="120"/>
              <w:bottom w:type="dxa" w:w="70"/>
              <w:right w:type="dxa" w:w="120"/>
            </w:tcMar>
          </w:tcPr>
          <w:p>
            <w:pPr>
              <w:spacing w:after="0" w:line="252"/>
            </w:pPr>
            <w:r>
              <w:rPr>
                <w:sz w:val="19"/>
                <w:szCs w:val="19"/>
              </w:rPr>
              <w:t xml:space="preserve">日频止损 → 再平衡驱动</w:t>
            </w:r>
          </w:p>
        </w:tc>
      </w:tr>
    </w:tbl>
    <w:p>
      <w:pPr>
        <w:pStyle w:val="Heading1"/>
      </w:pPr>
      <w:r>
        <w:t xml:space="preserve">六 · 关键参数(config)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3060"/>
        <w:gridCol w:w="2100"/>
      </w:tblGrid>
      <w:tr>
        <w:trPr>
          <w:tblHeader/>
        </w:trPr>
        <w:tc>
          <w:tcPr>
            <w:tcW w:type="dxa" w:w="2500"/>
            <w:tcBorders>
              <w:top w:val="single" w:color="D6D9DD" w:sz="1"/>
              <w:left w:val="single" w:color="D6D9DD" w:sz="1"/>
              <w:bottom w:val="single" w:color="D6D9DD" w:sz="1"/>
              <w:right w:val="single" w:color="D6D9DD" w:sz="1"/>
            </w:tcBorders>
            <w:shd w:fill="0F7A6B" w:val="clear"/>
            <w:tcMar>
              <w:top w:type="dxa" w:w="70"/>
              <w:left w:type="dxa" w:w="120"/>
              <w:bottom w:type="dxa" w:w="70"/>
              <w:right w:type="dxa" w:w="120"/>
            </w:tcMar>
            <w:vAlign w:val="center"/>
          </w:tcPr>
          <w:p>
            <w:pPr>
              <w:spacing w:after="0"/>
            </w:pPr>
            <w:r>
              <w:rPr>
                <w:b/>
                <w:bCs/>
                <w:color w:val="FFFFFF"/>
                <w:sz w:val="19"/>
                <w:szCs w:val="19"/>
              </w:rPr>
              <w:t xml:space="preserve">参数</w:t>
            </w:r>
          </w:p>
        </w:tc>
        <w:tc>
          <w:tcPr>
            <w:tcW w:type="dxa" w:w="1700"/>
            <w:tcBorders>
              <w:top w:val="single" w:color="D6D9DD" w:sz="1"/>
              <w:left w:val="single" w:color="D6D9DD" w:sz="1"/>
              <w:bottom w:val="single" w:color="D6D9DD" w:sz="1"/>
              <w:right w:val="single" w:color="D6D9DD" w:sz="1"/>
            </w:tcBorders>
            <w:shd w:fill="0F7A6B" w:val="clear"/>
            <w:tcMar>
              <w:top w:type="dxa" w:w="70"/>
              <w:left w:type="dxa" w:w="120"/>
              <w:bottom w:type="dxa" w:w="70"/>
              <w:right w:type="dxa" w:w="120"/>
            </w:tcMar>
            <w:vAlign w:val="center"/>
          </w:tcPr>
          <w:p>
            <w:pPr>
              <w:spacing w:after="0"/>
            </w:pPr>
            <w:r>
              <w:rPr>
                <w:b/>
                <w:bCs/>
                <w:color w:val="FFFFFF"/>
                <w:sz w:val="19"/>
                <w:szCs w:val="19"/>
              </w:rPr>
              <w:t xml:space="preserve">值</w:t>
            </w:r>
          </w:p>
        </w:tc>
        <w:tc>
          <w:tcPr>
            <w:tcW w:type="dxa" w:w="3060"/>
            <w:tcBorders>
              <w:top w:val="single" w:color="D6D9DD" w:sz="1"/>
              <w:left w:val="single" w:color="D6D9DD" w:sz="1"/>
              <w:bottom w:val="single" w:color="D6D9DD" w:sz="1"/>
              <w:right w:val="single" w:color="D6D9DD" w:sz="1"/>
            </w:tcBorders>
            <w:shd w:fill="0F7A6B" w:val="clear"/>
            <w:tcMar>
              <w:top w:type="dxa" w:w="70"/>
              <w:left w:type="dxa" w:w="120"/>
              <w:bottom w:type="dxa" w:w="70"/>
              <w:right w:type="dxa" w:w="120"/>
            </w:tcMar>
            <w:vAlign w:val="center"/>
          </w:tcPr>
          <w:p>
            <w:pPr>
              <w:spacing w:after="0"/>
            </w:pPr>
            <w:r>
              <w:rPr>
                <w:b/>
                <w:bCs/>
                <w:color w:val="FFFFFF"/>
                <w:sz w:val="19"/>
                <w:szCs w:val="19"/>
              </w:rPr>
              <w:t xml:space="preserve">含义</w:t>
            </w:r>
          </w:p>
        </w:tc>
        <w:tc>
          <w:tcPr>
            <w:tcW w:type="dxa" w:w="2100"/>
            <w:tcBorders>
              <w:top w:val="single" w:color="D6D9DD" w:sz="1"/>
              <w:left w:val="single" w:color="D6D9DD" w:sz="1"/>
              <w:bottom w:val="single" w:color="D6D9DD" w:sz="1"/>
              <w:right w:val="single" w:color="D6D9DD" w:sz="1"/>
            </w:tcBorders>
            <w:shd w:fill="0F7A6B" w:val="clear"/>
            <w:tcMar>
              <w:top w:type="dxa" w:w="70"/>
              <w:left w:type="dxa" w:w="120"/>
              <w:bottom w:type="dxa" w:w="70"/>
              <w:right w:type="dxa" w:w="120"/>
            </w:tcMar>
            <w:vAlign w:val="center"/>
          </w:tcPr>
          <w:p>
            <w:pPr>
              <w:spacing w:after="0"/>
            </w:pPr>
            <w:r>
              <w:rPr>
                <w:b/>
                <w:bCs/>
                <w:color w:val="FFFFFF"/>
                <w:sz w:val="19"/>
                <w:szCs w:val="19"/>
              </w:rPr>
              <w:t xml:space="preserve">来源</w:t>
            </w:r>
          </w:p>
        </w:tc>
      </w:tr>
      <w:tr>
        <w:tc>
          <w:tcPr>
            <w:tcW w:type="dxa" w:w="2500"/>
            <w:tcBorders>
              <w:top w:val="single" w:color="D6D9DD" w:sz="1"/>
              <w:left w:val="single" w:color="D6D9DD" w:sz="1"/>
              <w:bottom w:val="single" w:color="D6D9DD" w:sz="1"/>
              <w:right w:val="single" w:color="D6D9DD" w:sz="1"/>
            </w:tcBorders>
            <w:shd w:fill="F7F8F9" w:val="clear"/>
            <w:tcMar>
              <w:top w:type="dxa" w:w="70"/>
              <w:left w:type="dxa" w:w="120"/>
              <w:bottom w:type="dxa" w:w="70"/>
              <w:right w:type="dxa" w:w="120"/>
            </w:tcMar>
          </w:tcPr>
          <w:p>
            <w:pPr>
              <w:spacing w:after="0" w:line="252"/>
            </w:pPr>
            <w:r>
              <w:rPr>
                <w:sz w:val="19"/>
                <w:szCs w:val="19"/>
              </w:rPr>
              <w:t xml:space="preserve">REBALANCE_FREQ</w:t>
            </w:r>
          </w:p>
        </w:tc>
        <w:tc>
          <w:tcPr>
            <w:tcW w:type="dxa" w:w="1700"/>
            <w:tcBorders>
              <w:top w:val="single" w:color="D6D9DD" w:sz="1"/>
              <w:left w:val="single" w:color="D6D9DD" w:sz="1"/>
              <w:bottom w:val="single" w:color="D6D9DD" w:sz="1"/>
              <w:right w:val="single" w:color="D6D9DD" w:sz="1"/>
            </w:tcBorders>
            <w:shd w:fill="F7F8F9" w:val="clear"/>
            <w:tcMar>
              <w:top w:type="dxa" w:w="70"/>
              <w:left w:type="dxa" w:w="120"/>
              <w:bottom w:type="dxa" w:w="70"/>
              <w:right w:type="dxa" w:w="120"/>
            </w:tcMar>
          </w:tcPr>
          <w:p>
            <w:pPr>
              <w:spacing w:after="0" w:line="252"/>
            </w:pPr>
            <w:r>
              <w:rPr>
                <w:sz w:val="19"/>
                <w:szCs w:val="19"/>
              </w:rPr>
              <w:t xml:space="preserve">weekly</w:t>
            </w:r>
          </w:p>
        </w:tc>
        <w:tc>
          <w:tcPr>
            <w:tcW w:type="dxa" w:w="3060"/>
            <w:tcBorders>
              <w:top w:val="single" w:color="D6D9DD" w:sz="1"/>
              <w:left w:val="single" w:color="D6D9DD" w:sz="1"/>
              <w:bottom w:val="single" w:color="D6D9DD" w:sz="1"/>
              <w:right w:val="single" w:color="D6D9DD" w:sz="1"/>
            </w:tcBorders>
            <w:shd w:fill="F7F8F9" w:val="clear"/>
            <w:tcMar>
              <w:top w:type="dxa" w:w="70"/>
              <w:left w:type="dxa" w:w="120"/>
              <w:bottom w:type="dxa" w:w="70"/>
              <w:right w:type="dxa" w:w="120"/>
            </w:tcMar>
          </w:tcPr>
          <w:p>
            <w:pPr>
              <w:spacing w:after="0" w:line="252"/>
            </w:pPr>
            <w:r>
              <w:rPr>
                <w:sz w:val="19"/>
                <w:szCs w:val="19"/>
              </w:rPr>
              <w:t xml:space="preserve">再平衡频率</w:t>
            </w:r>
          </w:p>
        </w:tc>
        <w:tc>
          <w:tcPr>
            <w:tcW w:type="dxa" w:w="2100"/>
            <w:tcBorders>
              <w:top w:val="single" w:color="D6D9DD" w:sz="1"/>
              <w:left w:val="single" w:color="D6D9DD" w:sz="1"/>
              <w:bottom w:val="single" w:color="D6D9DD" w:sz="1"/>
              <w:right w:val="single" w:color="D6D9DD" w:sz="1"/>
            </w:tcBorders>
            <w:shd w:fill="F7F8F9" w:val="clear"/>
            <w:tcMar>
              <w:top w:type="dxa" w:w="70"/>
              <w:left w:type="dxa" w:w="120"/>
              <w:bottom w:type="dxa" w:w="70"/>
              <w:right w:type="dxa" w:w="120"/>
            </w:tcMar>
          </w:tcPr>
          <w:p>
            <w:pPr>
              <w:spacing w:after="0" w:line="252"/>
            </w:pPr>
            <w:r>
              <w:rPr>
                <w:sz w:val="19"/>
                <w:szCs w:val="19"/>
              </w:rPr>
              <w:t xml:space="preserve">本系统</w:t>
            </w:r>
          </w:p>
        </w:tc>
      </w:tr>
      <w:tr>
        <w:tc>
          <w:tcPr>
            <w:tcW w:type="dxa" w:w="2500"/>
            <w:tcBorders>
              <w:top w:val="single" w:color="D6D9DD" w:sz="1"/>
              <w:left w:val="single" w:color="D6D9DD" w:sz="1"/>
              <w:bottom w:val="single" w:color="D6D9DD" w:sz="1"/>
              <w:right w:val="single" w:color="D6D9DD" w:sz="1"/>
            </w:tcBorders>
            <w:shd w:fill="FFFFFF" w:val="clear"/>
            <w:tcMar>
              <w:top w:type="dxa" w:w="70"/>
              <w:left w:type="dxa" w:w="120"/>
              <w:bottom w:type="dxa" w:w="70"/>
              <w:right w:type="dxa" w:w="120"/>
            </w:tcMar>
          </w:tcPr>
          <w:p>
            <w:pPr>
              <w:spacing w:after="0" w:line="252"/>
            </w:pPr>
            <w:r>
              <w:rPr>
                <w:sz w:val="19"/>
                <w:szCs w:val="19"/>
              </w:rPr>
              <w:t xml:space="preserve">SINGLE_NAME_CAP</w:t>
            </w:r>
          </w:p>
        </w:tc>
        <w:tc>
          <w:tcPr>
            <w:tcW w:type="dxa" w:w="1700"/>
            <w:tcBorders>
              <w:top w:val="single" w:color="D6D9DD" w:sz="1"/>
              <w:left w:val="single" w:color="D6D9DD" w:sz="1"/>
              <w:bottom w:val="single" w:color="D6D9DD" w:sz="1"/>
              <w:right w:val="single" w:color="D6D9DD" w:sz="1"/>
            </w:tcBorders>
            <w:shd w:fill="FFFFFF" w:val="clear"/>
            <w:tcMar>
              <w:top w:type="dxa" w:w="70"/>
              <w:left w:type="dxa" w:w="120"/>
              <w:bottom w:type="dxa" w:w="70"/>
              <w:right w:type="dxa" w:w="120"/>
            </w:tcMar>
          </w:tcPr>
          <w:p>
            <w:pPr>
              <w:spacing w:after="0" w:line="252"/>
            </w:pPr>
            <w:r>
              <w:rPr>
                <w:sz w:val="19"/>
                <w:szCs w:val="19"/>
              </w:rPr>
              <w:t xml:space="preserve">0.18</w:t>
            </w:r>
          </w:p>
        </w:tc>
        <w:tc>
          <w:tcPr>
            <w:tcW w:type="dxa" w:w="3060"/>
            <w:tcBorders>
              <w:top w:val="single" w:color="D6D9DD" w:sz="1"/>
              <w:left w:val="single" w:color="D6D9DD" w:sz="1"/>
              <w:bottom w:val="single" w:color="D6D9DD" w:sz="1"/>
              <w:right w:val="single" w:color="D6D9DD" w:sz="1"/>
            </w:tcBorders>
            <w:shd w:fill="FFFFFF" w:val="clear"/>
            <w:tcMar>
              <w:top w:type="dxa" w:w="70"/>
              <w:left w:type="dxa" w:w="120"/>
              <w:bottom w:type="dxa" w:w="70"/>
              <w:right w:type="dxa" w:w="120"/>
            </w:tcMar>
          </w:tcPr>
          <w:p>
            <w:pPr>
              <w:spacing w:after="0" w:line="252"/>
            </w:pPr>
            <w:r>
              <w:rPr>
                <w:sz w:val="19"/>
                <w:szCs w:val="19"/>
              </w:rPr>
              <w:t xml:space="preserve">单票上限</w:t>
            </w:r>
          </w:p>
        </w:tc>
        <w:tc>
          <w:tcPr>
            <w:tcW w:type="dxa" w:w="2100"/>
            <w:tcBorders>
              <w:top w:val="single" w:color="D6D9DD" w:sz="1"/>
              <w:left w:val="single" w:color="D6D9DD" w:sz="1"/>
              <w:bottom w:val="single" w:color="D6D9DD" w:sz="1"/>
              <w:right w:val="single" w:color="D6D9DD" w:sz="1"/>
            </w:tcBorders>
            <w:shd w:fill="FFFFFF" w:val="clear"/>
            <w:tcMar>
              <w:top w:type="dxa" w:w="70"/>
              <w:left w:type="dxa" w:w="120"/>
              <w:bottom w:type="dxa" w:w="70"/>
              <w:right w:type="dxa" w:w="120"/>
            </w:tcMar>
          </w:tcPr>
          <w:p>
            <w:pPr>
              <w:spacing w:after="0" w:line="252"/>
            </w:pPr>
            <w:r>
              <w:rPr>
                <w:sz w:val="19"/>
                <w:szCs w:val="19"/>
              </w:rPr>
              <w:t xml:space="preserve">本系统</w:t>
            </w:r>
          </w:p>
        </w:tc>
      </w:tr>
      <w:tr>
        <w:tc>
          <w:tcPr>
            <w:tcW w:type="dxa" w:w="2500"/>
            <w:tcBorders>
              <w:top w:val="single" w:color="D6D9DD" w:sz="1"/>
              <w:left w:val="single" w:color="D6D9DD" w:sz="1"/>
              <w:bottom w:val="single" w:color="D6D9DD" w:sz="1"/>
              <w:right w:val="single" w:color="D6D9DD" w:sz="1"/>
            </w:tcBorders>
            <w:shd w:fill="F7F8F9" w:val="clear"/>
            <w:tcMar>
              <w:top w:type="dxa" w:w="70"/>
              <w:left w:type="dxa" w:w="120"/>
              <w:bottom w:type="dxa" w:w="70"/>
              <w:right w:type="dxa" w:w="120"/>
            </w:tcMar>
          </w:tcPr>
          <w:p>
            <w:pPr>
              <w:spacing w:after="0" w:line="252"/>
            </w:pPr>
            <w:r>
              <w:rPr>
                <w:sz w:val="19"/>
                <w:szCs w:val="19"/>
              </w:rPr>
              <w:t xml:space="preserve">TOP3_CAP</w:t>
            </w:r>
          </w:p>
        </w:tc>
        <w:tc>
          <w:tcPr>
            <w:tcW w:type="dxa" w:w="1700"/>
            <w:tcBorders>
              <w:top w:val="single" w:color="D6D9DD" w:sz="1"/>
              <w:left w:val="single" w:color="D6D9DD" w:sz="1"/>
              <w:bottom w:val="single" w:color="D6D9DD" w:sz="1"/>
              <w:right w:val="single" w:color="D6D9DD" w:sz="1"/>
            </w:tcBorders>
            <w:shd w:fill="F7F8F9" w:val="clear"/>
            <w:tcMar>
              <w:top w:type="dxa" w:w="70"/>
              <w:left w:type="dxa" w:w="120"/>
              <w:bottom w:type="dxa" w:w="70"/>
              <w:right w:type="dxa" w:w="120"/>
            </w:tcMar>
          </w:tcPr>
          <w:p>
            <w:pPr>
              <w:spacing w:after="0" w:line="252"/>
            </w:pPr>
            <w:r>
              <w:rPr>
                <w:sz w:val="19"/>
                <w:szCs w:val="19"/>
              </w:rPr>
              <w:t xml:space="preserve">0.40</w:t>
            </w:r>
          </w:p>
        </w:tc>
        <w:tc>
          <w:tcPr>
            <w:tcW w:type="dxa" w:w="3060"/>
            <w:tcBorders>
              <w:top w:val="single" w:color="D6D9DD" w:sz="1"/>
              <w:left w:val="single" w:color="D6D9DD" w:sz="1"/>
              <w:bottom w:val="single" w:color="D6D9DD" w:sz="1"/>
              <w:right w:val="single" w:color="D6D9DD" w:sz="1"/>
            </w:tcBorders>
            <w:shd w:fill="F7F8F9" w:val="clear"/>
            <w:tcMar>
              <w:top w:type="dxa" w:w="70"/>
              <w:left w:type="dxa" w:w="120"/>
              <w:bottom w:type="dxa" w:w="70"/>
              <w:right w:type="dxa" w:w="120"/>
            </w:tcMar>
          </w:tcPr>
          <w:p>
            <w:pPr>
              <w:spacing w:after="0" w:line="252"/>
            </w:pPr>
            <w:r>
              <w:rPr>
                <w:sz w:val="19"/>
                <w:szCs w:val="19"/>
              </w:rPr>
              <w:t xml:space="preserve">前三大集中度上限</w:t>
            </w:r>
          </w:p>
        </w:tc>
        <w:tc>
          <w:tcPr>
            <w:tcW w:type="dxa" w:w="2100"/>
            <w:tcBorders>
              <w:top w:val="single" w:color="D6D9DD" w:sz="1"/>
              <w:left w:val="single" w:color="D6D9DD" w:sz="1"/>
              <w:bottom w:val="single" w:color="D6D9DD" w:sz="1"/>
              <w:right w:val="single" w:color="D6D9DD" w:sz="1"/>
            </w:tcBorders>
            <w:shd w:fill="F7F8F9" w:val="clear"/>
            <w:tcMar>
              <w:top w:type="dxa" w:w="70"/>
              <w:left w:type="dxa" w:w="120"/>
              <w:bottom w:type="dxa" w:w="70"/>
              <w:right w:type="dxa" w:w="120"/>
            </w:tcMar>
          </w:tcPr>
          <w:p>
            <w:pPr>
              <w:spacing w:after="0" w:line="252"/>
            </w:pPr>
            <w:r>
              <w:rPr>
                <w:sz w:val="19"/>
                <w:szCs w:val="19"/>
              </w:rPr>
              <w:t xml:space="preserve">本系统</w:t>
            </w:r>
          </w:p>
        </w:tc>
      </w:tr>
      <w:tr>
        <w:tc>
          <w:tcPr>
            <w:tcW w:type="dxa" w:w="2500"/>
            <w:tcBorders>
              <w:top w:val="single" w:color="D6D9DD" w:sz="1"/>
              <w:left w:val="single" w:color="D6D9DD" w:sz="1"/>
              <w:bottom w:val="single" w:color="D6D9DD" w:sz="1"/>
              <w:right w:val="single" w:color="D6D9DD" w:sz="1"/>
            </w:tcBorders>
            <w:shd w:fill="FFFFFF" w:val="clear"/>
            <w:tcMar>
              <w:top w:type="dxa" w:w="70"/>
              <w:left w:type="dxa" w:w="120"/>
              <w:bottom w:type="dxa" w:w="70"/>
              <w:right w:type="dxa" w:w="120"/>
            </w:tcMar>
          </w:tcPr>
          <w:p>
            <w:pPr>
              <w:spacing w:after="0" w:line="252"/>
            </w:pPr>
            <w:r>
              <w:rPr>
                <w:sz w:val="19"/>
                <w:szCs w:val="19"/>
              </w:rPr>
              <w:t xml:space="preserve">FINAL_MULT_CLIP</w:t>
            </w:r>
          </w:p>
        </w:tc>
        <w:tc>
          <w:tcPr>
            <w:tcW w:type="dxa" w:w="1700"/>
            <w:tcBorders>
              <w:top w:val="single" w:color="D6D9DD" w:sz="1"/>
              <w:left w:val="single" w:color="D6D9DD" w:sz="1"/>
              <w:bottom w:val="single" w:color="D6D9DD" w:sz="1"/>
              <w:right w:val="single" w:color="D6D9DD" w:sz="1"/>
            </w:tcBorders>
            <w:shd w:fill="FFFFFF" w:val="clear"/>
            <w:tcMar>
              <w:top w:type="dxa" w:w="70"/>
              <w:left w:type="dxa" w:w="120"/>
              <w:bottom w:type="dxa" w:w="70"/>
              <w:right w:type="dxa" w:w="120"/>
            </w:tcMar>
          </w:tcPr>
          <w:p>
            <w:pPr>
              <w:spacing w:after="0" w:line="252"/>
            </w:pPr>
            <w:r>
              <w:rPr>
                <w:sz w:val="19"/>
                <w:szCs w:val="19"/>
              </w:rPr>
              <w:t xml:space="preserve">[0.5, 1.5]</w:t>
            </w:r>
          </w:p>
        </w:tc>
        <w:tc>
          <w:tcPr>
            <w:tcW w:type="dxa" w:w="3060"/>
            <w:tcBorders>
              <w:top w:val="single" w:color="D6D9DD" w:sz="1"/>
              <w:left w:val="single" w:color="D6D9DD" w:sz="1"/>
              <w:bottom w:val="single" w:color="D6D9DD" w:sz="1"/>
              <w:right w:val="single" w:color="D6D9DD" w:sz="1"/>
            </w:tcBorders>
            <w:shd w:fill="FFFFFF" w:val="clear"/>
            <w:tcMar>
              <w:top w:type="dxa" w:w="70"/>
              <w:left w:type="dxa" w:w="120"/>
              <w:bottom w:type="dxa" w:w="70"/>
              <w:right w:type="dxa" w:w="120"/>
            </w:tcMar>
          </w:tcPr>
          <w:p>
            <w:pPr>
              <w:spacing w:after="0" w:line="252"/>
            </w:pPr>
            <w:r>
              <w:rPr>
                <w:sz w:val="19"/>
                <w:szCs w:val="19"/>
              </w:rPr>
              <w:t xml:space="preserve">气候乘数夹取</w:t>
            </w:r>
          </w:p>
        </w:tc>
        <w:tc>
          <w:tcPr>
            <w:tcW w:type="dxa" w:w="2100"/>
            <w:tcBorders>
              <w:top w:val="single" w:color="D6D9DD" w:sz="1"/>
              <w:left w:val="single" w:color="D6D9DD" w:sz="1"/>
              <w:bottom w:val="single" w:color="D6D9DD" w:sz="1"/>
              <w:right w:val="single" w:color="D6D9DD" w:sz="1"/>
            </w:tcBorders>
            <w:shd w:fill="FFFFFF" w:val="clear"/>
            <w:tcMar>
              <w:top w:type="dxa" w:w="70"/>
              <w:left w:type="dxa" w:w="120"/>
              <w:bottom w:type="dxa" w:w="70"/>
              <w:right w:type="dxa" w:w="120"/>
            </w:tcMar>
          </w:tcPr>
          <w:p>
            <w:pPr>
              <w:spacing w:after="0" w:line="252"/>
            </w:pPr>
            <w:r>
              <w:rPr>
                <w:sz w:val="19"/>
                <w:szCs w:val="19"/>
              </w:rPr>
              <w:t xml:space="preserve">改自 Gold [0.1,1.5]</w:t>
            </w:r>
          </w:p>
        </w:tc>
      </w:tr>
      <w:tr>
        <w:tc>
          <w:tcPr>
            <w:tcW w:type="dxa" w:w="2500"/>
            <w:tcBorders>
              <w:top w:val="single" w:color="D6D9DD" w:sz="1"/>
              <w:left w:val="single" w:color="D6D9DD" w:sz="1"/>
              <w:bottom w:val="single" w:color="D6D9DD" w:sz="1"/>
              <w:right w:val="single" w:color="D6D9DD" w:sz="1"/>
            </w:tcBorders>
            <w:shd w:fill="F7F8F9" w:val="clear"/>
            <w:tcMar>
              <w:top w:type="dxa" w:w="70"/>
              <w:left w:type="dxa" w:w="120"/>
              <w:bottom w:type="dxa" w:w="70"/>
              <w:right w:type="dxa" w:w="120"/>
            </w:tcMar>
          </w:tcPr>
          <w:p>
            <w:pPr>
              <w:spacing w:after="0" w:line="252"/>
            </w:pPr>
            <w:r>
              <w:rPr>
                <w:sz w:val="19"/>
                <w:szCs w:val="19"/>
              </w:rPr>
              <w:t xml:space="preserve">DRAWDOWN_LADDER</w:t>
            </w:r>
          </w:p>
        </w:tc>
        <w:tc>
          <w:tcPr>
            <w:tcW w:type="dxa" w:w="1700"/>
            <w:tcBorders>
              <w:top w:val="single" w:color="D6D9DD" w:sz="1"/>
              <w:left w:val="single" w:color="D6D9DD" w:sz="1"/>
              <w:bottom w:val="single" w:color="D6D9DD" w:sz="1"/>
              <w:right w:val="single" w:color="D6D9DD" w:sz="1"/>
            </w:tcBorders>
            <w:shd w:fill="F7F8F9" w:val="clear"/>
            <w:tcMar>
              <w:top w:type="dxa" w:w="70"/>
              <w:left w:type="dxa" w:w="120"/>
              <w:bottom w:type="dxa" w:w="70"/>
              <w:right w:type="dxa" w:w="120"/>
            </w:tcMar>
          </w:tcPr>
          <w:p>
            <w:pPr>
              <w:spacing w:after="0" w:line="252"/>
            </w:pPr>
            <w:r>
              <w:rPr>
                <w:sz w:val="19"/>
                <w:szCs w:val="19"/>
              </w:rPr>
              <w:t xml:space="preserve">[0.05,0.08,0.15]</w:t>
            </w:r>
          </w:p>
        </w:tc>
        <w:tc>
          <w:tcPr>
            <w:tcW w:type="dxa" w:w="3060"/>
            <w:tcBorders>
              <w:top w:val="single" w:color="D6D9DD" w:sz="1"/>
              <w:left w:val="single" w:color="D6D9DD" w:sz="1"/>
              <w:bottom w:val="single" w:color="D6D9DD" w:sz="1"/>
              <w:right w:val="single" w:color="D6D9DD" w:sz="1"/>
            </w:tcBorders>
            <w:shd w:fill="F7F8F9" w:val="clear"/>
            <w:tcMar>
              <w:top w:type="dxa" w:w="70"/>
              <w:left w:type="dxa" w:w="120"/>
              <w:bottom w:type="dxa" w:w="70"/>
              <w:right w:type="dxa" w:w="120"/>
            </w:tcMar>
          </w:tcPr>
          <w:p>
            <w:pPr>
              <w:spacing w:after="0" w:line="252"/>
            </w:pPr>
            <w:r>
              <w:rPr>
                <w:sz w:val="19"/>
                <w:szCs w:val="19"/>
              </w:rPr>
              <w:t xml:space="preserve">减半/暂停/清仓</w:t>
            </w:r>
          </w:p>
        </w:tc>
        <w:tc>
          <w:tcPr>
            <w:tcW w:type="dxa" w:w="2100"/>
            <w:tcBorders>
              <w:top w:val="single" w:color="D6D9DD" w:sz="1"/>
              <w:left w:val="single" w:color="D6D9DD" w:sz="1"/>
              <w:bottom w:val="single" w:color="D6D9DD" w:sz="1"/>
              <w:right w:val="single" w:color="D6D9DD" w:sz="1"/>
            </w:tcBorders>
            <w:shd w:fill="F7F8F9" w:val="clear"/>
            <w:tcMar>
              <w:top w:type="dxa" w:w="70"/>
              <w:left w:type="dxa" w:w="120"/>
              <w:bottom w:type="dxa" w:w="70"/>
              <w:right w:type="dxa" w:w="120"/>
            </w:tcMar>
          </w:tcPr>
          <w:p>
            <w:pPr>
              <w:spacing w:after="0" w:line="252"/>
            </w:pPr>
            <w:r>
              <w:rPr>
                <w:sz w:val="19"/>
                <w:szCs w:val="19"/>
              </w:rPr>
              <w:t xml:space="preserve">Gold 直接复用</w:t>
            </w:r>
          </w:p>
        </w:tc>
      </w:tr>
      <w:tr>
        <w:tc>
          <w:tcPr>
            <w:tcW w:type="dxa" w:w="2500"/>
            <w:tcBorders>
              <w:top w:val="single" w:color="D6D9DD" w:sz="1"/>
              <w:left w:val="single" w:color="D6D9DD" w:sz="1"/>
              <w:bottom w:val="single" w:color="D6D9DD" w:sz="1"/>
              <w:right w:val="single" w:color="D6D9DD" w:sz="1"/>
            </w:tcBorders>
            <w:shd w:fill="FFFFFF" w:val="clear"/>
            <w:tcMar>
              <w:top w:type="dxa" w:w="70"/>
              <w:left w:type="dxa" w:w="120"/>
              <w:bottom w:type="dxa" w:w="70"/>
              <w:right w:type="dxa" w:w="120"/>
            </w:tcMar>
          </w:tcPr>
          <w:p>
            <w:pPr>
              <w:spacing w:after="0" w:line="252"/>
            </w:pPr>
            <w:r>
              <w:rPr>
                <w:sz w:val="19"/>
                <w:szCs w:val="19"/>
              </w:rPr>
              <w:t xml:space="preserve">CORR_REDUCE</w:t>
            </w:r>
          </w:p>
        </w:tc>
        <w:tc>
          <w:tcPr>
            <w:tcW w:type="dxa" w:w="1700"/>
            <w:tcBorders>
              <w:top w:val="single" w:color="D6D9DD" w:sz="1"/>
              <w:left w:val="single" w:color="D6D9DD" w:sz="1"/>
              <w:bottom w:val="single" w:color="D6D9DD" w:sz="1"/>
              <w:right w:val="single" w:color="D6D9DD" w:sz="1"/>
            </w:tcBorders>
            <w:shd w:fill="FFFFFF" w:val="clear"/>
            <w:tcMar>
              <w:top w:type="dxa" w:w="70"/>
              <w:left w:type="dxa" w:w="120"/>
              <w:bottom w:type="dxa" w:w="70"/>
              <w:right w:type="dxa" w:w="120"/>
            </w:tcMar>
          </w:tcPr>
          <w:p>
            <w:pPr>
              <w:spacing w:after="0" w:line="252"/>
            </w:pPr>
            <w:r>
              <w:rPr>
                <w:sz w:val="19"/>
                <w:szCs w:val="19"/>
              </w:rPr>
              <w:t xml:space="preserve">0.85</w:t>
            </w:r>
          </w:p>
        </w:tc>
        <w:tc>
          <w:tcPr>
            <w:tcW w:type="dxa" w:w="3060"/>
            <w:tcBorders>
              <w:top w:val="single" w:color="D6D9DD" w:sz="1"/>
              <w:left w:val="single" w:color="D6D9DD" w:sz="1"/>
              <w:bottom w:val="single" w:color="D6D9DD" w:sz="1"/>
              <w:right w:val="single" w:color="D6D9DD" w:sz="1"/>
            </w:tcBorders>
            <w:shd w:fill="FFFFFF" w:val="clear"/>
            <w:tcMar>
              <w:top w:type="dxa" w:w="70"/>
              <w:left w:type="dxa" w:w="120"/>
              <w:bottom w:type="dxa" w:w="70"/>
              <w:right w:type="dxa" w:w="120"/>
            </w:tcMar>
          </w:tcPr>
          <w:p>
            <w:pPr>
              <w:spacing w:after="0" w:line="252"/>
            </w:pPr>
            <w:r>
              <w:rPr>
                <w:sz w:val="19"/>
                <w:szCs w:val="19"/>
              </w:rPr>
              <w:t xml:space="preserve">相关性减仓线</w:t>
            </w:r>
          </w:p>
        </w:tc>
        <w:tc>
          <w:tcPr>
            <w:tcW w:type="dxa" w:w="2100"/>
            <w:tcBorders>
              <w:top w:val="single" w:color="D6D9DD" w:sz="1"/>
              <w:left w:val="single" w:color="D6D9DD" w:sz="1"/>
              <w:bottom w:val="single" w:color="D6D9DD" w:sz="1"/>
              <w:right w:val="single" w:color="D6D9DD" w:sz="1"/>
            </w:tcBorders>
            <w:shd w:fill="FFFFFF" w:val="clear"/>
            <w:tcMar>
              <w:top w:type="dxa" w:w="70"/>
              <w:left w:type="dxa" w:w="120"/>
              <w:bottom w:type="dxa" w:w="70"/>
              <w:right w:type="dxa" w:w="120"/>
            </w:tcMar>
          </w:tcPr>
          <w:p>
            <w:pPr>
              <w:spacing w:after="0" w:line="252"/>
            </w:pPr>
            <w:r>
              <w:rPr>
                <w:sz w:val="19"/>
                <w:szCs w:val="19"/>
              </w:rPr>
              <w:t xml:space="preserve">本系统新增</w:t>
            </w:r>
          </w:p>
        </w:tc>
      </w:tr>
      <w:tr>
        <w:tc>
          <w:tcPr>
            <w:tcW w:type="dxa" w:w="2500"/>
            <w:tcBorders>
              <w:top w:val="single" w:color="D6D9DD" w:sz="1"/>
              <w:left w:val="single" w:color="D6D9DD" w:sz="1"/>
              <w:bottom w:val="single" w:color="D6D9DD" w:sz="1"/>
              <w:right w:val="single" w:color="D6D9DD" w:sz="1"/>
            </w:tcBorders>
            <w:shd w:fill="F7F8F9" w:val="clear"/>
            <w:tcMar>
              <w:top w:type="dxa" w:w="70"/>
              <w:left w:type="dxa" w:w="120"/>
              <w:bottom w:type="dxa" w:w="70"/>
              <w:right w:type="dxa" w:w="120"/>
            </w:tcMar>
          </w:tcPr>
          <w:p>
            <w:pPr>
              <w:spacing w:after="0" w:line="252"/>
            </w:pPr>
            <w:r>
              <w:rPr>
                <w:sz w:val="19"/>
                <w:szCs w:val="19"/>
              </w:rPr>
              <w:t xml:space="preserve">IC_FLOOR / IC_FULL</w:t>
            </w:r>
          </w:p>
        </w:tc>
        <w:tc>
          <w:tcPr>
            <w:tcW w:type="dxa" w:w="1700"/>
            <w:tcBorders>
              <w:top w:val="single" w:color="D6D9DD" w:sz="1"/>
              <w:left w:val="single" w:color="D6D9DD" w:sz="1"/>
              <w:bottom w:val="single" w:color="D6D9DD" w:sz="1"/>
              <w:right w:val="single" w:color="D6D9DD" w:sz="1"/>
            </w:tcBorders>
            <w:shd w:fill="F7F8F9" w:val="clear"/>
            <w:tcMar>
              <w:top w:type="dxa" w:w="70"/>
              <w:left w:type="dxa" w:w="120"/>
              <w:bottom w:type="dxa" w:w="70"/>
              <w:right w:type="dxa" w:w="120"/>
            </w:tcMar>
          </w:tcPr>
          <w:p>
            <w:pPr>
              <w:spacing w:after="0" w:line="252"/>
            </w:pPr>
            <w:r>
              <w:rPr>
                <w:sz w:val="19"/>
                <w:szCs w:val="19"/>
              </w:rPr>
              <w:t xml:space="preserve">0.05 / 0.15</w:t>
            </w:r>
          </w:p>
        </w:tc>
        <w:tc>
          <w:tcPr>
            <w:tcW w:type="dxa" w:w="3060"/>
            <w:tcBorders>
              <w:top w:val="single" w:color="D6D9DD" w:sz="1"/>
              <w:left w:val="single" w:color="D6D9DD" w:sz="1"/>
              <w:bottom w:val="single" w:color="D6D9DD" w:sz="1"/>
              <w:right w:val="single" w:color="D6D9DD" w:sz="1"/>
            </w:tcBorders>
            <w:shd w:fill="F7F8F9" w:val="clear"/>
            <w:tcMar>
              <w:top w:type="dxa" w:w="70"/>
              <w:left w:type="dxa" w:w="120"/>
              <w:bottom w:type="dxa" w:w="70"/>
              <w:right w:type="dxa" w:w="120"/>
            </w:tcMar>
          </w:tcPr>
          <w:p>
            <w:pPr>
              <w:spacing w:after="0" w:line="252"/>
            </w:pPr>
            <w:r>
              <w:rPr>
                <w:sz w:val="19"/>
                <w:szCs w:val="19"/>
              </w:rPr>
              <w:t xml:space="preserve">IC 缩仓 / 满仓线</w:t>
            </w:r>
          </w:p>
        </w:tc>
        <w:tc>
          <w:tcPr>
            <w:tcW w:type="dxa" w:w="2100"/>
            <w:tcBorders>
              <w:top w:val="single" w:color="D6D9DD" w:sz="1"/>
              <w:left w:val="single" w:color="D6D9DD" w:sz="1"/>
              <w:bottom w:val="single" w:color="D6D9DD" w:sz="1"/>
              <w:right w:val="single" w:color="D6D9DD" w:sz="1"/>
            </w:tcBorders>
            <w:shd w:fill="F7F8F9" w:val="clear"/>
            <w:tcMar>
              <w:top w:type="dxa" w:w="70"/>
              <w:left w:type="dxa" w:w="120"/>
              <w:bottom w:type="dxa" w:w="70"/>
              <w:right w:type="dxa" w:w="120"/>
            </w:tcMar>
          </w:tcPr>
          <w:p>
            <w:pPr>
              <w:spacing w:after="0" w:line="252"/>
            </w:pPr>
            <w:r>
              <w:rPr>
                <w:sz w:val="19"/>
                <w:szCs w:val="19"/>
              </w:rPr>
              <w:t xml:space="preserve">Gold 复用</w:t>
            </w:r>
          </w:p>
        </w:tc>
      </w:tr>
      <w:tr>
        <w:tc>
          <w:tcPr>
            <w:tcW w:type="dxa" w:w="2500"/>
            <w:tcBorders>
              <w:top w:val="single" w:color="D6D9DD" w:sz="1"/>
              <w:left w:val="single" w:color="D6D9DD" w:sz="1"/>
              <w:bottom w:val="single" w:color="D6D9DD" w:sz="1"/>
              <w:right w:val="single" w:color="D6D9DD" w:sz="1"/>
            </w:tcBorders>
            <w:shd w:fill="FFFFFF" w:val="clear"/>
            <w:tcMar>
              <w:top w:type="dxa" w:w="70"/>
              <w:left w:type="dxa" w:w="120"/>
              <w:bottom w:type="dxa" w:w="70"/>
              <w:right w:type="dxa" w:w="120"/>
            </w:tcMar>
          </w:tcPr>
          <w:p>
            <w:pPr>
              <w:spacing w:after="0" w:line="252"/>
            </w:pPr>
            <w:r>
              <w:rPr>
                <w:sz w:val="19"/>
                <w:szCs w:val="19"/>
              </w:rPr>
              <w:t xml:space="preserve">KELLY_FRACTION</w:t>
            </w:r>
          </w:p>
        </w:tc>
        <w:tc>
          <w:tcPr>
            <w:tcW w:type="dxa" w:w="1700"/>
            <w:tcBorders>
              <w:top w:val="single" w:color="D6D9DD" w:sz="1"/>
              <w:left w:val="single" w:color="D6D9DD" w:sz="1"/>
              <w:bottom w:val="single" w:color="D6D9DD" w:sz="1"/>
              <w:right w:val="single" w:color="D6D9DD" w:sz="1"/>
            </w:tcBorders>
            <w:shd w:fill="FFFFFF" w:val="clear"/>
            <w:tcMar>
              <w:top w:type="dxa" w:w="70"/>
              <w:left w:type="dxa" w:w="120"/>
              <w:bottom w:type="dxa" w:w="70"/>
              <w:right w:type="dxa" w:w="120"/>
            </w:tcMar>
          </w:tcPr>
          <w:p>
            <w:pPr>
              <w:spacing w:after="0" w:line="252"/>
            </w:pPr>
            <w:r>
              <w:rPr>
                <w:sz w:val="19"/>
                <w:szCs w:val="19"/>
              </w:rPr>
              <w:t xml:space="preserve">0.25</w:t>
            </w:r>
          </w:p>
        </w:tc>
        <w:tc>
          <w:tcPr>
            <w:tcW w:type="dxa" w:w="3060"/>
            <w:tcBorders>
              <w:top w:val="single" w:color="D6D9DD" w:sz="1"/>
              <w:left w:val="single" w:color="D6D9DD" w:sz="1"/>
              <w:bottom w:val="single" w:color="D6D9DD" w:sz="1"/>
              <w:right w:val="single" w:color="D6D9DD" w:sz="1"/>
            </w:tcBorders>
            <w:shd w:fill="FFFFFF" w:val="clear"/>
            <w:tcMar>
              <w:top w:type="dxa" w:w="70"/>
              <w:left w:type="dxa" w:w="120"/>
              <w:bottom w:type="dxa" w:w="70"/>
              <w:right w:type="dxa" w:w="120"/>
            </w:tcMar>
          </w:tcPr>
          <w:p>
            <w:pPr>
              <w:spacing w:after="0" w:line="252"/>
            </w:pPr>
            <w:r>
              <w:rPr>
                <w:sz w:val="19"/>
                <w:szCs w:val="19"/>
              </w:rPr>
              <w:t xml:space="preserve">1/4 Kelly 保守系数</w:t>
            </w:r>
          </w:p>
        </w:tc>
        <w:tc>
          <w:tcPr>
            <w:tcW w:type="dxa" w:w="2100"/>
            <w:tcBorders>
              <w:top w:val="single" w:color="D6D9DD" w:sz="1"/>
              <w:left w:val="single" w:color="D6D9DD" w:sz="1"/>
              <w:bottom w:val="single" w:color="D6D9DD" w:sz="1"/>
              <w:right w:val="single" w:color="D6D9DD" w:sz="1"/>
            </w:tcBorders>
            <w:shd w:fill="FFFFFF" w:val="clear"/>
            <w:tcMar>
              <w:top w:type="dxa" w:w="70"/>
              <w:left w:type="dxa" w:w="120"/>
              <w:bottom w:type="dxa" w:w="70"/>
              <w:right w:type="dxa" w:w="120"/>
            </w:tcMar>
          </w:tcPr>
          <w:p>
            <w:pPr>
              <w:spacing w:after="0" w:line="252"/>
            </w:pPr>
            <w:r>
              <w:rPr>
                <w:sz w:val="19"/>
                <w:szCs w:val="19"/>
              </w:rPr>
              <w:t xml:space="preserve">Gold 复用</w:t>
            </w:r>
          </w:p>
        </w:tc>
      </w:tr>
      <w:tr>
        <w:tc>
          <w:tcPr>
            <w:tcW w:type="dxa" w:w="2500"/>
            <w:tcBorders>
              <w:top w:val="single" w:color="D6D9DD" w:sz="1"/>
              <w:left w:val="single" w:color="D6D9DD" w:sz="1"/>
              <w:bottom w:val="single" w:color="D6D9DD" w:sz="1"/>
              <w:right w:val="single" w:color="D6D9DD" w:sz="1"/>
            </w:tcBorders>
            <w:shd w:fill="F7F8F9" w:val="clear"/>
            <w:tcMar>
              <w:top w:type="dxa" w:w="70"/>
              <w:left w:type="dxa" w:w="120"/>
              <w:bottom w:type="dxa" w:w="70"/>
              <w:right w:type="dxa" w:w="120"/>
            </w:tcMar>
          </w:tcPr>
          <w:p>
            <w:pPr>
              <w:spacing w:after="0" w:line="252"/>
            </w:pPr>
            <w:r>
              <w:rPr>
                <w:sz w:val="19"/>
                <w:szCs w:val="19"/>
              </w:rPr>
              <w:t xml:space="preserve">HEALTH_FIRE</w:t>
            </w:r>
          </w:p>
        </w:tc>
        <w:tc>
          <w:tcPr>
            <w:tcW w:type="dxa" w:w="1700"/>
            <w:tcBorders>
              <w:top w:val="single" w:color="D6D9DD" w:sz="1"/>
              <w:left w:val="single" w:color="D6D9DD" w:sz="1"/>
              <w:bottom w:val="single" w:color="D6D9DD" w:sz="1"/>
              <w:right w:val="single" w:color="D6D9DD" w:sz="1"/>
            </w:tcBorders>
            <w:shd w:fill="F7F8F9" w:val="clear"/>
            <w:tcMar>
              <w:top w:type="dxa" w:w="70"/>
              <w:left w:type="dxa" w:w="120"/>
              <w:bottom w:type="dxa" w:w="70"/>
              <w:right w:type="dxa" w:w="120"/>
            </w:tcMar>
          </w:tcPr>
          <w:p>
            <w:pPr>
              <w:spacing w:after="0" w:line="252"/>
            </w:pPr>
            <w:r>
              <w:rPr>
                <w:sz w:val="19"/>
                <w:szCs w:val="19"/>
              </w:rPr>
              <w:t xml:space="preserve">70</w:t>
            </w:r>
          </w:p>
        </w:tc>
        <w:tc>
          <w:tcPr>
            <w:tcW w:type="dxa" w:w="3060"/>
            <w:tcBorders>
              <w:top w:val="single" w:color="D6D9DD" w:sz="1"/>
              <w:left w:val="single" w:color="D6D9DD" w:sz="1"/>
              <w:bottom w:val="single" w:color="D6D9DD" w:sz="1"/>
              <w:right w:val="single" w:color="D6D9DD" w:sz="1"/>
            </w:tcBorders>
            <w:shd w:fill="F7F8F9" w:val="clear"/>
            <w:tcMar>
              <w:top w:type="dxa" w:w="70"/>
              <w:left w:type="dxa" w:w="120"/>
              <w:bottom w:type="dxa" w:w="70"/>
              <w:right w:type="dxa" w:w="120"/>
            </w:tcMar>
          </w:tcPr>
          <w:p>
            <w:pPr>
              <w:spacing w:after="0" w:line="252"/>
            </w:pPr>
            <w:r>
              <w:rPr>
                <w:sz w:val="19"/>
                <w:szCs w:val="19"/>
              </w:rPr>
              <w:t xml:space="preserve">个股触发健康度线</w:t>
            </w:r>
          </w:p>
        </w:tc>
        <w:tc>
          <w:tcPr>
            <w:tcW w:type="dxa" w:w="2100"/>
            <w:tcBorders>
              <w:top w:val="single" w:color="D6D9DD" w:sz="1"/>
              <w:left w:val="single" w:color="D6D9DD" w:sz="1"/>
              <w:bottom w:val="single" w:color="D6D9DD" w:sz="1"/>
              <w:right w:val="single" w:color="D6D9DD" w:sz="1"/>
            </w:tcBorders>
            <w:shd w:fill="F7F8F9" w:val="clear"/>
            <w:tcMar>
              <w:top w:type="dxa" w:w="70"/>
              <w:left w:type="dxa" w:w="120"/>
              <w:bottom w:type="dxa" w:w="70"/>
              <w:right w:type="dxa" w:w="120"/>
            </w:tcMar>
          </w:tcPr>
          <w:p>
            <w:pPr>
              <w:spacing w:after="0" w:line="252"/>
            </w:pPr>
            <w:r>
              <w:rPr>
                <w:sz w:val="19"/>
                <w:szCs w:val="19"/>
              </w:rPr>
              <w:t xml:space="preserve">本系统</w:t>
            </w:r>
          </w:p>
        </w:tc>
      </w:tr>
      <w:tr>
        <w:tc>
          <w:tcPr>
            <w:tcW w:type="dxa" w:w="2500"/>
            <w:tcBorders>
              <w:top w:val="single" w:color="D6D9DD" w:sz="1"/>
              <w:left w:val="single" w:color="D6D9DD" w:sz="1"/>
              <w:bottom w:val="single" w:color="D6D9DD" w:sz="1"/>
              <w:right w:val="single" w:color="D6D9DD" w:sz="1"/>
            </w:tcBorders>
            <w:shd w:fill="FFFFFF" w:val="clear"/>
            <w:tcMar>
              <w:top w:type="dxa" w:w="70"/>
              <w:left w:type="dxa" w:w="120"/>
              <w:bottom w:type="dxa" w:w="70"/>
              <w:right w:type="dxa" w:w="120"/>
            </w:tcMar>
          </w:tcPr>
          <w:p>
            <w:pPr>
              <w:spacing w:after="0" w:line="252"/>
            </w:pPr>
            <w:r>
              <w:rPr>
                <w:sz w:val="19"/>
                <w:szCs w:val="19"/>
              </w:rPr>
              <w:t xml:space="preserve">TRADE_COST_BPS</w:t>
            </w:r>
          </w:p>
        </w:tc>
        <w:tc>
          <w:tcPr>
            <w:tcW w:type="dxa" w:w="1700"/>
            <w:tcBorders>
              <w:top w:val="single" w:color="D6D9DD" w:sz="1"/>
              <w:left w:val="single" w:color="D6D9DD" w:sz="1"/>
              <w:bottom w:val="single" w:color="D6D9DD" w:sz="1"/>
              <w:right w:val="single" w:color="D6D9DD" w:sz="1"/>
            </w:tcBorders>
            <w:shd w:fill="FFFFFF" w:val="clear"/>
            <w:tcMar>
              <w:top w:type="dxa" w:w="70"/>
              <w:left w:type="dxa" w:w="120"/>
              <w:bottom w:type="dxa" w:w="70"/>
              <w:right w:type="dxa" w:w="120"/>
            </w:tcMar>
          </w:tcPr>
          <w:p>
            <w:pPr>
              <w:spacing w:after="0" w:line="252"/>
            </w:pPr>
            <w:r>
              <w:rPr>
                <w:sz w:val="19"/>
                <w:szCs w:val="19"/>
              </w:rPr>
              <w:t xml:space="preserve">3</w:t>
            </w:r>
          </w:p>
        </w:tc>
        <w:tc>
          <w:tcPr>
            <w:tcW w:type="dxa" w:w="3060"/>
            <w:tcBorders>
              <w:top w:val="single" w:color="D6D9DD" w:sz="1"/>
              <w:left w:val="single" w:color="D6D9DD" w:sz="1"/>
              <w:bottom w:val="single" w:color="D6D9DD" w:sz="1"/>
              <w:right w:val="single" w:color="D6D9DD" w:sz="1"/>
            </w:tcBorders>
            <w:shd w:fill="FFFFFF" w:val="clear"/>
            <w:tcMar>
              <w:top w:type="dxa" w:w="70"/>
              <w:left w:type="dxa" w:w="120"/>
              <w:bottom w:type="dxa" w:w="70"/>
              <w:right w:type="dxa" w:w="120"/>
            </w:tcMar>
          </w:tcPr>
          <w:p>
            <w:pPr>
              <w:spacing w:after="0" w:line="252"/>
            </w:pPr>
            <w:r>
              <w:rPr>
                <w:sz w:val="19"/>
                <w:szCs w:val="19"/>
              </w:rPr>
              <w:t xml:space="preserve">单边成本</w:t>
            </w:r>
          </w:p>
        </w:tc>
        <w:tc>
          <w:tcPr>
            <w:tcW w:type="dxa" w:w="2100"/>
            <w:tcBorders>
              <w:top w:val="single" w:color="D6D9DD" w:sz="1"/>
              <w:left w:val="single" w:color="D6D9DD" w:sz="1"/>
              <w:bottom w:val="single" w:color="D6D9DD" w:sz="1"/>
              <w:right w:val="single" w:color="D6D9DD" w:sz="1"/>
            </w:tcBorders>
            <w:shd w:fill="FFFFFF" w:val="clear"/>
            <w:tcMar>
              <w:top w:type="dxa" w:w="70"/>
              <w:left w:type="dxa" w:w="120"/>
              <w:bottom w:type="dxa" w:w="70"/>
              <w:right w:type="dxa" w:w="120"/>
            </w:tcMar>
          </w:tcPr>
          <w:p>
            <w:pPr>
              <w:spacing w:after="0" w:line="252"/>
            </w:pPr>
            <w:r>
              <w:rPr>
                <w:sz w:val="19"/>
                <w:szCs w:val="19"/>
              </w:rPr>
              <w:t xml:space="preserve">Gold 复用</w:t>
            </w:r>
          </w:p>
        </w:tc>
      </w:tr>
    </w:tbl>
    <w:p>
      <w:r>
        <w:br w:type="page"/>
      </w:r>
    </w:p>
    <w:p>
      <w:pPr>
        <w:pStyle w:val="Heading1"/>
      </w:pPr>
      <w:r>
        <w:t xml:space="preserve">七 · 诚实声明与局限</w:t>
      </w:r>
    </w:p>
    <w:p>
      <w:pPr>
        <w:spacing w:after="120" w:line="276"/>
      </w:pPr>
      <w:r>
        <w:t xml:space="preserve">以下五点决定这套系统能否真正用于决策,优先级高于任何代码。</w:t>
      </w:r>
    </w:p>
    <w:p>
      <w:pPr>
        <w:pStyle w:val="ListParagraph"/>
        <w:numPr>
          <w:ilvl w:val="0"/>
          <w:numId w:val="2"/>
        </w:numPr>
        <w:spacing w:after="60"/>
      </w:pPr>
      <w:r>
        <w:rPr>
          <w:b/>
          <w:bCs/>
        </w:rPr>
        <w:t xml:space="preserve">样本不足是头号风险。</w:t>
      </w:r>
      <w:r>
        <w:t xml:space="preserve"> AI Capex 周期相关历史仅约 2–3 年,CPCV 的 alpha 确认几乎必然统计力不足;按黄金自己的铁律,alpha 未确认时应回到因子研究,而非优化回测。不要被演示曲线的漂亮净值误导。</w:t>
      </w:r>
    </w:p>
    <w:p>
      <w:pPr>
        <w:pStyle w:val="ListParagraph"/>
        <w:numPr>
          <w:ilvl w:val="0"/>
          <w:numId w:val="2"/>
        </w:numPr>
        <w:spacing w:after="60"/>
      </w:pPr>
      <w:r>
        <w:rPr>
          <w:b/>
          <w:bCs/>
        </w:rPr>
        <w:t xml:space="preserve">capex_beta 现为经验标签。</w:t>
      </w:r>
      <w:r>
        <w:t xml:space="preserve"> 真实版应为各标的对「超大厂 Capex 指引」(或费城半导体/超大厂资本开支指数)的滚动回归 β 分档。相关性熔断的 avg_correlation 同理,须用真实收益相关矩阵。</w:t>
      </w:r>
    </w:p>
    <w:p>
      <w:pPr>
        <w:pStyle w:val="ListParagraph"/>
        <w:numPr>
          <w:ilvl w:val="0"/>
          <w:numId w:val="2"/>
        </w:numPr>
        <w:spacing w:after="60"/>
      </w:pPr>
      <w:r>
        <w:rPr>
          <w:b/>
          <w:bCs/>
        </w:rPr>
        <w:t xml:space="preserve">长多 vs 多空。</w:t>
      </w:r>
      <w:r>
        <w:t xml:space="preserve"> 黄金做多空择时;本系统长多 + 现金为防御资产。sell 信号 = 减仓 / 转现金,而非做空。final_mult 主要调节现金比例与 Beta。</w:t>
      </w:r>
    </w:p>
    <w:p>
      <w:pPr>
        <w:pStyle w:val="ListParagraph"/>
        <w:numPr>
          <w:ilvl w:val="0"/>
          <w:numId w:val="2"/>
        </w:numPr>
        <w:spacing w:after="60"/>
      </w:pPr>
      <w:r>
        <w:rPr>
          <w:b/>
          <w:bCs/>
        </w:rPr>
        <w:t xml:space="preserve">频率不匹配需改造。</w:t>
      </w:r>
      <w:r>
        <w:t xml:space="preserve"> 黄金是日频 ATR 止损交易系统;本系统是再平衡驱动的信念加权组合。回测引擎须相应改写,不能直接套黄金的日级循环。</w:t>
      </w:r>
    </w:p>
    <w:p>
      <w:pPr>
        <w:pStyle w:val="ListParagraph"/>
        <w:numPr>
          <w:ilvl w:val="0"/>
          <w:numId w:val="2"/>
        </w:numPr>
        <w:spacing w:after="60"/>
      </w:pPr>
      <w:r>
        <w:rPr>
          <w:b/>
          <w:bCs/>
        </w:rPr>
        <w:t xml:space="preserve">演示数据。</w:t>
      </w:r>
      <w:r>
        <w:t xml:space="preserve"> 当前看板所有数值为占位,用于展示结构与交互。本契约定义真实字段;接入 SuperBox 真实数据源后方可重算。本文档不构成投资建议。</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F7A6B" w:sz="18"/>
              <w:bottom w:val="none"/>
              <w:right w:val="none"/>
            </w:tcBorders>
            <w:shd w:fill="DCEFEB" w:val="clear"/>
            <w:tcMar>
              <w:top w:type="dxa" w:w="100"/>
              <w:left w:type="dxa" w:w="180"/>
              <w:bottom w:type="dxa" w:w="100"/>
              <w:right w:type="dxa" w:w="140"/>
            </w:tcMar>
          </w:tcPr>
          <w:p>
            <w:pPr>
              <w:spacing w:after="0" w:line="264"/>
            </w:pPr>
            <w:r>
              <w:rPr>
                <w:i/>
                <w:iCs/>
              </w:rPr>
              <w:t xml:space="preserve">一句话:架构(§3 / §4 / §5)可以放心搬;但在 §7 第 1、2 点解决之前,backtest.json 的 account 区块只能当「策略行为示意」,不能当「已验证业绩」。</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A0A8"/>
        <w:sz w:val="16"/>
        <w:szCs w:val="16"/>
      </w:rPr>
      <w:t xml:space="preserve">Luffa SuperBox  ·  </w:t>
    </w:r>
    <w:r>
      <w:rPr>
        <w:color w:val="9AA0A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9DD" w:sz="4" w:space="4"/>
      </w:pBdr>
      <w:tabs>
        <w:tab w:val="right" w:pos="9026"/>
      </w:tabs>
      <w:spacing w:after="0"/>
    </w:pPr>
    <w:r>
      <w:rPr>
        <w:color w:val="9AA0A8"/>
        <w:sz w:val="16"/>
        <w:szCs w:val="16"/>
      </w:rPr>
      <w:t xml:space="preserve">AI 生态基金 · 数据接口与回测契约</w:t>
    </w:r>
    <w:r>
      <w:rPr>
        <w:color w:val="9AA0A8"/>
        <w:sz w:val="16"/>
        <w:szCs w:val="16"/>
      </w:rPr>
      <w:t xml:space="preserve">	System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80"/>
      </w:pPr>
    </w:lvl>
  </w:abstractNum>
  <w:abstractNum w:abstractNumId="3" w15:restartNumberingAfterBreak="0">
    <w:multiLevelType w:val="hybridMultilevel"/>
    <w:lvl w:ilvl="0" w15:tentative="1">
      <w:start w:val="1"/>
      <w:numFmt w:val="decimal"/>
      <w:lvlText w:val="%1."/>
      <w:lvlJc w:val="left"/>
      <w:pPr>
        <w:ind w:left="520" w:hanging="3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F7A6B" w:sz="6" w:space="6"/>
      </w:pBdr>
      <w:spacing w:after="160" w:before="300"/>
      <w:outlineLvl w:val="0"/>
    </w:pPr>
    <w:rPr>
      <w:rFonts w:ascii="Arial" w:cs="Arial" w:eastAsia="Arial" w:hAnsi="Arial"/>
      <w:b/>
      <w:bCs/>
      <w:color w:val="0F7A6B"/>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A1A1A"/>
      <w:sz w:val="25"/>
      <w:szCs w:val="25"/>
    </w:rPr>
  </w:style>
  <w:style w:type="paragraph" w:styleId="Heading3">
    <w:name w:val="Heading 3"/>
    <w:basedOn w:val="Normal"/>
    <w:next w:val="Normal"/>
    <w:qFormat/>
    <w:pPr>
      <w:spacing w:after="80" w:before="160"/>
      <w:outlineLvl w:val="2"/>
    </w:pPr>
    <w:rPr>
      <w:rFonts w:ascii="Consolas" w:cs="Consolas" w:eastAsia="Consolas" w:hAnsi="Consolas"/>
      <w:b/>
      <w:bCs/>
      <w:color w:val="0F7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2026-06-11T06:29:20.075Z</dcterms:created>
  <dcterms:modified xsi:type="dcterms:W3CDTF">2026-06-11T06:29:20.075Z</dcterms:modified>
</cp:coreProperties>
</file>

<file path=docProps/custom.xml><?xml version="1.0" encoding="utf-8"?>
<Properties xmlns="http://schemas.openxmlformats.org/officeDocument/2006/custom-properties" xmlns:vt="http://schemas.openxmlformats.org/officeDocument/2006/docPropsVTypes"/>
</file>