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12AA1">
      <w:pPr>
        <w:spacing w:before="2400" w:after="0"/>
      </w:pPr>
    </w:p>
    <w:p w14:paraId="232F437A">
      <w:pPr>
        <w:spacing w:after="200"/>
        <w:jc w:val="center"/>
      </w:pPr>
      <w:r>
        <w:rPr>
          <w:rFonts w:ascii="Arial" w:hAnsi="Arial" w:eastAsia="Arial" w:cs="Arial"/>
          <w:b/>
          <w:bCs/>
          <w:color w:val="B8860B"/>
          <w:sz w:val="56"/>
          <w:szCs w:val="56"/>
        </w:rPr>
        <w:t>GOLD MONITOR</w:t>
      </w:r>
    </w:p>
    <w:p w14:paraId="5BEC4B09">
      <w:pPr>
        <w:pBdr>
          <w:bottom w:val="single" w:color="B8860B" w:sz="2" w:space="12"/>
        </w:pBdr>
        <w:spacing w:after="400"/>
        <w:jc w:val="center"/>
      </w:pPr>
      <w:r>
        <w:rPr>
          <w:rFonts w:ascii="Arial" w:hAnsi="Arial" w:eastAsia="Arial" w:cs="Arial"/>
          <w:color w:val="777777"/>
          <w:sz w:val="28"/>
          <w:szCs w:val="28"/>
        </w:rPr>
        <w:t>QUANT RESEARCH NOTE</w:t>
      </w:r>
    </w:p>
    <w:p w14:paraId="0FBC6F30">
      <w:pPr>
        <w:spacing w:before="400" w:after="0"/>
      </w:pPr>
    </w:p>
    <w:p w14:paraId="687C80D2">
      <w:pPr>
        <w:spacing w:after="120"/>
        <w:jc w:val="center"/>
      </w:pPr>
      <w:r>
        <w:rPr>
          <w:rFonts w:ascii="PingFang SC" w:hAnsi="PingFang SC" w:eastAsia="PingFang SC" w:cs="PingFang SC"/>
          <w:b/>
          <w:bCs/>
          <w:color w:val="1B2A4A"/>
          <w:sz w:val="44"/>
          <w:szCs w:val="44"/>
        </w:rPr>
        <w:t>宏观因子量化交易的七大陷阱</w:t>
      </w:r>
    </w:p>
    <w:p w14:paraId="504A68B7">
      <w:pPr>
        <w:spacing w:after="80"/>
        <w:jc w:val="center"/>
      </w:pPr>
      <w:r>
        <w:rPr>
          <w:rFonts w:ascii="PingFang SC" w:hAnsi="PingFang SC" w:eastAsia="PingFang SC" w:cs="PingFang SC"/>
          <w:color w:val="4A4A4A"/>
          <w:sz w:val="32"/>
          <w:szCs w:val="32"/>
        </w:rPr>
        <w:t>从一次模型翻车事件说起</w:t>
      </w:r>
    </w:p>
    <w:p w14:paraId="4449983A">
      <w:pPr>
        <w:spacing w:after="60"/>
        <w:jc w:val="center"/>
      </w:pPr>
      <w:r>
        <w:rPr>
          <w:rFonts w:ascii="Arial" w:hAnsi="Arial" w:eastAsia="Arial" w:cs="Arial"/>
          <w:i/>
          <w:iCs/>
          <w:color w:val="777777"/>
          <w:sz w:val="24"/>
          <w:szCs w:val="24"/>
        </w:rPr>
        <w:t>Seven Pitfalls in Macro Factor Quant Trading</w:t>
      </w:r>
    </w:p>
    <w:p w14:paraId="7155AE5A">
      <w:pPr>
        <w:spacing w:before="800" w:after="0"/>
      </w:pPr>
    </w:p>
    <w:p w14:paraId="1CF16D28">
      <w:pPr>
        <w:spacing w:after="60"/>
        <w:jc w:val="center"/>
      </w:pPr>
      <w:r>
        <w:rPr>
          <w:rFonts w:ascii="PingFang SC" w:hAnsi="PingFang SC" w:eastAsia="PingFang SC" w:cs="PingFang SC"/>
          <w:color w:val="777777"/>
          <w:sz w:val="22"/>
          <w:szCs w:val="22"/>
        </w:rPr>
        <w:t>Gold Monitor Project  |  2026-03</w:t>
      </w:r>
    </w:p>
    <w:p w14:paraId="5C197024">
      <w:pPr>
        <w:jc w:val="center"/>
      </w:pPr>
      <w:r>
        <w:rPr>
          <w:rFonts w:ascii="PingFang SC" w:hAnsi="PingFang SC" w:eastAsia="PingFang SC" w:cs="PingFang SC"/>
          <w:color w:val="777777"/>
          <w:sz w:val="20"/>
          <w:szCs w:val="20"/>
        </w:rPr>
        <w:t>基于 XGBoost + SHAP 的黄金多因子交易系统实战复盘</w:t>
      </w:r>
    </w:p>
    <w:p w14:paraId="6D9A5ABD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ABF1A9F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引言：当模型说「买入」，金价却在跌</w:t>
      </w:r>
    </w:p>
    <w:p w14:paraId="159A1D9F">
      <w:pPr>
        <w:spacing w:before="80" w:after="80" w:line="360" w:lineRule="auto"/>
        <w:ind w:firstLine="440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2026年3月的一个早晨，Gold Monitor 交易系统发出了一个</w:t>
      </w:r>
      <w:r>
        <w:rPr>
          <w:rFonts w:ascii="PingFang SC" w:hAnsi="PingFang SC" w:eastAsia="PingFang SC" w:cs="PingFang SC"/>
          <w:b/>
          <w:bCs/>
          <w:color w:val="27AE60"/>
          <w:sz w:val="22"/>
          <w:szCs w:val="22"/>
        </w:rPr>
        <w:t>「Strong Buy」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>信号。然而，此时黄金价格正从5300美元的高位一路回落至4500美元附近——模型的判断与市场方向</w:t>
      </w:r>
      <w:r>
        <w:rPr>
          <w:rFonts w:ascii="PingFang SC" w:hAnsi="PingFang SC" w:eastAsia="PingFang SC" w:cs="PingFang SC"/>
          <w:b/>
          <w:bCs/>
          <w:color w:val="C0392B"/>
          <w:sz w:val="22"/>
          <w:szCs w:val="22"/>
        </w:rPr>
        <w:t>完全相反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>。</w:t>
      </w:r>
    </w:p>
    <w:p w14:paraId="11E97F7F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这不是一个偶然的错误。经过深入排查，我们发现这个看似简单的「信号错误」背后，隐藏着宏观因子量化交易中最常见的七大陷阱。每一个陷阱都足以让一个精心构建的模型变成一台「反向指标机器」。</w:t>
      </w:r>
    </w:p>
    <w:p w14:paraId="0FA06431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这篇文章将以这次真实的模型翻车事件为线索，逐一拆解这些陷阱，并给出已经在我们系统中验证过的解决方案。无论你是刚入门的量化爱好者，还是正在构建自己交易系统的开发者，这些经验教训都具有普遍的参考价值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65C1FE59">
        <w:tc>
          <w:tcPr>
            <w:tcW w:w="120" w:type="dxa"/>
            <w:tcBorders>
              <w:top w:val="nil"/>
              <w:left w:val="single" w:color="B8860B" w:sz="12" w:space="0"/>
              <w:bottom w:val="nil"/>
              <w:right w:val="nil"/>
            </w:tcBorders>
            <w:shd w:val="clear" w:color="auto" w:fill="B8860B"/>
          </w:tcPr>
          <w:p w14:paraId="268350DF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6AA061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B8860B"/>
                <w:sz w:val="22"/>
                <w:szCs w:val="22"/>
              </w:rPr>
              <w:t>系统概览</w:t>
            </w:r>
          </w:p>
          <w:p w14:paraId="2A32C536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Gold Monitor 是一个基于 XGBoost + SHAP 的多因子黄金交易系统，使用美元指数、实际利率、通胀预期、波动率等宏观因子，通过滚动 Z-Score 标准化后输入模型，预测未来20个交易日的黄金收益率，并生成买卖信号。</w:t>
            </w:r>
          </w:p>
        </w:tc>
      </w:tr>
    </w:tbl>
    <w:p w14:paraId="0A12B6F5">
      <w:pPr>
        <w:spacing w:before="200" w:after="0"/>
      </w:pPr>
    </w:p>
    <w:p w14:paraId="0C8BE0E6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陷阱一：单因子 SHAP 支配——当一个因子「绑架」了整个模型</w:t>
      </w:r>
    </w:p>
    <w:p w14:paraId="2464A49C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2519E84C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在排查信号错误时，我们首先查看了 SHAP 归因图。结果令人震惊：</w:t>
      </w:r>
    </w:p>
    <w:p w14:paraId="45F35A10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</w:p>
    <w:p w14:paraId="68BADFB5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800"/>
        <w:gridCol w:w="2000"/>
        <w:gridCol w:w="2360"/>
      </w:tblGrid>
      <w:tr w14:paraId="5AE99882">
        <w:trPr>
          <w:tblHeader/>
        </w:trPr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6C91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因子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71B4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SHAP 贡献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550A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占总贡献比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CD3C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0F2480EC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810C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F2_FedFunds (联邦基金利率)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380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+5.24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955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96.2%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B71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异常支配</w:t>
            </w:r>
          </w:p>
        </w:tc>
      </w:tr>
      <w:tr w14:paraId="11A810C3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B67F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F3_TIPS10Y (实际利率)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999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+0.08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16F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1.5%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482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被压制</w:t>
            </w:r>
          </w:p>
        </w:tc>
      </w:tr>
      <w:tr w14:paraId="3EC9D676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88A1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F1_DXY (美元指数)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7A9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+0.05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83E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0.9%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07B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被压制</w:t>
            </w:r>
          </w:p>
        </w:tc>
      </w:tr>
      <w:tr w14:paraId="784CA6F5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B5DE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其余6个因子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16A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+0.08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86A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1.4%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D87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几乎无效</w:t>
            </w:r>
          </w:p>
        </w:tc>
      </w:tr>
    </w:tbl>
    <w:p w14:paraId="24A777E5">
      <w:pPr>
        <w:spacing w:before="100" w:after="0"/>
      </w:pPr>
    </w:p>
    <w:p w14:paraId="1F520BB1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一个因子贡献了96%的预测力——这意味着我们花大量精力构建的多因子模型，实际上退化成了一个「单因子模型」。而这个因子（联邦基金利率）的 Z-Score 高达 +4.85，远超正常范围，直接驱动模型给出了极端的买入信号。</w:t>
      </w:r>
    </w:p>
    <w:p w14:paraId="6649BCA2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根因分析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4634C9BB">
        <w:tc>
          <w:tcPr>
            <w:tcW w:w="120" w:type="dxa"/>
            <w:tcBorders>
              <w:top w:val="nil"/>
              <w:left w:val="single" w:color="2E75B6" w:sz="12" w:space="0"/>
              <w:bottom w:val="nil"/>
              <w:right w:val="nil"/>
            </w:tcBorders>
            <w:shd w:val="clear" w:color="auto" w:fill="2E75B6"/>
          </w:tcPr>
          <w:p w14:paraId="544CC35F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EF4780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2E75B6"/>
                <w:sz w:val="22"/>
                <w:szCs w:val="22"/>
              </w:rPr>
              <w:t>什么是 Z-Score？</w:t>
            </w:r>
          </w:p>
          <w:p w14:paraId="20001E6E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Z-Score 是一种标准化方法：Z = (当前值 - 历史均值) / 历史标准差。Z-Score = 0 表示等于均值，|Z| &gt; 2 表示偏离均值两个标准差，属于极端值。我们使用252天（一年）的滚动窗口来计算。</w:t>
            </w:r>
          </w:p>
        </w:tc>
      </w:tr>
    </w:tbl>
    <w:p w14:paraId="2A53649E">
      <w:pPr>
        <w:spacing w:before="100" w:after="0"/>
      </w:pPr>
    </w:p>
    <w:p w14:paraId="3589F756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问题出在 Z-Score 的计算窗口上。联邦基金利率在2022-2023年经历了历史性的加息周期（从0%升至5.5%），然后在5%以上维持了很长时间。使用252天的滚动窗口时：</w:t>
      </w:r>
    </w:p>
    <w:p w14:paraId="4C5E9E5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窗口内的均值约为5.2%，标准差极小（约0.08）</w:t>
      </w:r>
    </w:p>
    <w:p w14:paraId="0C88B15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任何微小的利率变动都会产生巨大的Z-Score</w:t>
      </w:r>
    </w:p>
    <w:p w14:paraId="784FA99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当利率从5.5%降至4.5%时，Z-Score飙升到+4.85</w:t>
      </w:r>
    </w:p>
    <w:p w14:paraId="6946A62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XGBoost 看到这个极端输入值，自然给出极端的输出</w:t>
      </w:r>
    </w:p>
    <w:p w14:paraId="1799D38F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这就像用一把精度为0.001毫米的尺子去测量桌子的长度——任何微小的抖动都会被放大成「异常值」。</w:t>
      </w:r>
    </w:p>
    <w:p w14:paraId="3547AFD8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</w:t>
      </w:r>
    </w:p>
    <w:p w14:paraId="2D9DCE3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缩短 F2 的 Z-Score 窗口从252天到60天，让标准差更能反映近期波动</w:t>
      </w:r>
    </w:p>
    <w:p w14:paraId="5637B4C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增加 XGBoost 正则化：max_depth=3, min_child_weight=30, reg_lambda=5.0</w:t>
      </w:r>
    </w:p>
    <w:p w14:paraId="4EEB1F93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设置 SHAP 稳定性检查：当单因子贡献超过60%时自动报警</w:t>
      </w:r>
    </w:p>
    <w:p w14:paraId="4D9FDCF1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修复效果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2000"/>
        <w:gridCol w:w="2560"/>
      </w:tblGrid>
      <w:tr w14:paraId="73157BC1">
        <w:trPr>
          <w:tblHeader/>
        </w:trPr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6BA1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B06B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修复前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FE9B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修复后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A412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变化</w:t>
            </w:r>
          </w:p>
        </w:tc>
      </w:tr>
      <w:tr w14:paraId="46067412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063B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 SHAP 占比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65F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96.2%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899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37%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303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-59.2pp</w:t>
            </w:r>
          </w:p>
        </w:tc>
      </w:tr>
      <w:tr w14:paraId="43DD6850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A3DB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最大单因子占比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828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96.2%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BB4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37%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D8A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分散化</w:t>
            </w:r>
          </w:p>
        </w:tc>
      </w:tr>
      <w:tr w14:paraId="2CF83469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D5D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模型信号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C95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Strong Buy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DB1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Sell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063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方向修正</w:t>
            </w:r>
          </w:p>
        </w:tc>
      </w:tr>
      <w:tr w14:paraId="4F955148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94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与市场一致性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7BC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完全相反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241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一致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842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恢复正常</w:t>
            </w:r>
          </w:p>
        </w:tc>
      </w:tr>
    </w:tbl>
    <w:p w14:paraId="5282364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42B9161C">
        <w:tc>
          <w:tcPr>
            <w:tcW w:w="120" w:type="dxa"/>
            <w:tcBorders>
              <w:top w:val="nil"/>
              <w:left w:val="single" w:color="E67E22" w:sz="12" w:space="0"/>
              <w:bottom w:val="nil"/>
              <w:right w:val="nil"/>
            </w:tcBorders>
            <w:shd w:val="clear" w:color="auto" w:fill="E67E22"/>
          </w:tcPr>
          <w:p w14:paraId="3FB080B9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B3B78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E67E22"/>
                <w:sz w:val="22"/>
                <w:szCs w:val="22"/>
              </w:rPr>
              <w:t>启发</w:t>
            </w:r>
          </w:p>
          <w:p w14:paraId="3881788A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SHAP 归因不仅是一个「事后解释」工具，更应该被当作一个实时监控指标。当你看到单因子贡献超过50%，就该警惕模型是否已经退化为单因子策略。这类问题在面板数据或宏观因子中尤其常见，因为宏观变量往往有长期趋势。</w:t>
            </w:r>
          </w:p>
        </w:tc>
      </w:tr>
    </w:tbl>
    <w:p w14:paraId="5F0C7042">
      <w:r>
        <w:br w:type="page"/>
      </w:r>
    </w:p>
    <w:p w14:paraId="6B8F3DD4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陷阱二：多重共线性——因子之间的「群体效应」</w:t>
      </w:r>
    </w:p>
    <w:p w14:paraId="2D93D9E1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5508EC70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修复完 SHAP 支配问题后，我们运行了相关性矩阵分析。结果再次令人担忧——在10个因子中，有11对因子的相关系数 |r| &gt; 0.6：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200"/>
        <w:gridCol w:w="3660"/>
      </w:tblGrid>
      <w:tr w14:paraId="40F2E7CE">
        <w:trPr>
          <w:tblHeader/>
        </w:trPr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5268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因子对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3C5A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Spearman |r|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C7E6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本质关系</w:t>
            </w:r>
          </w:p>
        </w:tc>
      </w:tr>
      <w:tr w14:paraId="39EEE108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667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F2_FedFunds × F2b_RateMomentum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180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0.888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BF2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同为利率指标</w:t>
            </w:r>
          </w:p>
        </w:tc>
      </w:tr>
      <w:tr w14:paraId="534BF68B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575D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F2c_RateExpect × F3_TIPS10Y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F83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0.885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E50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同为利率预期</w:t>
            </w:r>
          </w:p>
        </w:tc>
      </w:tr>
      <w:tr w14:paraId="05A6E459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6D6C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F1_DXY × F9_GDXRatio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F9E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0.845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BBC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美元强弱的不同表达</w:t>
            </w:r>
          </w:p>
        </w:tc>
      </w:tr>
      <w:tr w14:paraId="233507F1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1D51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F1_DXY × F5_GPR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20E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0.827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2C4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风险偏好传导</w:t>
            </w:r>
          </w:p>
        </w:tc>
      </w:tr>
      <w:tr w14:paraId="79CE332A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E3C7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F2c_RateExpect × F9_GDXRatio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412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0.799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ED8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利率→矿业股</w:t>
            </w:r>
          </w:p>
        </w:tc>
      </w:tr>
      <w:tr w14:paraId="7CAE4296"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36C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F3_TIPS10Y × F9_GDXRatio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B1A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0.791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B7B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利率→矿业股</w:t>
            </w:r>
          </w:p>
        </w:tc>
      </w:tr>
    </w:tbl>
    <w:p w14:paraId="7D181C0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5C981E02">
        <w:tc>
          <w:tcPr>
            <w:tcW w:w="120" w:type="dxa"/>
            <w:tcBorders>
              <w:top w:val="nil"/>
              <w:left w:val="single" w:color="2E75B6" w:sz="12" w:space="0"/>
              <w:bottom w:val="nil"/>
              <w:right w:val="nil"/>
            </w:tcBorders>
            <w:shd w:val="clear" w:color="auto" w:fill="2E75B6"/>
          </w:tcPr>
          <w:p w14:paraId="027222BF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063B2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2E75B6"/>
                <w:sz w:val="22"/>
                <w:szCs w:val="22"/>
              </w:rPr>
              <w:t>什么是多重共线性？</w:t>
            </w:r>
          </w:p>
          <w:p w14:paraId="34006833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想象你雇了10个人来投票决定方向。但其中4个人是一家人，他们总是投一样的票。表面上看你有10票，实际上只有7个独立意见。更糟糕的是，这4票的「一致性」会让模型过度重视这个家族的观点，因为它看起来「证据很强」——4票都支持同一个方向。</w:t>
            </w:r>
          </w:p>
        </w:tc>
      </w:tr>
    </w:tbl>
    <w:p w14:paraId="0B6660B4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为什么这很危险？</w:t>
      </w:r>
    </w:p>
    <w:p w14:paraId="6A67275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信号冗余：4个利率相关因子本质上传递同一个信息，但模型会4次计入这个信息</w:t>
      </w:r>
    </w:p>
    <w:p w14:paraId="739A800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SHAP 分裂：相关因子之间会「瓜分」SHAP值，导致每个因子看起来都不重要，掩盖真实的驱动因素</w:t>
      </w:r>
    </w:p>
    <w:p w14:paraId="5D0654C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过拟合加剧：模型可以用多个高相关因子的微小差异来「记住」训练集的噪声</w:t>
      </w:r>
    </w:p>
    <w:p w14:paraId="691380A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不稳定：训练数据稍有变化，SHAP 归因就会在相关因子之间大幅跳动</w:t>
      </w:r>
    </w:p>
    <w:p w14:paraId="689C1D76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解决方案：因子精简</w:t>
      </w:r>
    </w:p>
    <w:p w14:paraId="346E9283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我们按照「代表性 + IC 信号质量」的原则，对利率簇进行了精简：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400"/>
        <w:gridCol w:w="3560"/>
      </w:tblGrid>
      <w:tr w14:paraId="7B475743">
        <w:trPr>
          <w:tblHeader/>
        </w:trPr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9661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因子</w:t>
            </w:r>
          </w:p>
        </w:tc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1DD9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OOS IC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E0FE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决定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AD8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14:paraId="24B58A1B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41E5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F2_FedFunds</w:t>
            </w:r>
          </w:p>
        </w:tc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906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-0.42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024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移除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F8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负IC，与F2b高度相关</w:t>
            </w:r>
          </w:p>
        </w:tc>
      </w:tr>
      <w:tr w14:paraId="4CB13853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F2E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F2b_RateMomentum</w:t>
            </w:r>
          </w:p>
        </w:tc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3EF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-0.36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C66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移除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7FA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负IC，与F2冗余</w:t>
            </w:r>
          </w:p>
        </w:tc>
      </w:tr>
      <w:tr w14:paraId="36A6E95C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6591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F2c_RateExpect</w:t>
            </w:r>
          </w:p>
        </w:tc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5ED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-0.14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6DA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移除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94A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负IC，与F3高度相关</w:t>
            </w:r>
          </w:p>
        </w:tc>
      </w:tr>
      <w:tr w14:paraId="04CC18BC"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C295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F3_TIPS10Y</w:t>
            </w:r>
          </w:p>
        </w:tc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A13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+0.32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6EE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保留</w:t>
            </w:r>
          </w:p>
        </w:tc>
        <w:tc>
          <w:tcPr>
            <w:tcW w:w="3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26D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利率簇中IC最高</w:t>
            </w:r>
          </w:p>
        </w:tc>
      </w:tr>
    </w:tbl>
    <w:p w14:paraId="69B86C0A">
      <w:pPr>
        <w:spacing w:before="100" w:after="0"/>
      </w:pPr>
    </w:p>
    <w:p w14:paraId="0D65E668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精简后，因子数从10个减少到7个，高相关对从11对降至2对。看似「少了」，实际上模型获得的独立信息反而更多了。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29E00DCD">
        <w:tc>
          <w:tcPr>
            <w:tcW w:w="120" w:type="dxa"/>
            <w:tcBorders>
              <w:top w:val="nil"/>
              <w:left w:val="single" w:color="E67E22" w:sz="12" w:space="0"/>
              <w:bottom w:val="nil"/>
              <w:right w:val="nil"/>
            </w:tcBorders>
            <w:shd w:val="clear" w:color="auto" w:fill="E67E22"/>
          </w:tcPr>
          <w:p w14:paraId="116CF014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03C26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E67E22"/>
                <w:sz w:val="22"/>
                <w:szCs w:val="22"/>
              </w:rPr>
              <w:t>启发</w:t>
            </w:r>
          </w:p>
          <w:p w14:paraId="5C8178E5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添加更多因子不等于模型更好。在量化交易中，因子质量 &gt; 因子数量。每增加一个因子之前，先检查它与现有因子的相关性。如果 |r| &gt; 0.7，大概率是冗余的。真正能提升模型的是那些与现有因子低相关、但与目标变量有独立预测力的因子。</w:t>
            </w:r>
          </w:p>
        </w:tc>
      </w:tr>
    </w:tbl>
    <w:p w14:paraId="691BE569">
      <w:r>
        <w:br w:type="page"/>
      </w:r>
    </w:p>
    <w:p w14:paraId="7EC056BD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陷阱三：死因子——占位不做事的「僵尸变量」</w:t>
      </w:r>
    </w:p>
    <w:p w14:paraId="679F6407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79FABF92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在相关性矩阵中，我们发现 F7_WGC（世界黄金协会ETF资金流）这一列全部显示 NaN。进一步检查发现：</w:t>
      </w:r>
    </w:p>
    <w:p w14:paraId="6A567E5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F7_WGC 的值在所有日期上都是 0.0</w:t>
      </w:r>
    </w:p>
    <w:p w14:paraId="5D698DC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数据源（WGC官网）需要手动下载，API已失效</w:t>
      </w:r>
    </w:p>
    <w:p w14:paraId="4871CB83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因子工程中对缺失值填充了0，导致 Z-Score 也恒为 0</w:t>
      </w:r>
    </w:p>
    <w:p w14:paraId="7968EDF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模型训练时，这个全零列完全不提供信息，但仍然占据一个特征维度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04424E82">
        <w:tc>
          <w:tcPr>
            <w:tcW w:w="120" w:type="dxa"/>
            <w:tcBorders>
              <w:top w:val="nil"/>
              <w:left w:val="single" w:color="2E75B6" w:sz="12" w:space="0"/>
              <w:bottom w:val="nil"/>
              <w:right w:val="nil"/>
            </w:tcBorders>
            <w:shd w:val="clear" w:color="auto" w:fill="2E75B6"/>
          </w:tcPr>
          <w:p w14:paraId="24299D92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730287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2E75B6"/>
                <w:sz w:val="22"/>
                <w:szCs w:val="22"/>
              </w:rPr>
              <w:t>通俗解释</w:t>
            </w:r>
          </w:p>
          <w:p w14:paraId="3C3AA4C5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这就像一家公司的董事会中有一个永远投「弃权票」的成员。他不影响任何决议，但占了一个席位。在极端情况下，树模型可能会在某个随机分裂点选中这个全零特征，引入纯粹的噪声。</w:t>
            </w:r>
          </w:p>
        </w:tc>
      </w:tr>
    </w:tbl>
    <w:p w14:paraId="148042F6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</w:t>
      </w:r>
    </w:p>
    <w:p w14:paraId="57AF155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从因子列表中彻底移除 F7_WGC</w:t>
      </w:r>
    </w:p>
    <w:p w14:paraId="0E23313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在 model_health.json 中新增「死因子检测」：如果任何因子的方差为零或 IC 为 NaN，自动标记为 dead factor</w:t>
      </w:r>
    </w:p>
    <w:p w14:paraId="2BEFDDF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建立因子存活率指标：每月检查所有因子的数据新鲜度</w:t>
      </w:r>
    </w:p>
    <w:p w14:paraId="0DC9A2AE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教训很简单：定期审计你的因子库。数据源会失效，API会改版，因子会「死掉」。一个没有数据更新的因子比没有因子更危险，因为它给你一种虚假的安全感——「我有10个因子，应该够稳健了吧？」</w:t>
      </w:r>
    </w:p>
    <w:p w14:paraId="649DB626">
      <w:r>
        <w:br w:type="page"/>
      </w:r>
    </w:p>
    <w:p w14:paraId="150866FB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陷阱四：IC 污染——用答案来判断自己考得好不好</w:t>
      </w:r>
    </w:p>
    <w:p w14:paraId="6012CFAC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30D43A33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模型训练完成后，我们计算了 IC（Information Coefficient，信息系数）来评估模型质量。结果显示：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000"/>
        <w:gridCol w:w="4160"/>
      </w:tblGrid>
      <w:tr w14:paraId="2332D40E">
        <w:trPr>
          <w:tblHeader/>
        </w:trPr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7D7E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时间段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4F45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IC 值</w:t>
            </w:r>
          </w:p>
        </w:tc>
        <w:tc>
          <w:tcPr>
            <w:tcW w:w="4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0B7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解读</w:t>
            </w:r>
          </w:p>
        </w:tc>
      </w:tr>
      <w:tr w14:paraId="3A4536C2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01B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2023.01 - 2023.06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4A6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+0.91</w:t>
            </w:r>
          </w:p>
        </w:tc>
        <w:tc>
          <w:tcPr>
            <w:tcW w:w="4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7E5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几乎完美预测</w:t>
            </w:r>
          </w:p>
        </w:tc>
      </w:tr>
      <w:tr w14:paraId="3888A8DB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4431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2023.07 - 2024.06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A50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+0.72</w:t>
            </w:r>
          </w:p>
        </w:tc>
        <w:tc>
          <w:tcPr>
            <w:tcW w:w="4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4C5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非常优秀</w:t>
            </w:r>
          </w:p>
        </w:tc>
      </w:tr>
      <w:tr w14:paraId="5E5B6421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13A5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2024.07 - 2025.03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E8B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数据缺失</w:t>
            </w:r>
          </w:p>
        </w:tc>
        <w:tc>
          <w:tcPr>
            <w:tcW w:w="4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65B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IC追踪中断5个月</w:t>
            </w:r>
          </w:p>
        </w:tc>
      </w:tr>
      <w:tr w14:paraId="2CE201E6"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21B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2025.10 (最新)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CAB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-0.16</w:t>
            </w:r>
          </w:p>
        </w:tc>
        <w:tc>
          <w:tcPr>
            <w:tcW w:w="4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83C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反向预测</w:t>
            </w:r>
          </w:p>
        </w:tc>
      </w:tr>
    </w:tbl>
    <w:p w14:paraId="3EE53CD7">
      <w:pPr>
        <w:spacing w:before="100" w:after="0"/>
      </w:pPr>
    </w:p>
    <w:p w14:paraId="08970091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从0.91到-0.16，IC出现了断崖式下跌。但更大的问题是：0.91这个数字本身就有问题。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4C76A555">
        <w:tc>
          <w:tcPr>
            <w:tcW w:w="120" w:type="dxa"/>
            <w:tcBorders>
              <w:top w:val="nil"/>
              <w:left w:val="single" w:color="2E75B6" w:sz="12" w:space="0"/>
              <w:bottom w:val="nil"/>
              <w:right w:val="nil"/>
            </w:tcBorders>
            <w:shd w:val="clear" w:color="auto" w:fill="2E75B6"/>
          </w:tcPr>
          <w:p w14:paraId="74F1157F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5BD6D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2E75B6"/>
                <w:sz w:val="22"/>
                <w:szCs w:val="22"/>
              </w:rPr>
              <w:t>什么是 IC（信息系数）？</w:t>
            </w:r>
          </w:p>
          <w:p w14:paraId="71335B28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IC 衡量的是模型预测值和实际值之间的排序一致性（Spearman相关系数）。IC=1 表示完美预测，IC=0 表示随机猜测，IC&lt;0 表示反向预测。在量化领域，IC &gt; 0.05 就被认为有价值，IC &gt; 0.1 已经很优秀，IC &gt; 0.3 几乎不可能在样本外持续达到。</w:t>
            </w:r>
          </w:p>
        </w:tc>
      </w:tr>
    </w:tbl>
    <w:p w14:paraId="3A0A4B3C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根因：样本内 IC 的幻觉</w:t>
      </w:r>
    </w:p>
    <w:p w14:paraId="1AF25B0C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IC = 0.91 之所以不真实，是因为它是在训练数据上计算的（In-Sample IC）。模型在训练时已经「看过」了这些数据的答案，所以自然能给出高分。这就像：</w:t>
      </w:r>
    </w:p>
    <w:p w14:paraId="646688E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考试前把答案背下来，然后考了95分——你觉得自己很厉害</w:t>
      </w:r>
    </w:p>
    <w:p w14:paraId="033CB59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换一张新卷子，考了15分——才发现之前只是在「背答案」</w:t>
      </w:r>
    </w:p>
    <w:p w14:paraId="279F8EF9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正确的做法是只计算样本外（Out-of-Sample, OOS）IC，使用 Purged Time Series Cross-Validation，并确保训练集和测试集之间有足够的时间间隔（我们使用20天的purge gap），防止信息泄漏。</w:t>
      </w:r>
    </w:p>
    <w:p w14:paraId="0B82B270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修复后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2600"/>
        <w:gridCol w:w="1960"/>
      </w:tblGrid>
      <w:tr w14:paraId="092C1B09">
        <w:trPr>
          <w:tblHeader/>
        </w:trPr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6B9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3033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修复前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8154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修复后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A688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7BA2057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B15E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IC 计算方式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239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混合(IS+OOS)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2BF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纯 OOS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2F8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消除泄漏</w:t>
            </w:r>
          </w:p>
        </w:tc>
      </w:tr>
      <w:tr w14:paraId="11AB3BD0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4097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CV 方法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959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无 purge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A68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Purged TSCV (20天gap)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FA4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防止前瞻</w:t>
            </w:r>
          </w:p>
        </w:tc>
      </w:tr>
      <w:tr w14:paraId="24E4BBB5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9AD5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 样本数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E1B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未知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3A2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123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621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可验证</w:t>
            </w:r>
          </w:p>
        </w:tc>
      </w:tr>
      <w:tr w14:paraId="52F051EA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E79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 Mean IC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8070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0.91 (虚高)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A53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+0.031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0BD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真实水平</w:t>
            </w:r>
          </w:p>
        </w:tc>
      </w:tr>
    </w:tbl>
    <w:p w14:paraId="276EA769">
      <w:pPr>
        <w:spacing w:before="100" w:after="0"/>
      </w:pPr>
    </w:p>
    <w:p w14:paraId="7413D2C6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OOS IC = 0.031，虽然看起来「不够漂亮」，但这才是模型的真实预测能力。在黄金这样高效的市场中，这个水平已经具有边际价值——关键是要诚实面对。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68C9FC4F">
        <w:tc>
          <w:tcPr>
            <w:tcW w:w="120" w:type="dxa"/>
            <w:tcBorders>
              <w:top w:val="nil"/>
              <w:left w:val="single" w:color="C0392B" w:sz="12" w:space="0"/>
              <w:bottom w:val="nil"/>
              <w:right w:val="nil"/>
            </w:tcBorders>
            <w:shd w:val="clear" w:color="auto" w:fill="C0392B"/>
          </w:tcPr>
          <w:p w14:paraId="666E17B3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E7B96B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C0392B"/>
                <w:sz w:val="22"/>
                <w:szCs w:val="22"/>
              </w:rPr>
              <w:t>启发</w:t>
            </w:r>
          </w:p>
          <w:p w14:paraId="18DA2260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在量化研究中，最危险的不是模型不好，而是你以为模型很好。样本内的优异表现是过拟合的经典症状。永远只关注 OOS 指标，永远对「太好的结果」保持怀疑。如果你的IC超过0.3，第一反应应该是「哪里有bug」，而不是「我发现了圣杯」。</w:t>
            </w:r>
          </w:p>
        </w:tc>
      </w:tr>
    </w:tbl>
    <w:p w14:paraId="7F6EC0D9">
      <w:r>
        <w:br w:type="page"/>
      </w:r>
    </w:p>
    <w:p w14:paraId="0F7E1A9C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陷阱五：Regime 检测过于保守——永远「无法确定」的市场状态</w:t>
      </w:r>
    </w:p>
    <w:p w14:paraId="457ECC77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52691513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系统的 Regime 热力图模块本应告诉我们当前市场处于哪种状态：Risk-On（风险偏好）、Risk-Off（避险）或 Transition（过渡期）。但在检查中，我们发现几乎所有时间段都显示「Transition」：</w:t>
      </w:r>
    </w:p>
    <w:p w14:paraId="28E6C4D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Transition 占比 &gt; 80%</w:t>
      </w:r>
    </w:p>
    <w:p w14:paraId="678C7F2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Risk-Off 和 Risk-On 几乎从未触发</w:t>
      </w:r>
    </w:p>
    <w:p w14:paraId="6383DFA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更糟糕的是：当系统确实触发 Transition 时，它将其映射为 Risk-Off，导致持仓减半</w:t>
      </w:r>
    </w:p>
    <w:p w14:paraId="2A1CB92B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根因</w:t>
      </w:r>
    </w:p>
    <w:p w14:paraId="52D57B64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Regime 检测使用5个因子的 Z-Score 加权打分，但阈值设置得太严格了：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3000"/>
        <w:gridCol w:w="1960"/>
      </w:tblGrid>
      <w:tr w14:paraId="5F4B4B46">
        <w:trPr>
          <w:tblHeader/>
        </w:trPr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7A33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EF76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旧阈值</w:t>
            </w:r>
          </w:p>
        </w:tc>
        <w:tc>
          <w:tcPr>
            <w:tcW w:w="3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F274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F7B0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触发概率</w:t>
            </w:r>
          </w:p>
        </w:tc>
      </w:tr>
      <w:tr w14:paraId="5E57FD6D"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4B8A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Risk-Off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745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score &lt; -1.0</w:t>
            </w:r>
          </w:p>
        </w:tc>
        <w:tc>
          <w:tcPr>
            <w:tcW w:w="3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61B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5因子加权Z均值 &lt; -1σ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4DD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~16%</w:t>
            </w:r>
          </w:p>
        </w:tc>
      </w:tr>
      <w:tr w14:paraId="2AC0AFDD"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0A87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Risk-On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633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score &gt; +1.0</w:t>
            </w:r>
          </w:p>
        </w:tc>
        <w:tc>
          <w:tcPr>
            <w:tcW w:w="3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805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5因子加权Z均值 &gt; +1σ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AF4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~16%</w:t>
            </w:r>
          </w:p>
        </w:tc>
      </w:tr>
      <w:tr w14:paraId="205A6134"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D2FE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Transition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842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其他</w:t>
            </w:r>
          </w:p>
        </w:tc>
        <w:tc>
          <w:tcPr>
            <w:tcW w:w="3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313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介于两者之间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E8F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~68%</w:t>
            </w:r>
          </w:p>
        </w:tc>
      </w:tr>
    </w:tbl>
    <w:p w14:paraId="35AA48C0">
      <w:pPr>
        <w:spacing w:before="100" w:after="0"/>
      </w:pPr>
    </w:p>
    <w:p w14:paraId="28621C39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±1.0 标准差意味着只有最极端的32%的市场状态才会被分类。这就像一个天气预报员，只有气温超过40度才说「热」，低于-10度才说「冷」，其他时候都说「不确定」——这样的预报几乎没有实用价值。</w:t>
      </w:r>
    </w:p>
    <w:p w14:paraId="3326E1F8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</w:t>
      </w:r>
    </w:p>
    <w:p w14:paraId="09E1D80E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我们将阈值从 ±1.0 降低到 ±0.5，并引入更细粒度的分类：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000"/>
        <w:gridCol w:w="3160"/>
      </w:tblGrid>
      <w:tr w14:paraId="0CC952A1">
        <w:trPr>
          <w:tblHeader/>
        </w:trPr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8E35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8922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阈值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5F77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持仓乘数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7B23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02E00158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02D7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Risk-Off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1DE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score &lt; -0.5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D34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0.3x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A7E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避险模式，大幅减仓</w:t>
            </w:r>
          </w:p>
        </w:tc>
      </w:tr>
      <w:tr w14:paraId="25E0C891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B06B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Cautious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8AF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-0.5 ~ 0.0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C5C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0.7x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96E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谨慎模式，适度减仓</w:t>
            </w:r>
          </w:p>
        </w:tc>
      </w:tr>
      <w:tr w14:paraId="413113C5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8BE6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Neutral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52C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0.0 ± 0.15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3B2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1.0x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18B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中性，正常持仓</w:t>
            </w:r>
          </w:p>
        </w:tc>
      </w:tr>
      <w:tr w14:paraId="206B6F0C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AFC6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Favorable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FF9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0.0 ~ +0.5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6E0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1.0x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786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偏好模式，正常持仓</w:t>
            </w:r>
          </w:p>
        </w:tc>
      </w:tr>
      <w:tr w14:paraId="2FB38958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1CDF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Risk-On</w:t>
            </w:r>
          </w:p>
        </w:tc>
        <w:tc>
          <w:tcPr>
            <w:tcW w:w="2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F59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score &gt; +0.5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200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1.2x</w:t>
            </w:r>
          </w:p>
        </w:tc>
        <w:tc>
          <w:tcPr>
            <w:tcW w:w="3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B90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激进模式，可加仓</w:t>
            </w:r>
          </w:p>
        </w:tc>
      </w:tr>
    </w:tbl>
    <w:p w14:paraId="402E0442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70691050">
        <w:tc>
          <w:tcPr>
            <w:tcW w:w="120" w:type="dxa"/>
            <w:tcBorders>
              <w:top w:val="nil"/>
              <w:left w:val="single" w:color="E67E22" w:sz="12" w:space="0"/>
              <w:bottom w:val="nil"/>
              <w:right w:val="nil"/>
            </w:tcBorders>
            <w:shd w:val="clear" w:color="auto" w:fill="E67E22"/>
          </w:tcPr>
          <w:p w14:paraId="14B88F69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C69CC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E67E22"/>
                <w:sz w:val="22"/>
                <w:szCs w:val="22"/>
              </w:rPr>
              <w:t>启发</w:t>
            </w:r>
          </w:p>
          <w:p w14:paraId="45BC5AC8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Regime 检测的目的是辅助决策，不是追求完美分类。一个「大致正确」的状态判断比「要么极端、要么不确定」的判断有用得多。在设计阈值时，考虑实际的市场分布——大部分时间市场处于温和状态，你的系统也应该能描述这些温和状态。</w:t>
            </w:r>
          </w:p>
        </w:tc>
      </w:tr>
    </w:tbl>
    <w:p w14:paraId="45226144">
      <w:r>
        <w:br w:type="page"/>
      </w:r>
    </w:p>
    <w:p w14:paraId="5EC881B9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陷阱六：数据链断裂——看不见的「供应链危机」</w:t>
      </w:r>
    </w:p>
    <w:p w14:paraId="292B6B74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14AE8217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在某次日常检查中，我们发现仪表板显示的金价是 $3124.50——而真实金价已经在 $4500 以上。前端显示的 F5（地缘政治风险）和 F6（黄金波动率）也停留在几周前的数值。</w:t>
      </w:r>
    </w:p>
    <w:p w14:paraId="13EF8328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一个量化系统的「数据链」通常是这样的：</w:t>
      </w:r>
    </w:p>
    <w:p w14:paraId="3486D301">
      <w:pPr>
        <w:spacing w:before="80" w:after="80" w:line="360" w:lineRule="auto"/>
      </w:pPr>
      <w:r>
        <w:rPr>
          <w:rFonts w:ascii="PingFang SC" w:hAnsi="PingFang SC" w:eastAsia="PingFang SC" w:cs="PingFang SC"/>
          <w:b/>
          <w:bCs/>
          <w:color w:val="1A1A1A"/>
          <w:sz w:val="22"/>
          <w:szCs w:val="22"/>
        </w:rPr>
        <w:t>数据源 (Yahoo/FRED/Stooq)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 xml:space="preserve"> → </w:t>
      </w:r>
      <w:r>
        <w:rPr>
          <w:rFonts w:ascii="PingFang SC" w:hAnsi="PingFang SC" w:eastAsia="PingFang SC" w:cs="PingFang SC"/>
          <w:b/>
          <w:bCs/>
          <w:color w:val="1A1A1A"/>
          <w:sz w:val="22"/>
          <w:szCs w:val="22"/>
        </w:rPr>
        <w:t>数据获取 (API调用)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 xml:space="preserve"> → </w:t>
      </w:r>
      <w:r>
        <w:rPr>
          <w:rFonts w:ascii="PingFang SC" w:hAnsi="PingFang SC" w:eastAsia="PingFang SC" w:cs="PingFang SC"/>
          <w:b/>
          <w:bCs/>
          <w:color w:val="1A1A1A"/>
          <w:sz w:val="22"/>
          <w:szCs w:val="22"/>
        </w:rPr>
        <w:t>因子计算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 xml:space="preserve"> → </w:t>
      </w:r>
      <w:r>
        <w:rPr>
          <w:rFonts w:ascii="PingFang SC" w:hAnsi="PingFang SC" w:eastAsia="PingFang SC" w:cs="PingFang SC"/>
          <w:b/>
          <w:bCs/>
          <w:color w:val="1A1A1A"/>
          <w:sz w:val="22"/>
          <w:szCs w:val="22"/>
        </w:rPr>
        <w:t>模型推理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 xml:space="preserve"> → </w:t>
      </w:r>
      <w:r>
        <w:rPr>
          <w:rFonts w:ascii="PingFang SC" w:hAnsi="PingFang SC" w:eastAsia="PingFang SC" w:cs="PingFang SC"/>
          <w:b/>
          <w:bCs/>
          <w:color w:val="1A1A1A"/>
          <w:sz w:val="22"/>
          <w:szCs w:val="22"/>
        </w:rPr>
        <w:t>前端展示</w:t>
      </w:r>
    </w:p>
    <w:p w14:paraId="271AA6B0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这条链上的任何一环断裂，后面的环节都会受影响。而我们遇到的断裂点不止一个：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400"/>
        <w:gridCol w:w="2560"/>
      </w:tblGrid>
      <w:tr w14:paraId="28821B91">
        <w:trPr>
          <w:tblHeader/>
        </w:trPr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5DCC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断裂点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680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7CB5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73AA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症状</w:t>
            </w:r>
          </w:p>
        </w:tc>
      </w:tr>
      <w:tr w14:paraId="389FEA97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331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Yahoo v7 API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C000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需要crumb认证，已失效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118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金价获取失败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1B4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显示mock数据$3124</w:t>
            </w:r>
          </w:p>
        </w:tc>
      </w:tr>
      <w:tr w14:paraId="0E1AEDC0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CE3C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Stooq API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C6E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频率限制触发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73B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备用源也失败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DD3C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完全无实时数据</w:t>
            </w:r>
          </w:p>
        </w:tc>
      </w:tr>
      <w:tr w14:paraId="6EC57754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EA9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^OVX / ^GVZ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53D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Yahoo Quotes失败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C08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F5/F6因子无更新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F3E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显示旧值</w:t>
            </w:r>
          </w:p>
        </w:tc>
      </w:tr>
      <w:tr w14:paraId="218B6DC9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507F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WGC ETF Flow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BA3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API已下线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F34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F7永远为0</w:t>
            </w:r>
          </w:p>
        </w:tc>
        <w:tc>
          <w:tcPr>
            <w:tcW w:w="25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1F3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死因子</w:t>
            </w:r>
          </w:p>
        </w:tc>
      </w:tr>
    </w:tbl>
    <w:p w14:paraId="0B227C4D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解决方案：多层降级策略</w:t>
      </w:r>
    </w:p>
    <w:p w14:paraId="5632B615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我们为每个数据源建立了多层降级（fallback）机制：</w:t>
      </w:r>
    </w:p>
    <w:p w14:paraId="3FE06B3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金价：Yahoo v7 Quotes → Yahoo v8 Chart API（无需crumb）→ Stooq → Pipeline signal.json → Mock</w:t>
      </w:r>
    </w:p>
    <w:p w14:paraId="5CAC516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因子数据：Yahoo Quotes → Pipeline signal.json 因子数组 → 默认值</w:t>
      </w:r>
    </w:p>
    <w:p w14:paraId="5B43F96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每层降级都记录数据来源标签，前端根据来源显示 LIVE / DELAYED / SIMULATED</w:t>
      </w:r>
    </w:p>
    <w:p w14:paraId="464ED5C9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关键改进是发现了 Yahoo 的 v8 Chart API（query2.finance.yahoo.com）不需要 crumb 认证，直接用 GET 请求就能获取实时价格。这成为了我们最可靠的数据源。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642F3582">
        <w:tc>
          <w:tcPr>
            <w:tcW w:w="120" w:type="dxa"/>
            <w:tcBorders>
              <w:top w:val="nil"/>
              <w:left w:val="single" w:color="C0392B" w:sz="12" w:space="0"/>
              <w:bottom w:val="nil"/>
              <w:right w:val="nil"/>
            </w:tcBorders>
            <w:shd w:val="clear" w:color="auto" w:fill="C0392B"/>
          </w:tcPr>
          <w:p w14:paraId="07AB148F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03CDE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C0392B"/>
                <w:sz w:val="22"/>
                <w:szCs w:val="22"/>
              </w:rPr>
              <w:t>启发</w:t>
            </w:r>
          </w:p>
          <w:p w14:paraId="4A846E1A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你的系统只有数据链最脆弱的环节那么强。对每个外部数据源，都应该有至少两个备选方案。更重要的是，要有监控机制在数据链断裂时立即报警——而不是等用户发现「金价怎么还是上周的」时才知道出了问题。建议在仪表板上永远显示数据时间戳和来源标签。</w:t>
            </w:r>
          </w:p>
        </w:tc>
      </w:tr>
    </w:tbl>
    <w:p w14:paraId="01E4A91E">
      <w:r>
        <w:br w:type="page"/>
      </w:r>
    </w:p>
    <w:p w14:paraId="22E1F43E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陷阱七：Mock 数据渗透——开发便利变成生产隐患</w:t>
      </w:r>
    </w:p>
    <w:p w14:paraId="1B93E46B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现象</w:t>
      </w:r>
    </w:p>
    <w:p w14:paraId="41650CF8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这个问题最为隐蔽。为了开发方便，前端组件中大量使用了 mock 数据作为 fallback。当 API 调用失败时，组件不会报错，而是静默地显示 mock 数据——用户完全看不出区别。</w:t>
      </w:r>
    </w:p>
    <w:p w14:paraId="51442BCB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我们审计了所有前端组件，发现问题无处不在：</w:t>
      </w:r>
    </w:p>
    <w:p w14:paraId="53FE78F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EquityCurve：直接从 mockData.ts 读取假净值曲线</w:t>
      </w:r>
    </w:p>
    <w:p w14:paraId="482EE5A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AccountCard：显示虚构的 $107,250 净值和 1.87 Sharpe</w:t>
      </w:r>
    </w:p>
    <w:p w14:paraId="71291A2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RightSidebar：SignalCard、PositionCard 都有 mock fallback</w:t>
      </w:r>
    </w:p>
    <w:p w14:paraId="0827B17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LeftPanel：SHAP 归因图在 API 失败时显示假数据</w:t>
      </w:r>
    </w:p>
    <w:p w14:paraId="0AB0951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TopBar：只把 yahoo 和 stooq 标记为 LIVE，pipeline 来源的真实数据被标记为 SIMULATED</w:t>
      </w:r>
    </w:p>
    <w:p w14:paraId="1C716DC7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最危险的场景是：真实金价 API 失败，前端静默显示 mock 价格 $3124.50，而用户以为这是实时数据，基于此做出交易决策。</w:t>
      </w:r>
    </w:p>
    <w:p w14:paraId="1F6121B2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解决方案</w:t>
      </w:r>
    </w:p>
    <w:p w14:paraId="64A085D3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将所有图表组件从 mock 数据迁移到 pipeline API</w:t>
      </w:r>
    </w:p>
    <w:p w14:paraId="485F870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当 API 返回空数据时，显示「加载中...」或「无数据」，而不是假数据</w:t>
      </w:r>
    </w:p>
    <w:p w14:paraId="17C0FAF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修改 isLive 判断逻辑：source !== 'mock' 就标记为 LIVE</w:t>
      </w:r>
    </w:p>
    <w:p w14:paraId="62570A42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pipeline 回测自动生成 equity_curve.json / account.json / positions.json</w:t>
      </w:r>
    </w:p>
    <w:p w14:paraId="721AADF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前端只保留2处 mock 引用（因子 API 的 schema fallback），且明确标注</w:t>
      </w:r>
    </w:p>
    <w:p w14:paraId="6FA71CE5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修复后，仪表板上的每一个数字都来自真实的数据管道，mock 数据不再有任何机会渗透到生产展示中。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562B8823">
        <w:tc>
          <w:tcPr>
            <w:tcW w:w="120" w:type="dxa"/>
            <w:tcBorders>
              <w:top w:val="nil"/>
              <w:left w:val="single" w:color="C0392B" w:sz="12" w:space="0"/>
              <w:bottom w:val="nil"/>
              <w:right w:val="nil"/>
            </w:tcBorders>
            <w:shd w:val="clear" w:color="auto" w:fill="C0392B"/>
          </w:tcPr>
          <w:p w14:paraId="0F3A8DD7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95A8B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C0392B"/>
                <w:sz w:val="22"/>
                <w:szCs w:val="22"/>
              </w:rPr>
              <w:t>启发</w:t>
            </w:r>
          </w:p>
          <w:p w14:paraId="63BCCC88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在量化系统中，「显示假数据而不报错」比「报错但不显示数据」更危险。前者会导致基于错误信息的交易决策，后者至少让你知道系统出了问题。开发时的便利（mock数据）如果不在上线前彻底清理，就会变成生产环境中的定时炸弹。</w:t>
            </w:r>
          </w:p>
        </w:tc>
      </w:tr>
    </w:tbl>
    <w:p w14:paraId="389239EA">
      <w:r>
        <w:br w:type="page"/>
      </w:r>
    </w:p>
    <w:p w14:paraId="47772A38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改进全景：从「能跑」到「可信赖」</w:t>
      </w:r>
    </w:p>
    <w:p w14:paraId="01DBB26C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经过三轮系统性改进，Gold Monitor 从一个「能产生信号但不可信」的原型，进化为一个「数据透明、模型可解释、风险可控」的交易系统。以下是关键指标的对比：</w:t>
      </w:r>
    </w:p>
    <w:p w14:paraId="68DF77DD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2400"/>
        <w:gridCol w:w="1960"/>
      </w:tblGrid>
      <w:tr w14:paraId="68184134">
        <w:trPr>
          <w:tblHeader/>
        </w:trPr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4745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3329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改进前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C564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改进后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110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改善幅度</w:t>
            </w:r>
          </w:p>
        </w:tc>
      </w:tr>
      <w:tr w14:paraId="172EF8B6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75B0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因子数量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C37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10 (含3冗余+1死因子)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2F1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7 (全部独立)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C5E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精简30%</w:t>
            </w:r>
          </w:p>
        </w:tc>
      </w:tr>
      <w:tr w14:paraId="039EEB7F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23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高相关因子对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6C7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11 对 (|r|&gt;0.6)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224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 对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DAE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-82%</w:t>
            </w:r>
          </w:p>
        </w:tc>
      </w:tr>
      <w:tr w14:paraId="42EEDDC8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16D5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SHAP 最大占比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5C9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96.2%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A03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33%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063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-63pp</w:t>
            </w:r>
          </w:p>
        </w:tc>
      </w:tr>
      <w:tr w14:paraId="7B8BE8E3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243A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 IC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0D4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0.91 (虚假)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4D5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0.031 (真实)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0E7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诚实化</w:t>
            </w:r>
          </w:p>
        </w:tc>
      </w:tr>
      <w:tr w14:paraId="12AC00AA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A832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Regime 有效分类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BD8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~20%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A5DE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~70%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D5C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+50pp</w:t>
            </w:r>
          </w:p>
        </w:tc>
      </w:tr>
      <w:tr w14:paraId="4AC5CD13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DEBD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数据源降级层数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A2F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1层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4FB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4层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DEA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+3层</w:t>
            </w:r>
          </w:p>
        </w:tc>
      </w:tr>
      <w:tr w14:paraId="647D2568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DE39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Mock 数据引用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228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12处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C180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2处(仅schema)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A7C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-83%</w:t>
            </w:r>
          </w:p>
        </w:tc>
      </w:tr>
      <w:tr w14:paraId="7C347A32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F8AD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API 端点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822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8个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D7C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11个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AA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+3个</w:t>
            </w:r>
          </w:p>
        </w:tc>
      </w:tr>
      <w:tr w14:paraId="53679D0C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6E6F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OOS回测收益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078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未知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7261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+3.43%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EC9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可量化</w:t>
            </w:r>
          </w:p>
        </w:tc>
      </w:tr>
      <w:tr w14:paraId="02BB3B38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3C82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OOS回测 Sharpe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5D8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未知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7F97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0.46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0B8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可量化</w:t>
            </w:r>
          </w:p>
        </w:tc>
      </w:tr>
      <w:tr w14:paraId="057344DD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4B1C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OOS回测胜率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C03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未知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56D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53.3%</w:t>
            </w:r>
          </w:p>
        </w:tc>
        <w:tc>
          <w:tcPr>
            <w:tcW w:w="1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6A83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可量化</w:t>
            </w:r>
          </w:p>
        </w:tc>
      </w:tr>
    </w:tbl>
    <w:p w14:paraId="106B0704">
      <w:pPr>
        <w:spacing w:before="200" w:after="0"/>
      </w:pPr>
    </w:p>
    <w:p w14:paraId="6A5D9FDC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回测业绩概览</w:t>
      </w:r>
    </w:p>
    <w:p w14:paraId="49073FB9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基于7因子精简模型在2025年10月至2026年3月（184个交易日）的纯样本外回测结果：</w:t>
      </w:r>
    </w:p>
    <w:p w14:paraId="48072C10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</w:p>
    <w:p w14:paraId="454B7FE3">
      <w:pPr>
        <w:spacing w:before="80" w:after="80" w:line="360" w:lineRule="auto"/>
        <w:ind w:firstLine="440"/>
        <w:jc w:val="left"/>
        <w:rPr>
          <w:rFonts w:ascii="PingFang SC" w:hAnsi="PingFang SC" w:eastAsia="PingFang SC" w:cs="PingFang SC"/>
          <w:color w:val="1A1A1A"/>
          <w:sz w:val="22"/>
          <w:szCs w:val="2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000"/>
        <w:gridCol w:w="2400"/>
        <w:gridCol w:w="2360"/>
      </w:tblGrid>
      <w:tr w14:paraId="292957A2">
        <w:trPr>
          <w:tblHeader/>
        </w:trPr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FF90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C0A5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9B29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GLD持有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126F">
            <w:pPr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FFFFFF"/>
                <w:sz w:val="20"/>
                <w:szCs w:val="20"/>
              </w:rPr>
              <w:t>超额收益</w:t>
            </w:r>
          </w:p>
        </w:tc>
      </w:tr>
      <w:tr w14:paraId="7CAAC3F8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43CD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累计收益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2D85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+3.43%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7B6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+17.77%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0D5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-14.34%</w:t>
            </w:r>
          </w:p>
        </w:tc>
      </w:tr>
      <w:tr w14:paraId="5528B3AB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62BA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最大回撤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CF3A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6.67%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89B9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14.1%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939B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策略更优</w:t>
            </w:r>
          </w:p>
        </w:tc>
      </w:tr>
      <w:tr w14:paraId="5CE1E620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1A48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Sharpe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8B34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0.46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F8D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0.91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6B56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GLD更优</w:t>
            </w:r>
          </w:p>
        </w:tc>
      </w:tr>
      <w:tr w14:paraId="77F3FD0C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8EC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交易次数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8F48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15笔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8EF2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N/A (持有)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455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—</w:t>
            </w:r>
          </w:p>
        </w:tc>
      </w:tr>
      <w:tr w14:paraId="6B5788FB"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F024">
            <w:pPr>
              <w:jc w:val="left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胜率</w:t>
            </w:r>
          </w:p>
        </w:tc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E250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53.3%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140D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N/A</w:t>
            </w:r>
          </w:p>
        </w:tc>
        <w:tc>
          <w:tcPr>
            <w:tcW w:w="2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393F">
            <w:pPr>
              <w:jc w:val="center"/>
            </w:pPr>
            <w:r>
              <w:rPr>
                <w:rFonts w:ascii="PingFang SC" w:hAnsi="PingFang SC" w:eastAsia="PingFang SC" w:cs="PingFang SC"/>
                <w:color w:val="1A1A1A"/>
                <w:sz w:val="20"/>
                <w:szCs w:val="20"/>
              </w:rPr>
              <w:t>—</w:t>
            </w:r>
          </w:p>
        </w:tc>
      </w:tr>
    </w:tbl>
    <w:p w14:paraId="49EC4831">
      <w:pPr>
        <w:spacing w:before="100" w:after="0"/>
      </w:pPr>
    </w:p>
    <w:p w14:paraId="0B42497D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策略在绝对收益上不及简单持有（黄金在此期间大涨17.8%），但最大回撤（6.67% vs 14.1%）显著更低。这符合量化策略的典型特征：牺牲部分趋势追踪能力，换取更好的风险控制。</w:t>
      </w:r>
    </w:p>
    <w:p w14:paraId="5C518C80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值得注意的是，策略在2025年12月-2026年1月的回撤期（黄金从$4200跌到$4400后反弹至$5300）做了两笔亏损的空头交易，这是因为模型在趋势反转时反应不够快。这也指向了下一步的改进方向：引入趋势跟踪因子或动量信号。</w:t>
      </w:r>
    </w:p>
    <w:p w14:paraId="10CC49BD">
      <w:r>
        <w:br w:type="page"/>
      </w:r>
    </w:p>
    <w:p w14:paraId="3B00717E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建立持续监控体系</w:t>
      </w:r>
    </w:p>
    <w:p w14:paraId="1459B5D7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一次性修复不够，我们还需要一套持续运行的监控框架来防止问题复发。以下是我们建立的三层监控体系：</w:t>
      </w:r>
    </w:p>
    <w:p w14:paraId="1D4F6E20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日检（每日自动运行）</w:t>
      </w:r>
    </w:p>
    <w:p w14:paraId="47D768F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数据新鲜度：所有因子数据时间戳是否在T-1内</w:t>
      </w:r>
    </w:p>
    <w:p w14:paraId="7D12882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金价验证：API金价 vs Pipeline金价差异 &lt; 1%</w:t>
      </w:r>
    </w:p>
    <w:p w14:paraId="62F004F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信号合理性：预测收益率在 [-10%, +10%] 范围内</w:t>
      </w:r>
    </w:p>
    <w:p w14:paraId="4E4E511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SHAP 稳定性：单因子贡献 &lt; 60%</w:t>
      </w:r>
    </w:p>
    <w:p w14:paraId="212A9132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周检（每周手动审查）</w:t>
      </w:r>
    </w:p>
    <w:p w14:paraId="6FE3E996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IC 趋势：20日滚动IC是否持续为负</w:t>
      </w:r>
    </w:p>
    <w:p w14:paraId="4B1A924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相关性矩阵：是否出现新的高相关因子对</w:t>
      </w:r>
    </w:p>
    <w:p w14:paraId="7795FB5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因子存活：所有因子是否有新数据</w:t>
      </w:r>
    </w:p>
    <w:p w14:paraId="42E3092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模型健康报告：model_health.json 是否有新增 warning</w:t>
      </w:r>
    </w:p>
    <w:p w14:paraId="37005146">
      <w:pPr>
        <w:spacing w:before="320" w:after="160"/>
      </w:pPr>
      <w:r>
        <w:rPr>
          <w:rFonts w:ascii="PingFang SC" w:hAnsi="PingFang SC" w:eastAsia="PingFang SC" w:cs="PingFang SC"/>
          <w:b/>
          <w:bCs/>
          <w:color w:val="B8860B"/>
          <w:sz w:val="28"/>
          <w:szCs w:val="28"/>
        </w:rPr>
        <w:t xml:space="preserve">| </w:t>
      </w:r>
      <w:r>
        <w:rPr>
          <w:rFonts w:ascii="PingFang SC" w:hAnsi="PingFang SC" w:eastAsia="PingFang SC" w:cs="PingFang SC"/>
          <w:b/>
          <w:bCs/>
          <w:color w:val="1B2A4A"/>
          <w:sz w:val="28"/>
          <w:szCs w:val="28"/>
        </w:rPr>
        <w:t>月检（每月深度复盘）</w:t>
      </w:r>
    </w:p>
    <w:p w14:paraId="4FCA383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回测更新：用最新数据重跑回测，检查收益衰减</w:t>
      </w:r>
    </w:p>
    <w:p w14:paraId="4D59B0A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因子IC排名：移除连续3个月IC为负的因子</w:t>
      </w:r>
    </w:p>
    <w:p w14:paraId="199EBBE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Regime分布：检查5种状态的分布是否合理（都不应该&lt;5%）</w:t>
      </w:r>
    </w:p>
    <w:p w14:paraId="7B5E441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重训练评估：比较新旧模型的OOS IC差异，决定是否更新</w:t>
      </w:r>
    </w:p>
    <w:p w14:paraId="6FC9DCC0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"/>
        <w:gridCol w:w="9240"/>
      </w:tblGrid>
      <w:tr w14:paraId="005AAC3B">
        <w:tc>
          <w:tcPr>
            <w:tcW w:w="120" w:type="dxa"/>
            <w:tcBorders>
              <w:top w:val="nil"/>
              <w:left w:val="single" w:color="B8860B" w:sz="12" w:space="0"/>
              <w:bottom w:val="nil"/>
              <w:right w:val="nil"/>
            </w:tcBorders>
            <w:shd w:val="clear" w:color="auto" w:fill="B8860B"/>
          </w:tcPr>
          <w:p w14:paraId="1D3904FD"/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A1806F">
            <w:pPr>
              <w:spacing w:after="60"/>
            </w:pPr>
            <w:r>
              <w:rPr>
                <w:rFonts w:ascii="PingFang SC" w:hAnsi="PingFang SC" w:eastAsia="PingFang SC" w:cs="PingFang SC"/>
                <w:b/>
                <w:bCs/>
                <w:color w:val="B8860B"/>
                <w:sz w:val="22"/>
                <w:szCs w:val="22"/>
              </w:rPr>
              <w:t>核心原则</w:t>
            </w:r>
          </w:p>
          <w:p w14:paraId="05A9B700">
            <w:pPr>
              <w:spacing w:before="0"/>
            </w:pPr>
            <w:r>
              <w:rPr>
                <w:rFonts w:ascii="PingFang SC" w:hAnsi="PingFang SC" w:eastAsia="PingFang SC" w:cs="PingFang SC"/>
                <w:color w:val="4A4A4A"/>
                <w:sz w:val="20"/>
                <w:szCs w:val="20"/>
              </w:rPr>
              <w:t>量化交易系统不是「造好就放着」的产品。它更像一个需要持续维护的花园——因子会死掉、数据源会失效、市场结构会变化。定期的监控和复盘不是可选项，而是系统存活的必要条件。</w:t>
            </w:r>
          </w:p>
        </w:tc>
      </w:tr>
    </w:tbl>
    <w:p w14:paraId="7EC93866">
      <w:r>
        <w:br w:type="page"/>
      </w:r>
    </w:p>
    <w:p w14:paraId="4AC9FF9D">
      <w:pPr>
        <w:pBdr>
          <w:bottom w:val="single" w:color="B8860B" w:sz="6" w:space="8"/>
        </w:pBdr>
        <w:spacing w:before="400" w:after="200"/>
      </w:pPr>
      <w:r>
        <w:rPr>
          <w:rFonts w:ascii="PingFang SC" w:hAnsi="PingFang SC" w:eastAsia="PingFang SC" w:cs="PingFang SC"/>
          <w:b/>
          <w:bCs/>
          <w:color w:val="1B2A4A"/>
          <w:sz w:val="32"/>
          <w:szCs w:val="32"/>
        </w:rPr>
        <w:t>结语：七大陷阱的共同根源</w:t>
      </w:r>
    </w:p>
    <w:p w14:paraId="41C370AD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回顾这七大陷阱，它们有一个共同的根源：对「表面正确」的过度信任。</w:t>
      </w:r>
    </w:p>
    <w:p w14:paraId="656E4B7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SHAP支配：模型输出了信号，就以为信号是对的</w:t>
      </w:r>
    </w:p>
    <w:p w14:paraId="5080DB61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多重共线性：因子数量够多，就以为模型够稳健</w:t>
      </w:r>
    </w:p>
    <w:p w14:paraId="3B734AB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死因子：因子在代码里存在，就以为它在工作</w:t>
      </w:r>
    </w:p>
    <w:p w14:paraId="23A576D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IC污染：IC很高，就以为模型很好</w:t>
      </w:r>
    </w:p>
    <w:p w14:paraId="2D01BDB9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Regime保守：系统有Regime模块，就以为它在发挥作用</w:t>
      </w:r>
    </w:p>
    <w:p w14:paraId="391287B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数据断裂：页面显示了数字，就以为数字是最新的</w:t>
      </w:r>
    </w:p>
    <w:p w14:paraId="75723AE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Mock渗透：界面看起来正常，就以为数据是真实的</w:t>
      </w:r>
    </w:p>
    <w:p w14:paraId="18724BC8">
      <w:pPr>
        <w:spacing w:before="100" w:after="0"/>
      </w:pPr>
    </w:p>
    <w:p w14:paraId="66FEC3EE">
      <w:pPr>
        <w:spacing w:before="80" w:after="80" w:line="360" w:lineRule="auto"/>
        <w:ind w:firstLine="440"/>
        <w:jc w:val="left"/>
      </w:pPr>
      <w:r>
        <w:rPr>
          <w:rFonts w:ascii="PingFang SC" w:hAnsi="PingFang SC" w:eastAsia="PingFang SC" w:cs="PingFang SC"/>
          <w:color w:val="1A1A1A"/>
          <w:sz w:val="22"/>
          <w:szCs w:val="22"/>
        </w:rPr>
        <w:t>量化交易的核心挑战不是写出一个能跑的模型，而是建立一套让你能够持续验证「模型是否在正确运行」的体系。当你能够回答以下三个问题时，你的系统才真正从「玩具」变成了「工具」：</w:t>
      </w:r>
    </w:p>
    <w:p w14:paraId="321AFF7E">
      <w:pPr>
        <w:spacing w:before="80" w:after="0"/>
      </w:pPr>
    </w:p>
    <w:p w14:paraId="799B44C6">
      <w:pPr>
        <w:pStyle w:val="16"/>
        <w:numPr>
          <w:ilvl w:val="0"/>
          <w:numId w:val="2"/>
        </w:numPr>
        <w:spacing w:before="80" w:after="80"/>
      </w:pPr>
      <w:r>
        <w:rPr>
          <w:rFonts w:ascii="PingFang SC" w:hAnsi="PingFang SC" w:eastAsia="PingFang SC" w:cs="PingFang SC"/>
          <w:b/>
          <w:bCs/>
          <w:color w:val="1A1A1A"/>
          <w:sz w:val="24"/>
          <w:szCs w:val="24"/>
        </w:rPr>
        <w:t>我的模型现在在看什么？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>（SHAP归因 + 因子健康监控）</w:t>
      </w:r>
    </w:p>
    <w:p w14:paraId="3EBFBDAB">
      <w:pPr>
        <w:pStyle w:val="16"/>
        <w:numPr>
          <w:ilvl w:val="0"/>
          <w:numId w:val="2"/>
        </w:numPr>
        <w:spacing w:before="80" w:after="80"/>
      </w:pPr>
      <w:r>
        <w:rPr>
          <w:rFonts w:ascii="PingFang SC" w:hAnsi="PingFang SC" w:eastAsia="PingFang SC" w:cs="PingFang SC"/>
          <w:b/>
          <w:bCs/>
          <w:color w:val="1A1A1A"/>
          <w:sz w:val="24"/>
          <w:szCs w:val="24"/>
        </w:rPr>
        <w:t>我的模型真的有预测力吗？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>（纯OOS IC + 回测收益）</w:t>
      </w:r>
    </w:p>
    <w:p w14:paraId="123EAC7B">
      <w:pPr>
        <w:pStyle w:val="16"/>
        <w:numPr>
          <w:ilvl w:val="0"/>
          <w:numId w:val="2"/>
        </w:numPr>
        <w:spacing w:before="80" w:after="80"/>
      </w:pPr>
      <w:r>
        <w:rPr>
          <w:rFonts w:ascii="PingFang SC" w:hAnsi="PingFang SC" w:eastAsia="PingFang SC" w:cs="PingFang SC"/>
          <w:b/>
          <w:bCs/>
          <w:color w:val="1A1A1A"/>
          <w:sz w:val="24"/>
          <w:szCs w:val="24"/>
        </w:rPr>
        <w:t>我看到的数据是真实的吗？</w:t>
      </w:r>
      <w:r>
        <w:rPr>
          <w:rFonts w:ascii="PingFang SC" w:hAnsi="PingFang SC" w:eastAsia="PingFang SC" w:cs="PingFang SC"/>
          <w:color w:val="1A1A1A"/>
          <w:sz w:val="22"/>
          <w:szCs w:val="22"/>
        </w:rPr>
        <w:t>（数据源标签 + 新鲜度检查）</w:t>
      </w:r>
    </w:p>
    <w:p w14:paraId="745D9612">
      <w:pPr>
        <w:spacing w:before="200" w:after="0"/>
      </w:pPr>
    </w:p>
    <w:p w14:paraId="7F14BAC1">
      <w:pPr>
        <w:pBdr>
          <w:top w:val="single" w:color="B8860B" w:sz="2" w:space="12"/>
        </w:pBdr>
        <w:spacing w:before="200" w:after="60"/>
        <w:jc w:val="center"/>
      </w:pPr>
      <w:r>
        <w:rPr>
          <w:rFonts w:ascii="Arial" w:hAnsi="Arial" w:eastAsia="Arial" w:cs="Arial"/>
          <w:i/>
          <w:iCs/>
          <w:color w:val="777777"/>
          <w:sz w:val="22"/>
          <w:szCs w:val="22"/>
        </w:rPr>
        <w:t>The goal is not to build a model that looks right,</w:t>
      </w:r>
    </w:p>
    <w:p w14:paraId="2A81B35D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777777"/>
          <w:sz w:val="22"/>
          <w:szCs w:val="22"/>
        </w:rPr>
        <w:t>but to build a system that tells you when it's wrong.</w:t>
      </w:r>
    </w:p>
    <w:p w14:paraId="47096D50">
      <w:pPr>
        <w:spacing w:before="60"/>
        <w:jc w:val="center"/>
        <w:rPr>
          <w:rFonts w:ascii="PingFang SC" w:hAnsi="PingFang SC" w:eastAsia="PingFang SC" w:cs="PingFang SC"/>
          <w:color w:val="777777"/>
          <w:sz w:val="20"/>
          <w:szCs w:val="20"/>
        </w:rPr>
      </w:pPr>
      <w:r>
        <w:rPr>
          <w:rFonts w:ascii="PingFang SC" w:hAnsi="PingFang SC" w:eastAsia="PingFang SC" w:cs="PingFang SC"/>
          <w:color w:val="777777"/>
          <w:sz w:val="20"/>
          <w:szCs w:val="20"/>
        </w:rPr>
        <w:t>—— Gold Monitor Team, 2026.03</w:t>
      </w:r>
    </w:p>
    <w:p w14:paraId="1D954ED5">
      <w:pPr>
        <w:spacing w:before="60"/>
        <w:jc w:val="center"/>
        <w:rPr>
          <w:rFonts w:ascii="PingFang SC" w:hAnsi="PingFang SC" w:eastAsia="PingFang SC" w:cs="PingFang SC"/>
          <w:color w:val="777777"/>
          <w:sz w:val="20"/>
          <w:szCs w:val="20"/>
        </w:rPr>
      </w:pPr>
    </w:p>
    <w:p w14:paraId="65090758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9775" cy="19040475"/>
            <wp:effectExtent l="0" t="0" r="222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04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DBBE54">
      <w:pPr>
        <w:spacing w:before="60"/>
        <w:jc w:val="center"/>
        <w:rPr>
          <w:rFonts w:ascii="PingFang SC" w:hAnsi="PingFang SC" w:eastAsia="PingFang SC" w:cs="PingFang SC"/>
          <w:color w:val="777777"/>
          <w:sz w:val="20"/>
          <w:szCs w:val="20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8A5EA">
    <w:pPr>
      <w:jc w:val="center"/>
    </w:pPr>
    <w:r>
      <w:rPr>
        <w:rFonts w:ascii="PingFang SC" w:hAnsi="PingFang SC" w:eastAsia="PingFang SC" w:cs="PingFang SC"/>
        <w:color w:val="777777"/>
        <w:sz w:val="16"/>
        <w:szCs w:val="16"/>
      </w:rPr>
      <w:t xml:space="preserve">- </w:t>
    </w:r>
    <w:r>
      <w:rPr>
        <w:rFonts w:ascii="Arial" w:hAnsi="Arial" w:eastAsia="Arial" w:cs="Arial"/>
        <w:color w:val="777777"/>
        <w:sz w:val="16"/>
        <w:szCs w:val="16"/>
      </w:rPr>
      <w:fldChar w:fldCharType="begin"/>
    </w:r>
    <w:r>
      <w:rPr>
        <w:rFonts w:ascii="Arial" w:hAnsi="Arial" w:eastAsia="Arial" w:cs="Arial"/>
        <w:color w:val="777777"/>
        <w:sz w:val="16"/>
        <w:szCs w:val="16"/>
      </w:rPr>
      <w:instrText xml:space="preserve">PAGE</w:instrText>
    </w:r>
    <w:r>
      <w:rPr>
        <w:rFonts w:ascii="Arial" w:hAnsi="Arial" w:eastAsia="Arial" w:cs="Arial"/>
        <w:color w:val="777777"/>
        <w:sz w:val="16"/>
        <w:szCs w:val="16"/>
      </w:rPr>
      <w:fldChar w:fldCharType="separate"/>
    </w:r>
    <w:r>
      <w:rPr>
        <w:rFonts w:ascii="Arial" w:hAnsi="Arial" w:eastAsia="Arial" w:cs="Arial"/>
        <w:color w:val="777777"/>
        <w:sz w:val="16"/>
        <w:szCs w:val="16"/>
      </w:rPr>
      <w:fldChar w:fldCharType="end"/>
    </w:r>
    <w:r>
      <w:rPr>
        <w:rFonts w:ascii="PingFang SC" w:hAnsi="PingFang SC" w:eastAsia="PingFang SC" w:cs="PingFang SC"/>
        <w:color w:val="777777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DC725">
    <w:pPr>
      <w:pBdr>
        <w:bottom w:val="single" w:color="E0E0E0" w:sz="2" w:space="4"/>
      </w:pBdr>
      <w:tabs>
        <w:tab w:val="right" w:pos="9026"/>
      </w:tabs>
    </w:pPr>
    <w:r>
      <w:rPr>
        <w:rFonts w:ascii="PingFang SC" w:hAnsi="PingFang SC" w:eastAsia="PingFang SC" w:cs="PingFang SC"/>
        <w:b/>
        <w:bCs/>
        <w:color w:val="B8860B"/>
        <w:sz w:val="16"/>
        <w:szCs w:val="16"/>
      </w:rPr>
      <w:t xml:space="preserve">Gold Monitor  </w:t>
    </w:r>
    <w:r>
      <w:rPr>
        <w:rFonts w:ascii="PingFang SC" w:hAnsi="PingFang SC" w:eastAsia="PingFang SC" w:cs="PingFang SC"/>
        <w:color w:val="777777"/>
        <w:sz w:val="16"/>
        <w:szCs w:val="16"/>
      </w:rPr>
      <w:t>|  宏观因子量化交易的七大陷阱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E3A3B"/>
    <w:multiLevelType w:val="multilevel"/>
    <w:tmpl w:val="FF6E3A3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FFED663C"/>
    <w:multiLevelType w:val="singleLevel"/>
    <w:tmpl w:val="FFED663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BEBF8C4F"/>
    <w:rsid w:val="DF2B4F3E"/>
    <w:rsid w:val="FEAA7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2"/>
      <w:szCs w:val="22"/>
    </w:rPr>
  </w:style>
  <w:style w:type="paragraph" w:styleId="2">
    <w:name w:val="heading 1"/>
    <w:next w:val="1"/>
    <w:qFormat/>
    <w:uiPriority w:val="0"/>
    <w:rPr>
      <w:rFonts w:ascii="PingFang SC" w:hAnsi="PingFang SC" w:eastAsia="PingFang SC" w:cs="PingFang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PingFang SC" w:hAnsi="PingFang SC" w:eastAsia="PingFang SC" w:cs="PingFang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PingFang SC" w:hAnsi="PingFang SC" w:eastAsia="PingFang SC" w:cs="PingFang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PingFang SC" w:hAnsi="PingFang SC" w:eastAsia="PingFang SC" w:cs="PingFang SC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PingFang SC" w:hAnsi="PingFang SC" w:eastAsia="PingFang SC" w:cs="PingFang SC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42</TotalTime>
  <ScaleCrop>false</ScaleCrop>
  <LinksUpToDate>false</LinksUpToDate>
  <Application>WPS Office_12.1.25200.25200_F1E327BC-269C-435d-A152-05C5408002CA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2026-03-26T23:59:00Z</dcterms:created>
  <dc:creator>Un-named</dc:creator>
  <cp:lastModifiedBy>xiaojun mao (Vivienna)</cp:lastModifiedBy>
  <dcterms:modified xsi:type="dcterms:W3CDTF">2026-03-26T16:22:00Z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2052-12.1.25200.25200</vt:lpwstr>
  </property>
  <property fmtid="{D5CDD505-2E9C-101B-9397-08002B2CF9AE}" pid="3" name="ICV">
    <vt:lpwstr>232ECBF8D986474D3891C46909C57142_42</vt:lpwstr>
  </property>
</Properties>
</file>