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  <w:jc w:val="center"/>
      </w:pPr>
      <w:r>
        <w:rPr>
          <w:rFonts w:ascii="Arial" w:cs="Arial" w:eastAsia="Arial" w:hAnsi="Arial"/>
          <w:b/>
          <w:bCs/>
          <w:color w:val="0F2D52"/>
          <w:sz w:val="72"/>
          <w:szCs w:val="72"/>
        </w:rPr>
        <w:t xml:space="preserve">黄金因子交易看板</w:t>
      </w:r>
    </w:p>
    <w:p>
      <w:pPr>
        <w:spacing w:before="40" w:after="0"/>
        <w:jc w:val="center"/>
      </w:pPr>
      <w:r>
        <w:rPr>
          <w:rFonts w:ascii="Arial" w:cs="Arial" w:eastAsia="Arial" w:hAnsi="Arial"/>
          <w:i/>
          <w:iCs/>
          <w:color w:val="6B7280"/>
          <w:sz w:val="32"/>
          <w:szCs w:val="32"/>
        </w:rPr>
        <w:t xml:space="preserve">Gold Factor Dashboard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1A56A0"/>
          <w:sz w:val="28"/>
          <w:szCs w:val="28"/>
        </w:rPr>
        <w:t xml:space="preserve">含仿真交易管理系统</w:t>
      </w:r>
    </w:p>
    <w:p>
      <w:pPr>
        <w:spacing w:before="120" w:after="0"/>
        <w:jc w:val="center"/>
      </w:pPr>
      <w:r>
        <w:rPr>
          <w:rFonts w:ascii="Arial" w:cs="Arial" w:eastAsia="Arial" w:hAnsi="Arial"/>
          <w:color w:val="E5E7EB"/>
          <w:sz w:val="20"/>
          <w:szCs w:val="20"/>
        </w:rPr>
        <w:t xml:space="preserve">───────────────────────────────────────────────────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before="80" w:after="0"/>
        <w:ind w:left="28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产品需求文档（PRD）</w:t>
      </w:r>
    </w:p>
    <w:p>
      <w:pPr>
        <w:spacing w:before="40" w:after="0"/>
        <w:ind w:left="28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Product Requirements Document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before="40" w:after="0"/>
        <w:ind w:left="2880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文档版本：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v1.0</w:t>
      </w:r>
    </w:p>
    <w:p>
      <w:pPr>
        <w:spacing w:before="40" w:after="0"/>
        <w:ind w:left="2880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文档状态：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草稿（Draft）</w:t>
      </w:r>
    </w:p>
    <w:p>
      <w:pPr>
        <w:spacing w:before="40" w:after="0"/>
        <w:ind w:left="2880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创建日期：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2026年3月19日</w:t>
      </w:r>
    </w:p>
    <w:p>
      <w:pPr>
        <w:spacing w:before="40" w:after="0"/>
        <w:ind w:left="2880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交易平台：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VSTAR.COM（仿真模式）</w:t>
      </w:r>
    </w:p>
    <w:p>
      <w:pPr>
        <w:spacing w:before="40" w:after="0"/>
        <w:ind w:left="2880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标的资产：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黄金（XAU/USD）</w:t>
      </w:r>
    </w:p>
    <w:p>
      <w:r>
        <w:br w:type="page"/>
      </w:r>
    </w:p>
    <w:p>
      <w:pPr>
        <w:pStyle w:val="Heading1"/>
        <w:pBdr>
          <w:bottom w:val="single" w:color="1A56A0" w:sz="10" w:space="6"/>
        </w:pBdr>
        <w:spacing w:before="480" w:after="180"/>
      </w:pPr>
      <w:r>
        <w:rPr>
          <w:rFonts w:ascii="Arial" w:cs="Arial" w:eastAsia="Arial" w:hAnsi="Arial"/>
          <w:b/>
          <w:bCs/>
          <w:color w:val="0F2D52"/>
          <w:sz w:val="40"/>
          <w:szCs w:val="40"/>
        </w:rPr>
        <w:t xml:space="preserve">0. 文档概览</w:t>
      </w:r>
    </w:p>
    <w:p>
      <w:pPr>
        <w:spacing w:before="8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本文档定义「黄金因子交易看板」产品的完整需求，包含因子分析看板、模型信号引擎、仿真交易管理三大模块。开发团队、产品设计师和量化研究员应以本文档作为唯一需求基准。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600"/>
                <w:szCs w:val="600"/>
              </w:rPr>
              <w:t xml:space="preserve">章节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00"/>
                <w:szCs w:val="2400"/>
              </w:rPr>
              <w:t xml:space="preserve">标题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6360"/>
                <w:szCs w:val="6360"/>
              </w:rPr>
              <w:t xml:space="preserve">核心内容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600"/>
                <w:szCs w:val="600"/>
              </w:rPr>
              <w:t xml:space="preserve">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400"/>
                <w:szCs w:val="2400"/>
              </w:rPr>
              <w:t xml:space="preserve">背景与目标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6360"/>
                <w:szCs w:val="6360"/>
              </w:rPr>
              <w:t xml:space="preserve">产品定位、用户画像、核心价值主张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600"/>
                <w:szCs w:val="600"/>
              </w:rPr>
              <w:t xml:space="preserve">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400"/>
                <w:szCs w:val="2400"/>
              </w:rPr>
              <w:t xml:space="preserve">产品架构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6360"/>
                <w:szCs w:val="6360"/>
              </w:rPr>
              <w:t xml:space="preserve">三大模块总览、数据流图、技术栈选型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600"/>
                <w:szCs w:val="600"/>
              </w:rPr>
              <w:t xml:space="preserve">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400"/>
                <w:szCs w:val="2400"/>
              </w:rPr>
              <w:t xml:space="preserve">因子分析看板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6360"/>
                <w:szCs w:val="6360"/>
              </w:rPr>
              <w:t xml:space="preserve">九大黄金因子的展示规范、IC/SHAP可视化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600"/>
                <w:szCs w:val="600"/>
              </w:rPr>
              <w:t xml:space="preserve">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400"/>
                <w:szCs w:val="2400"/>
              </w:rPr>
              <w:t xml:space="preserve">交易信号引擎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6360"/>
                <w:szCs w:val="6360"/>
              </w:rPr>
              <w:t xml:space="preserve">模型推理、SHAP归因、Regime识别逻辑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600"/>
                <w:szCs w:val="600"/>
              </w:rPr>
              <w:t xml:space="preserve">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400"/>
                <w:szCs w:val="2400"/>
              </w:rPr>
              <w:t xml:space="preserve">仓位管理系统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6360"/>
                <w:szCs w:val="6360"/>
              </w:rPr>
              <w:t xml:space="preserve">ATR动态仓位、风险乘数、止损规则、Portfolio Heat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600"/>
                <w:szCs w:val="600"/>
              </w:rPr>
              <w:t xml:space="preserve">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400"/>
                <w:szCs w:val="2400"/>
              </w:rPr>
              <w:t xml:space="preserve">VSTAR仿真交易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6360"/>
                <w:szCs w:val="6360"/>
              </w:rPr>
              <w:t xml:space="preserve">平台对接、下单流程、仿真账户管理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600"/>
                <w:szCs w:val="600"/>
              </w:rPr>
              <w:t xml:space="preserve">7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400"/>
                <w:szCs w:val="2400"/>
              </w:rPr>
              <w:t xml:space="preserve">风险监控与告警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6360"/>
                <w:szCs w:val="6360"/>
              </w:rPr>
              <w:t xml:space="preserve">因子健康度、回撤熔断、SHAP异常预警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600"/>
                <w:szCs w:val="600"/>
              </w:rPr>
              <w:t xml:space="preserve">8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400"/>
                <w:szCs w:val="2400"/>
              </w:rPr>
              <w:t xml:space="preserve">UI/UX 规范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6360"/>
                <w:szCs w:val="6360"/>
              </w:rPr>
              <w:t xml:space="preserve">看板布局、颜色系统、交互设计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600"/>
                <w:szCs w:val="600"/>
              </w:rPr>
              <w:t xml:space="preserve">9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400"/>
                <w:szCs w:val="2400"/>
              </w:rPr>
              <w:t xml:space="preserve">非功能性需求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6360"/>
                <w:szCs w:val="6360"/>
              </w:rPr>
              <w:t xml:space="preserve">性能、安全、数据质量标准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600"/>
                <w:szCs w:val="600"/>
              </w:rPr>
              <w:t xml:space="preserve">10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400"/>
                <w:szCs w:val="2400"/>
              </w:rPr>
              <w:t xml:space="preserve">里程碑与验收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6360"/>
                <w:szCs w:val="6360"/>
              </w:rPr>
              <w:t xml:space="preserve">分阶段交付计划、验收标准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10" w:space="6"/>
        </w:pBdr>
        <w:spacing w:before="480" w:after="180"/>
      </w:pPr>
      <w:r>
        <w:rPr>
          <w:rFonts w:ascii="Arial" w:cs="Arial" w:eastAsia="Arial" w:hAnsi="Arial"/>
          <w:b/>
          <w:bCs/>
          <w:color w:val="0F2D52"/>
          <w:sz w:val="40"/>
          <w:szCs w:val="40"/>
        </w:rPr>
        <w:t xml:space="preserve">1. 背景与目标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1.1 产品背景</w:t>
      </w:r>
    </w:p>
    <w:p>
      <w:pPr>
        <w:spacing w:before="8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黄金价格受美元走势、实际利率、通胀预期、地缘政治、央行购金等九大宏观维度共同驱动，且各因子在不同市场状态（Regime）下的有效性截然不同。传统交易者依赖主观判断割裂地观察这些指标，缺乏系统化的因子量化框架。</w:t>
      </w:r>
    </w:p>
    <w:p>
      <w:pPr>
        <w:spacing w:before="8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本产品旨在将九大黄金驱动因子整合为一个可量化、可追踪、可执行的智能交易看板，并通过 VSTAR.COM 平台的仿真模式，让用户在零风险环境下验证策略有效性后，再决定是否转入实盘。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1.2 用户画像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00"/>
                <w:szCs w:val="2200"/>
              </w:rPr>
              <w:t xml:space="preserve">用户类型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600"/>
                <w:szCs w:val="3600"/>
              </w:rPr>
              <w:t xml:space="preserve">描述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560"/>
                <w:szCs w:val="3560"/>
              </w:rPr>
              <w:t xml:space="preserve">核心诉求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00"/>
                <w:szCs w:val="2200"/>
              </w:rPr>
              <w:t xml:space="preserve">量化自主交易者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600"/>
                <w:szCs w:val="3600"/>
              </w:rPr>
              <w:t xml:space="preserve">有一定量化基础，希望系统化分析黄金因子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560"/>
                <w:szCs w:val="3560"/>
              </w:rPr>
              <w:t xml:space="preserve">因子IC追踪、SHAP归因可视化、信号自动生成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00"/>
                <w:szCs w:val="2200"/>
              </w:rPr>
              <w:t xml:space="preserve">宏观主观交易者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600"/>
                <w:szCs w:val="3600"/>
              </w:rPr>
              <w:t xml:space="preserve">依赖宏观分析但缺乏量化工具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560"/>
                <w:szCs w:val="3560"/>
              </w:rPr>
              <w:t xml:space="preserve">直观的因子仪表盘、宏观矩阵总结、简洁的信号提示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00"/>
                <w:szCs w:val="2200"/>
              </w:rPr>
              <w:t xml:space="preserve">策略研究员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600"/>
                <w:szCs w:val="3600"/>
              </w:rPr>
              <w:t xml:space="preserve">构建和验证黄金量化策略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560"/>
                <w:szCs w:val="3560"/>
              </w:rPr>
              <w:t xml:space="preserve">完整的因子工程流程、样本内外对比、仿真回测验证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1.3 核心价值主张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将九大黄金驱动因子从「主观感知」转化为「可量化打分」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通过 SHAP 归因实时解释每日信号的驱动因子，消除黑箱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集成基于 ATR 的动态仓位管理，防止主观冲动干扰执行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VSTAR 仿真模式提供零成本验证，降低策略上线风险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Regime 识别系统自动切换因子权重，解决因子 Regime 依赖性问题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1.4 成功指标（KPI）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00"/>
                <w:szCs w:val="2400"/>
              </w:rPr>
              <w:t xml:space="preserve">指标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00"/>
                <w:szCs w:val="3000"/>
              </w:rPr>
              <w:t xml:space="preserve">目标值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960"/>
                <w:szCs w:val="3960"/>
              </w:rPr>
              <w:t xml:space="preserve">衡量方式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400"/>
                <w:szCs w:val="2400"/>
              </w:rPr>
              <w:t xml:space="preserve">仿真账户样本外 Sharpe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000"/>
                <w:szCs w:val="3000"/>
              </w:rPr>
              <w:t xml:space="preserve">&gt; 1.0（3个月观察期）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960"/>
                <w:szCs w:val="3960"/>
              </w:rPr>
              <w:t xml:space="preserve">VSTAR 仿真账户净值曲线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400"/>
                <w:szCs w:val="2400"/>
              </w:rPr>
              <w:t xml:space="preserve">因子 IC 覆盖率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000"/>
                <w:szCs w:val="3000"/>
              </w:rPr>
              <w:t xml:space="preserve">九大因子均完成历史 IC 计算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960"/>
                <w:szCs w:val="3960"/>
              </w:rPr>
              <w:t xml:space="preserve">IC时序图完整性检查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400"/>
                <w:szCs w:val="2400"/>
              </w:rPr>
              <w:t xml:space="preserve">SHAP 归因响应时间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000"/>
                <w:szCs w:val="3000"/>
              </w:rPr>
              <w:t xml:space="preserve">每日信号 &lt; 3秒生成完毕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960"/>
                <w:szCs w:val="3960"/>
              </w:rPr>
              <w:t xml:space="preserve">前端性能监控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400"/>
                <w:szCs w:val="2400"/>
              </w:rPr>
              <w:t xml:space="preserve">最大回撤（仿真）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000"/>
                <w:szCs w:val="3000"/>
              </w:rPr>
              <w:t xml:space="preserve">&lt; 15%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960"/>
                <w:szCs w:val="3960"/>
              </w:rPr>
              <w:t xml:space="preserve">动态回撤计算模块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400"/>
                <w:szCs w:val="2400"/>
              </w:rPr>
              <w:t xml:space="preserve">仓位管理规则执行率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000"/>
                <w:szCs w:val="3000"/>
              </w:rPr>
              <w:t xml:space="preserve">100%（系统强制，不可人工绕过）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960"/>
                <w:szCs w:val="3960"/>
              </w:rPr>
              <w:t xml:space="preserve">风控日志审计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10" w:space="6"/>
        </w:pBdr>
        <w:spacing w:before="480" w:after="180"/>
      </w:pPr>
      <w:r>
        <w:rPr>
          <w:rFonts w:ascii="Arial" w:cs="Arial" w:eastAsia="Arial" w:hAnsi="Arial"/>
          <w:b/>
          <w:bCs/>
          <w:color w:val="0F2D52"/>
          <w:sz w:val="40"/>
          <w:szCs w:val="40"/>
        </w:rPr>
        <w:t xml:space="preserve">2. 产品架构总览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2.1 三大模块结构</w:t>
      </w:r>
    </w:p>
    <w:p>
      <w:pPr>
        <w:spacing w:before="8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系统由三个相互独立但数据互通的核心模块组成：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00"/>
                <w:szCs w:val="2400"/>
              </w:rPr>
              <w:t xml:space="preserve">模块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800"/>
                <w:szCs w:val="3800"/>
              </w:rPr>
              <w:t xml:space="preserve">子系统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160"/>
                <w:szCs w:val="3160"/>
              </w:rPr>
              <w:t xml:space="preserve">职责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400"/>
                <w:szCs w:val="2400"/>
              </w:rPr>
              <w:t xml:space="preserve">模块 A：因子分析引擎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800"/>
                <w:szCs w:val="3800"/>
              </w:rPr>
              <w:t xml:space="preserve">数据采集 / 因子计算 / IC分析 / 正交化 / Regime识别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160"/>
                <w:szCs w:val="3160"/>
              </w:rPr>
              <w:t xml:space="preserve">将原始宏观数据转化为标准化因子值，持续追踪有效性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400"/>
                <w:szCs w:val="2400"/>
              </w:rPr>
              <w:t xml:space="preserve">模块 B：交易信号引擎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800"/>
                <w:szCs w:val="3800"/>
              </w:rPr>
              <w:t xml:space="preserve">XGBoost推理 / SHAP归因 / 信号生成 / 仓位计算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160"/>
                <w:szCs w:val="3160"/>
              </w:rPr>
              <w:t xml:space="preserve">基于因子输出做多/做空/中性信号，并计算精确仓位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400"/>
                <w:szCs w:val="2400"/>
              </w:rPr>
              <w:t xml:space="preserve">模块 C：仿真交易执行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800"/>
                <w:szCs w:val="3800"/>
              </w:rPr>
              <w:t xml:space="preserve">VSTAR API对接 / 下单管理 / 止损追踪 / 账户监控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160"/>
                <w:szCs w:val="3160"/>
              </w:rPr>
              <w:t xml:space="preserve">将信号与仓位指令提交至VSTAR仿真账户，追踪执行结果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2.2 数据流架构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80"/>
              <w:left w:type="dxa" w:w="320"/>
              <w:bottom w:type="dxa" w:w="180"/>
              <w:right w:type="dxa" w:w="3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2D52"/>
                <w:sz w:val="22"/>
                <w:szCs w:val="22"/>
              </w:rPr>
              <w:t xml:space="preserve">📊  数据流总览（从数据源到执行）</w:t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① 数据采集层：定时拉取 FRED、Bloomberg、BofA、WGC、VSTAR 行情</w:t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② 因子计算层：原始数据 → Z-Score标准化 → Löwdin正交化 → 九因子矩阵</w:t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③ 模型推理层：正交因子矩阵 → XGBoost → 预测值 → SHAP分解</w:t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④ 仓位计算层：预测方向 + ATR + 账户状态 → 精确仓位数量</w:t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⑤ 执行层：仓位指令 → VSTAR API → 仿真成交 → 实时持仓更新</w:t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⑥ 监控层：持仓状态 → 止损检查 / 回撤计算 / 因子健康预警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2.3 技术栈建议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00"/>
                <w:szCs w:val="2200"/>
              </w:rPr>
              <w:t xml:space="preserve">层级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400"/>
                <w:szCs w:val="3400"/>
              </w:rPr>
              <w:t xml:space="preserve">推荐技术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760"/>
                <w:szCs w:val="376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00"/>
                <w:szCs w:val="2200"/>
              </w:rPr>
              <w:t xml:space="preserve">后端计算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400"/>
                <w:szCs w:val="3400"/>
              </w:rPr>
              <w:t xml:space="preserve">Python（pandas / numpy / xgboost / shap）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760"/>
                <w:szCs w:val="3760"/>
              </w:rPr>
              <w:t xml:space="preserve">因子工程与模型推理核心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00"/>
                <w:szCs w:val="2200"/>
              </w:rPr>
              <w:t xml:space="preserve">数据调度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400"/>
                <w:szCs w:val="3400"/>
              </w:rPr>
              <w:t xml:space="preserve">Apache Airflow 或 Celery Beat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760"/>
                <w:szCs w:val="3760"/>
              </w:rPr>
              <w:t xml:space="preserve">定时数据采集与因子更新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00"/>
                <w:szCs w:val="2200"/>
              </w:rPr>
              <w:t xml:space="preserve">数据存储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400"/>
                <w:szCs w:val="3400"/>
              </w:rPr>
              <w:t xml:space="preserve">TimescaleDB（时序）+ PostgreSQL（配置）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760"/>
                <w:szCs w:val="3760"/>
              </w:rPr>
              <w:t xml:space="preserve">支持高效时序查询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00"/>
                <w:szCs w:val="2200"/>
              </w:rPr>
              <w:t xml:space="preserve">前端看板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400"/>
                <w:szCs w:val="3400"/>
              </w:rPr>
              <w:t xml:space="preserve">React + TailwindCSS + Recharts / D3.js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760"/>
                <w:szCs w:val="3760"/>
              </w:rPr>
              <w:t xml:space="preserve">响应式看板，支持暗色模式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00"/>
                <w:szCs w:val="2200"/>
              </w:rPr>
              <w:t xml:space="preserve">VSTAR 对接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400"/>
                <w:szCs w:val="3400"/>
              </w:rPr>
              <w:t xml:space="preserve">VSTAR REST API / WebSocket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760"/>
                <w:szCs w:val="3760"/>
              </w:rPr>
              <w:t xml:space="preserve">实时报价接收 + 仿真下单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00"/>
                <w:szCs w:val="2200"/>
              </w:rPr>
              <w:t xml:space="preserve">告警推送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400"/>
                <w:szCs w:val="3400"/>
              </w:rPr>
              <w:t xml:space="preserve">Telegram Bot / 邮件 / 企业微信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760"/>
                <w:szCs w:val="3760"/>
              </w:rPr>
              <w:t xml:space="preserve">触发式推送，不打扰日常操作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10" w:space="6"/>
        </w:pBdr>
        <w:spacing w:before="480" w:after="180"/>
      </w:pPr>
      <w:r>
        <w:rPr>
          <w:rFonts w:ascii="Arial" w:cs="Arial" w:eastAsia="Arial" w:hAnsi="Arial"/>
          <w:b/>
          <w:bCs/>
          <w:color w:val="0F2D52"/>
          <w:sz w:val="40"/>
          <w:szCs w:val="40"/>
        </w:rPr>
        <w:t xml:space="preserve">3. 因子分析看板（模块 A）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3.1 九大因子定义与数据源</w:t>
      </w:r>
    </w:p>
    <w:p>
      <w:pPr>
        <w:spacing w:before="8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每个因子均须满足：有明确经济假说、使用 available_date（实际公布日）对齐、252日滚动 Z-Score 标准化。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800"/>
        <w:gridCol w:w="15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200"/>
                <w:szCs w:val="1200"/>
              </w:rPr>
              <w:t xml:space="preserve">因子编号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00"/>
                <w:szCs w:val="2000"/>
              </w:rPr>
              <w:t xml:space="preserve">因子名称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00"/>
                <w:szCs w:val="2800"/>
              </w:rPr>
              <w:t xml:space="preserve">代理数据源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60"/>
                <w:szCs w:val="1560"/>
              </w:rPr>
              <w:t xml:space="preserve">更新频率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00"/>
                <w:szCs w:val="1800"/>
              </w:rPr>
              <w:t xml:space="preserve">预期IC方向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200"/>
                <w:szCs w:val="1200"/>
              </w:rPr>
              <w:t xml:space="preserve">F1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00"/>
                <w:szCs w:val="2000"/>
              </w:rPr>
              <w:t xml:space="preserve">美元强弱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800"/>
                <w:szCs w:val="2800"/>
              </w:rPr>
              <w:t xml:space="preserve">DXY 指数 20日变化率 Z-Score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60"/>
                <w:szCs w:val="1560"/>
              </w:rPr>
              <w:t xml:space="preserve">日频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00"/>
                <w:szCs w:val="1800"/>
              </w:rPr>
              <w:t xml:space="preserve">负相关 ↓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200"/>
                <w:szCs w:val="1200"/>
              </w:rPr>
              <w:t xml:space="preserve">F2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00"/>
                <w:szCs w:val="2000"/>
              </w:rPr>
              <w:t xml:space="preserve">货币政策预期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800"/>
                <w:szCs w:val="2800"/>
              </w:rPr>
              <w:t xml:space="preserve">联邦基金期货6M隐含利率变化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60"/>
                <w:szCs w:val="1560"/>
              </w:rPr>
              <w:t xml:space="preserve">日频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00"/>
                <w:szCs w:val="1800"/>
              </w:rPr>
              <w:t xml:space="preserve">负相关 ↓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200"/>
                <w:szCs w:val="1200"/>
              </w:rPr>
              <w:t xml:space="preserve">F3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00"/>
                <w:szCs w:val="2000"/>
              </w:rPr>
              <w:t xml:space="preserve">实际利率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800"/>
                <w:szCs w:val="2800"/>
              </w:rPr>
              <w:t xml:space="preserve">TIPS 10Y 实际收益率（最强因子）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60"/>
                <w:szCs w:val="1560"/>
              </w:rPr>
              <w:t xml:space="preserve">日频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00"/>
                <w:szCs w:val="1800"/>
              </w:rPr>
              <w:t xml:space="preserve">强负相关 ↓↓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200"/>
                <w:szCs w:val="1200"/>
              </w:rPr>
              <w:t xml:space="preserve">F4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00"/>
                <w:szCs w:val="2000"/>
              </w:rPr>
              <w:t xml:space="preserve">通胀预期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800"/>
                <w:szCs w:val="2800"/>
              </w:rPr>
              <w:t xml:space="preserve">5Y5Y 通胀互换 / 盈亏平衡通胀率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60"/>
                <w:szCs w:val="1560"/>
              </w:rPr>
              <w:t xml:space="preserve">日频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00"/>
                <w:szCs w:val="1800"/>
              </w:rPr>
              <w:t xml:space="preserve">正相关 ↑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200"/>
                <w:szCs w:val="1200"/>
              </w:rPr>
              <w:t xml:space="preserve">F5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00"/>
                <w:szCs w:val="2000"/>
              </w:rPr>
              <w:t xml:space="preserve">地缘政治风险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800"/>
                <w:szCs w:val="2800"/>
              </w:rPr>
              <w:t xml:space="preserve">GPR 指数（月频，日内OVX代理）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60"/>
                <w:szCs w:val="1560"/>
              </w:rPr>
              <w:t xml:space="preserve">月/日代理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00"/>
                <w:szCs w:val="1800"/>
              </w:rPr>
              <w:t xml:space="preserve">正相关 ↑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200"/>
                <w:szCs w:val="1200"/>
              </w:rPr>
              <w:t xml:space="preserve">F6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00"/>
                <w:szCs w:val="2000"/>
              </w:rPr>
              <w:t xml:space="preserve">市场情绪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800"/>
                <w:szCs w:val="2800"/>
              </w:rPr>
              <w:t xml:space="preserve">GVZ + GLD Put/Call 比率合成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60"/>
                <w:szCs w:val="1560"/>
              </w:rPr>
              <w:t xml:space="preserve">日频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00"/>
                <w:szCs w:val="1800"/>
              </w:rPr>
              <w:t xml:space="preserve">正相关 ↑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200"/>
                <w:szCs w:val="1200"/>
              </w:rPr>
              <w:t xml:space="preserve">F7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00"/>
                <w:szCs w:val="2000"/>
              </w:rPr>
              <w:t xml:space="preserve">央行需求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800"/>
                <w:szCs w:val="2800"/>
              </w:rPr>
              <w:t xml:space="preserve">WGC 央行净买入量（季频前向填充）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60"/>
                <w:szCs w:val="1560"/>
              </w:rPr>
              <w:t xml:space="preserve">季频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00"/>
                <w:szCs w:val="1800"/>
              </w:rPr>
              <w:t xml:space="preserve">正相关 ↑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200"/>
                <w:szCs w:val="1200"/>
              </w:rPr>
              <w:t xml:space="preserve">F8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00"/>
                <w:szCs w:val="2000"/>
              </w:rPr>
              <w:t xml:space="preserve">ETF资金流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800"/>
                <w:szCs w:val="2800"/>
              </w:rPr>
              <w:t xml:space="preserve">GLD+IAU 合计持仓量5日变化率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60"/>
                <w:szCs w:val="1560"/>
              </w:rPr>
              <w:t xml:space="preserve">日频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00"/>
                <w:szCs w:val="1800"/>
              </w:rPr>
              <w:t xml:space="preserve">正相关 ↑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200"/>
                <w:szCs w:val="1200"/>
              </w:rPr>
              <w:t xml:space="preserve">F9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00"/>
                <w:szCs w:val="2000"/>
              </w:rPr>
              <w:t xml:space="preserve">金矿产能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800"/>
                <w:szCs w:val="2800"/>
              </w:rPr>
              <w:t xml:space="preserve">GDX vs 黄金相对强弱（产量代理）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60"/>
                <w:szCs w:val="1560"/>
              </w:rPr>
              <w:t xml:space="preserve">日频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00"/>
                <w:szCs w:val="1800"/>
              </w:rPr>
              <w:t xml:space="preserve">负相关 ↓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80"/>
              <w:left w:type="dxa" w:w="320"/>
              <w:bottom w:type="dxa" w:w="180"/>
              <w:right w:type="dxa" w:w="3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F1D1D"/>
                <w:sz w:val="22"/>
                <w:szCs w:val="22"/>
              </w:rPr>
              <w:t xml:space="preserve">⚠️  数据对齐强制规范</w:t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所有宏观数据必须记录两个时间字段：</w:t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· as_of_date：数据报告期（如「3月31日」）</w:t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· available_date：实际公布日期（如「4月28日」）</w:t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看板的所有查询与计算必须使用 available_date 过滤，严禁使用 as_of_date。</w:t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这是防止前视偏差的工程生命线，不得以任何理由绕过。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3.2 因子看板主界面规范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3.2.1 核心指标仪表盘（顶部通栏）</w:t>
      </w:r>
    </w:p>
    <w:p>
      <w:pPr>
        <w:spacing w:before="8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参考日报中的「核心指标仪表盘」设计，展示九因子的实时读数卡片，每张卡片包含：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因子名称 + 标识图标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当日 Z-Score 值（主数字，大字体）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原始数据值（次级展示，灰色小字）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日变化方向箭头（↑/↓）+ 变化幅度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52周百分位色块（绿/黄/红渐变）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一句话信号解读（如「实际利率极高，看空压力」）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3.2.2 因子 IC 追踪面板</w:t>
      </w:r>
    </w:p>
    <w:p>
      <w:pPr>
        <w:spacing w:before="8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每个因子独立展示滚动252日 IC 时序折线图，同时展示：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当前20日 IC 均值（数字标注）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IC 标准差（ICIR = 均值/标准差，达标线 0.5 红色虚线）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IC 阈值参考线（±0.05 绿色虚线）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Regime 着色背景（加息期/降息期/震荡期 用不同底色区分）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3.2.3 Regime 稳定性热力图</w:t>
      </w:r>
    </w:p>
    <w:p>
      <w:pPr>
        <w:spacing w:before="8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横轴：时间（按月），纵轴：九个因子，颜色深浅代表 SHAP 贡献度大小，颜色冷暖代表方向（暖色=看多贡献，冷色=看空贡献）。这是识别因子 Regime 切换最直观的工具。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3.2.4 因子相关性矩阵</w:t>
      </w:r>
    </w:p>
    <w:p>
      <w:pPr>
        <w:spacing w:before="8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实时展示九因子之间的60日滚动相关性矩阵热图，当任意两因子相关性超过 0.7 时，对应格子高亮红色警告——提示正交化效果可能需要更新。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3.3 Löwdin 正交化规范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使用252日滚动窗口，每个交易日重新计算协方差矩阵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正交化结果存入独立数据表，与原始因子值并行保存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界面提供「原始值 / 正交化值」切换开关，方便因子调试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当协方差矩阵条件数超过 1000 时，触发「正交化质量告警」</w:t>
      </w:r>
    </w:p>
    <w:p>
      <w:r>
        <w:br w:type="page"/>
      </w:r>
    </w:p>
    <w:p>
      <w:pPr>
        <w:pStyle w:val="Heading1"/>
        <w:pBdr>
          <w:bottom w:val="single" w:color="1A56A0" w:sz="10" w:space="6"/>
        </w:pBdr>
        <w:spacing w:before="480" w:after="180"/>
      </w:pPr>
      <w:r>
        <w:rPr>
          <w:rFonts w:ascii="Arial" w:cs="Arial" w:eastAsia="Arial" w:hAnsi="Arial"/>
          <w:b/>
          <w:bCs/>
          <w:color w:val="0F2D52"/>
          <w:sz w:val="40"/>
          <w:szCs w:val="40"/>
        </w:rPr>
        <w:t xml:space="preserve">4. 交易信号引擎（模块 B）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4.1 模型规格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00"/>
                <w:szCs w:val="2200"/>
              </w:rPr>
              <w:t xml:space="preserve">参数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800"/>
                <w:szCs w:val="3800"/>
              </w:rPr>
              <w:t xml:space="preserve">规格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360"/>
                <w:szCs w:val="3360"/>
              </w:rPr>
              <w:t xml:space="preserve">设定理由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00"/>
                <w:szCs w:val="2200"/>
              </w:rPr>
              <w:t xml:space="preserve">算法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800"/>
                <w:szCs w:val="3800"/>
              </w:rPr>
              <w:t xml:space="preserve">XGBoost Regressor（预测20日收益率）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360"/>
                <w:szCs w:val="3360"/>
              </w:rPr>
              <w:t xml:space="preserve">捕捉因子间非线性交互，适合宏观数据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00"/>
                <w:szCs w:val="2200"/>
              </w:rPr>
              <w:t xml:space="preserve">训练集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800"/>
                <w:szCs w:val="3800"/>
              </w:rPr>
              <w:t xml:space="preserve">2015-01-01 至 2022-12-31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360"/>
                <w:szCs w:val="3360"/>
              </w:rPr>
              <w:t xml:space="preserve">覆盖加息、降息、QE、危机等多种Regime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00"/>
                <w:szCs w:val="2200"/>
              </w:rPr>
              <w:t xml:space="preserve">测试集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800"/>
                <w:szCs w:val="3800"/>
              </w:rPr>
              <w:t xml:space="preserve">2023-01-01 至今（滚动更新）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360"/>
                <w:szCs w:val="3360"/>
              </w:rPr>
              <w:t xml:space="preserve">真实样本外验证，不参与任何参数调优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00"/>
                <w:szCs w:val="2200"/>
              </w:rPr>
              <w:t xml:space="preserve">预测目标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800"/>
                <w:szCs w:val="3800"/>
              </w:rPr>
              <w:t xml:space="preserve">未来20日 XAU/USD 收益率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360"/>
                <w:szCs w:val="3360"/>
              </w:rPr>
              <w:t xml:space="preserve">匹配慢变宏观因子的预测窗口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00"/>
                <w:szCs w:val="2200"/>
              </w:rPr>
              <w:t xml:space="preserve">max_depth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800"/>
                <w:szCs w:val="3800"/>
              </w:rPr>
              <w:t xml:space="preserve">4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360"/>
                <w:szCs w:val="3360"/>
              </w:rPr>
              <w:t xml:space="preserve">黄金宏观样本有限，浅树防过拟合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00"/>
                <w:szCs w:val="2200"/>
              </w:rPr>
              <w:t xml:space="preserve">min_child_weight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800"/>
                <w:szCs w:val="3800"/>
              </w:rPr>
              <w:t xml:space="preserve">10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360"/>
                <w:szCs w:val="3360"/>
              </w:rPr>
              <w:t xml:space="preserve">宏观事件稀少，防止在极端事件上过拟合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00"/>
                <w:szCs w:val="2200"/>
              </w:rPr>
              <w:t xml:space="preserve">learning_rate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800"/>
                <w:szCs w:val="3800"/>
              </w:rPr>
              <w:t xml:space="preserve">0.03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360"/>
                <w:szCs w:val="3360"/>
              </w:rPr>
              <w:t xml:space="preserve">保守学习率，防止单棵树过度拟合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00"/>
                <w:szCs w:val="2200"/>
              </w:rPr>
              <w:t xml:space="preserve">交叉验证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800"/>
                <w:szCs w:val="3800"/>
              </w:rPr>
              <w:t xml:space="preserve">Purged CV（Walk-forward + Purge20天 + Embargo20天）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360"/>
                <w:szCs w:val="3360"/>
              </w:rPr>
              <w:t xml:space="preserve">严防时序泄露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4.2 信号生成逻辑</w:t>
      </w:r>
    </w:p>
    <w:p>
      <w:pPr>
        <w:spacing w:before="8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模型每日收盘后（UTC 21:00）运行一次完整推理流程，输出三档信号：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0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00"/>
                <w:szCs w:val="2400"/>
              </w:rPr>
              <w:t xml:space="preserve">信号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00"/>
                <w:szCs w:val="2800"/>
              </w:rPr>
              <w:t xml:space="preserve">触发条件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00"/>
                <w:szCs w:val="2000"/>
              </w:rPr>
              <w:t xml:space="preserve">含义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60"/>
                <w:szCs w:val="2160"/>
              </w:rPr>
              <w:t xml:space="preserve">建议操作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400"/>
                <w:szCs w:val="2400"/>
              </w:rPr>
              <w:t xml:space="preserve">🟢 做多（Strong Buy）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800"/>
                <w:szCs w:val="2800"/>
              </w:rPr>
              <w:t xml:space="preserve">预测20日收益率 &gt; +0.8%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00"/>
                <w:szCs w:val="2000"/>
              </w:rPr>
              <w:t xml:space="preserve">九因子综合看多，方向明确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60"/>
                <w:szCs w:val="2160"/>
              </w:rPr>
              <w:t xml:space="preserve">按仓位计算公式建立多头仓位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400"/>
                <w:szCs w:val="2400"/>
              </w:rPr>
              <w:t xml:space="preserve">🟡 中性（Neutral）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800"/>
                <w:szCs w:val="2800"/>
              </w:rPr>
              <w:t xml:space="preserve">预测20日收益率 在 -0.8% ~ +0.8%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00"/>
                <w:szCs w:val="2000"/>
              </w:rPr>
              <w:t xml:space="preserve">因子信号相互抵消，方向不明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60"/>
                <w:szCs w:val="2160"/>
              </w:rPr>
              <w:t xml:space="preserve">不开新仓，持有现有仓位观察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400"/>
                <w:szCs w:val="2400"/>
              </w:rPr>
              <w:t xml:space="preserve">🔴 做空（Strong Sell）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800"/>
                <w:szCs w:val="2800"/>
              </w:rPr>
              <w:t xml:space="preserve">预测20日收益率 &lt; -0.8%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00"/>
                <w:szCs w:val="2000"/>
              </w:rPr>
              <w:t xml:space="preserve">九因子综合看空，方向明确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60"/>
                <w:szCs w:val="2160"/>
              </w:rPr>
              <w:t xml:space="preserve">按仓位计算公式建立空头仓位（仿真模式）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4.3 SHAP 归因展示规范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4.3.1 每日信号归因瀑布图</w:t>
      </w:r>
    </w:p>
    <w:p>
      <w:pPr>
        <w:spacing w:before="8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每次信号生成后，自动渲染 SHAP Waterfall 图，展示从基准值到最终预测值的完整分解过程：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基准值（E[f(x)]）：标注历史均值预测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每个因子的 SHAP 值：绿色条（正贡献/看多）、红色条（负贡献/看空）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条形宽度对应 SHAP 值绝对大小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鼠标悬停显示：因子原始值、Z-Score、SHAP值、因子经济学解释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4.3.2 SHAP 异常检测规则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80"/>
              <w:left w:type="dxa" w:w="320"/>
              <w:bottom w:type="dxa" w:w="180"/>
              <w:right w:type="dxa" w:w="3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8350F"/>
                <w:sz w:val="22"/>
                <w:szCs w:val="22"/>
              </w:rPr>
              <w:t xml:space="preserve">⚠️  三类 SHAP 异常自动触发告警</w:t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异常1：单因子贡献度 &gt; 50% → 模型过度依赖单一信号，需人工审查</w:t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处理：暂停该交易日的自动信号生成，等待人工确认</w:t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异常2：某因子连续30日平均 SHAP 贡献下降 &gt; 60% → 因子可能进入衰退期</w:t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处理：触发因子衰退预警，建议更新该因子或降低其在模型中的权重</w:t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异常3：SHAP 方向与 IC 预期方向相反（如 F3 实际利率 SHAP 值为正）</w:t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处理：触发 Regime 切换预警，检查当前市场是否已进入非传统状态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4.4 Regime 识别系统</w:t>
      </w:r>
    </w:p>
    <w:p>
      <w:pPr>
        <w:spacing w:before="8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系统维护四种 Regime 状态，每日根据市场条件自动判定：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0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00"/>
                <w:szCs w:val="2000"/>
              </w:rPr>
              <w:t xml:space="preserve">Regime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200"/>
                <w:szCs w:val="3200"/>
              </w:rPr>
              <w:t xml:space="preserve">识别条件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00"/>
                <w:szCs w:val="2000"/>
              </w:rPr>
              <w:t xml:space="preserve">主导因子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60"/>
                <w:szCs w:val="2160"/>
              </w:rPr>
              <w:t xml:space="preserve">特殊处理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00"/>
                <w:szCs w:val="2000"/>
              </w:rPr>
              <w:t xml:space="preserve">R1：实际利率主导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200"/>
                <w:szCs w:val="3200"/>
              </w:rPr>
              <w:t xml:space="preserve">F3 SHAP贡献连续20日 &gt; 35%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00"/>
                <w:szCs w:val="2000"/>
              </w:rPr>
              <w:t xml:space="preserve">F3（最强压制/支撑）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60"/>
                <w:szCs w:val="2160"/>
              </w:rPr>
              <w:t xml:space="preserve">F3权重 ×1.5，F5/F6权重 ×0.7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00"/>
                <w:szCs w:val="2000"/>
              </w:rPr>
              <w:t xml:space="preserve">R2：避险情绪主导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200"/>
                <w:szCs w:val="3200"/>
              </w:rPr>
              <w:t xml:space="preserve">GVZ &gt; 40 或 VIX &gt; 35 且 GPR急升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00"/>
                <w:szCs w:val="2000"/>
              </w:rPr>
              <w:t xml:space="preserve">F5 + F6 协同驱动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60"/>
                <w:szCs w:val="2160"/>
              </w:rPr>
              <w:t xml:space="preserve">F5/F6权重 ×1.5，注意强制平仓风险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00"/>
                <w:szCs w:val="2000"/>
              </w:rPr>
              <w:t xml:space="preserve">R3：央行需求主导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200"/>
                <w:szCs w:val="3200"/>
              </w:rPr>
              <w:t xml:space="preserve">WGC买入量同比 &gt; +30% 且 F7 SHAP &gt; 25%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00"/>
                <w:szCs w:val="2000"/>
              </w:rPr>
              <w:t xml:space="preserve">F7（与利率脱钩）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60"/>
                <w:szCs w:val="2160"/>
              </w:rPr>
              <w:t xml:space="preserve">降低 F3 权重，增加 F7 预测窗口至60日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00"/>
                <w:szCs w:val="2000"/>
              </w:rPr>
              <w:t xml:space="preserve">R4：通胀主导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200"/>
                <w:szCs w:val="3200"/>
              </w:rPr>
              <w:t xml:space="preserve">BEI &gt; 3% 且 F4 SHAP &gt; 30%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00"/>
                <w:szCs w:val="2000"/>
              </w:rPr>
              <w:t xml:space="preserve">F4（抗缩水需求）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60"/>
                <w:szCs w:val="2160"/>
              </w:rPr>
              <w:t xml:space="preserve">F4权重 ×1.4，关注 F3 实际利率是否转负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10" w:space="6"/>
        </w:pBdr>
        <w:spacing w:before="480" w:after="180"/>
      </w:pPr>
      <w:r>
        <w:rPr>
          <w:rFonts w:ascii="Arial" w:cs="Arial" w:eastAsia="Arial" w:hAnsi="Arial"/>
          <w:b/>
          <w:bCs/>
          <w:color w:val="0F2D52"/>
          <w:sz w:val="40"/>
          <w:szCs w:val="40"/>
        </w:rPr>
        <w:t xml:space="preserve">5. 仓位管理系统（模块 B · 子系统）</w:t>
      </w:r>
    </w:p>
    <w:p>
      <w:pPr>
        <w:spacing w:before="8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仓位管理系统严格实现《仓位管理核心指南》（Practical Framework for Risk-Adjusted Position Sizing）中的全套规则，所有规则由系统强制执行，不提供人工覆盖选项。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5.1 基础仓位计算公式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80"/>
              <w:left w:type="dxa" w:w="320"/>
              <w:bottom w:type="dxa" w:w="180"/>
              <w:right w:type="dxa" w:w="3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2D52"/>
                <w:sz w:val="22"/>
                <w:szCs w:val="22"/>
              </w:rPr>
              <w:t xml:space="preserve">📐  核心仓位公式（ATR风险预算制）</w:t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仓位数量（手数）= （账户总额 × 单笔风险比例）÷ （ATR × 止损倍数 × 每点价值）</w:t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默认参数：</w:t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· 单笔风险比例：1.0%（观察期降至 0.5%，熔断期降至 0%）</w:t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· ATR 周期：14日</w:t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· 止损倍数：2.0×（黄金 XAU/USD，可调整为 2.5×~3×）</w:t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· 每点价值：根据 VSTAR 合约规格自动获取</w:t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示例（仿真账户 $100,000）：</w:t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风险金额 = $100,000 × 1% = $1,000</w:t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若 ATR = $25，止损倍数 = 2，每点 = $1</w:t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仓位 = $1,000 ÷ ($25 × 2) = 20 手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5.2 动态风险乘数（三档分级）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600"/>
        <w:gridCol w:w="2000"/>
        <w:gridCol w:w="1560"/>
      </w:tblGrid>
      <w:tr>
        <w:trPr>
          <w:tblHeader/>
        </w:trP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00"/>
                <w:szCs w:val="1400"/>
              </w:rPr>
              <w:t xml:space="preserve">状态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00"/>
                <w:szCs w:val="2800"/>
              </w:rPr>
              <w:t xml:space="preserve">触发条件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00"/>
                <w:szCs w:val="1600"/>
              </w:rPr>
              <w:t xml:space="preserve">风险乘数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00"/>
                <w:szCs w:val="2000"/>
              </w:rPr>
              <w:t xml:space="preserve">单笔风险比例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60"/>
                <w:szCs w:val="1560"/>
              </w:rPr>
              <w:t xml:space="preserve">允许操作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00"/>
                <w:szCs w:val="1400"/>
              </w:rPr>
              <w:t xml:space="preserve">🟢 健康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800"/>
                <w:szCs w:val="2800"/>
              </w:rPr>
              <w:t xml:space="preserve">当前回撤 &lt; 5%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00"/>
                <w:szCs w:val="1600"/>
              </w:rPr>
              <w:t xml:space="preserve">1.0×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00"/>
                <w:szCs w:val="2000"/>
              </w:rPr>
              <w:t xml:space="preserve">1.0%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60"/>
                <w:szCs w:val="1560"/>
              </w:rPr>
              <w:t xml:space="preserve">正常建仓，所有信号均可执行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00"/>
                <w:szCs w:val="1400"/>
              </w:rPr>
              <w:t xml:space="preserve">🟡 预警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800"/>
                <w:szCs w:val="2800"/>
              </w:rPr>
              <w:t xml:space="preserve">当前回撤 5% ~ 15%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00"/>
                <w:szCs w:val="1600"/>
              </w:rPr>
              <w:t xml:space="preserve">0.5×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00"/>
                <w:szCs w:val="2000"/>
              </w:rPr>
              <w:t xml:space="preserve">0.5%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60"/>
                <w:szCs w:val="1560"/>
              </w:rPr>
              <w:t xml:space="preserve">仅执行强信号（预测收益 &gt; ±1.2%），减半仓位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400"/>
                <w:szCs w:val="1400"/>
              </w:rPr>
              <w:t xml:space="preserve">🔴 熔断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800"/>
                <w:szCs w:val="2800"/>
              </w:rPr>
              <w:t xml:space="preserve">当前回撤 &gt; 15%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00"/>
                <w:szCs w:val="1600"/>
              </w:rPr>
              <w:t xml:space="preserve">0.0×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00"/>
                <w:szCs w:val="2000"/>
              </w:rPr>
              <w:t xml:space="preserve">0%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60"/>
                <w:szCs w:val="1560"/>
              </w:rPr>
              <w:t xml:space="preserve">停止所有新仓，平仓现有持仓，进入复盘模式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5.3 止损规则体系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5.3.1 初始止损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做多仓位：止损位 = 建仓价 - 2 × ATR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做空仓位：止损位 = 建仓价 + 2 × ATR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止损价格在建仓时即通过 VSTAR API 挂单，不可人工删除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5.3.2 保本止损（盈利保护）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当持仓浮盈达到 1 × ATR 时，系统自动将止损移至开仓成本价（保本线）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保本止损触发后，该笔交易最大亏损锁定为 0，释放风险预算额度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5.3.3 吊灯移动止损（Chandelier Exit）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做多仓位止损位 = max（建仓以来最高价）- 2.5 × ATR（黄金默认值）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做空仓位止损位 = min（建仓以来最低价）+ 2.5 × ATR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每日收盘后自动更新止损位，通过 VSTAR API 修改挂单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止损位只能向有利方向移动，不可反向调整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5.4 Portfolio Heat 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80"/>
              <w:left w:type="dxa" w:w="320"/>
              <w:bottom w:type="dxa" w:w="180"/>
              <w:right w:type="dxa" w:w="3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📊  总风险上限规则</w:t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规则：全账户任意时刻的总风险暴露（Portfolio Heat）不得超过 2%</w:t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超限处理方案 A（等比例缩减）：</w:t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所有现有仓位按同一比例压缩，确保总 Heat 回到 2% 以内</w:t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适用场景：无法判断哪个仓位应优先保留时</w:t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超限处理方案 B（确定性排序）：</w:t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按信号强度评分排序，优先保障评分最高的仓位的完整风险预算</w:t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剩余预算按评分比例依次分配给其他仓位</w:t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适用场景：各仓位信号强度有明显差异时</w:t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⚠️ 系统每10分钟计算一次实时 Portfolio Heat，超过1.8%时触发黄色预警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5.5 阶梯式恢复流程</w:t>
      </w:r>
    </w:p>
    <w:p>
      <w:pPr>
        <w:spacing w:before="8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账户进入预警或熔断状态后，必须经过系统性验证才能恢复正常风险水平：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600"/>
        <w:gridCol w:w="24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00"/>
                <w:szCs w:val="2000"/>
              </w:rPr>
              <w:t xml:space="preserve">恢复阶段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00"/>
                <w:szCs w:val="2800"/>
              </w:rPr>
              <w:t xml:space="preserve">进入条件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00"/>
                <w:szCs w:val="1600"/>
              </w:rPr>
              <w:t xml:space="preserve">风险档位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00"/>
                <w:szCs w:val="2400"/>
              </w:rPr>
              <w:t xml:space="preserve">晋升条件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560"/>
                <w:szCs w:val="2560"/>
              </w:rPr>
              <w:t xml:space="preserve">退防条件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00"/>
                <w:szCs w:val="2000"/>
              </w:rPr>
              <w:t xml:space="preserve">观察期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800"/>
                <w:szCs w:val="2800"/>
              </w:rPr>
              <w:t xml:space="preserve">回撤超过10%触发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00"/>
                <w:szCs w:val="1600"/>
              </w:rPr>
              <w:t xml:space="preserve">0.5%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400"/>
                <w:szCs w:val="2400"/>
              </w:rPr>
              <w:t xml:space="preserve">连续3笔盈利，每笔触达移动止损锁利点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560"/>
                <w:szCs w:val="2560"/>
              </w:rPr>
              <w:t xml:space="preserve">单次亏损 → 重置计数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00"/>
                <w:szCs w:val="2000"/>
              </w:rPr>
              <w:t xml:space="preserve">第一恢复档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800"/>
                <w:szCs w:val="2800"/>
              </w:rPr>
              <w:t xml:space="preserve">完成观察期验证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00"/>
                <w:szCs w:val="1600"/>
              </w:rPr>
              <w:t xml:space="preserve">0.75%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400"/>
                <w:szCs w:val="2400"/>
              </w:rPr>
              <w:t xml:space="preserve">最近5笔胜率 &gt; 60% 且净值回升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560"/>
                <w:szCs w:val="2560"/>
              </w:rPr>
              <w:t xml:space="preserve">连续2次亏损 → 退回观察期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00"/>
                <w:szCs w:val="2000"/>
              </w:rPr>
              <w:t xml:space="preserve">完全恢复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800"/>
                <w:szCs w:val="2800"/>
              </w:rPr>
              <w:t xml:space="preserve">完成第一恢复档验证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00"/>
                <w:szCs w:val="1600"/>
              </w:rPr>
              <w:t xml:space="preserve">1.0%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400"/>
                <w:szCs w:val="2400"/>
              </w:rPr>
              <w:t xml:space="preserve">净值回到回撤前最高点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560"/>
                <w:szCs w:val="2560"/>
              </w:rPr>
              <w:t xml:space="preserve">回撤再次超过5% → 重新触发预警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80"/>
              <w:left w:type="dxa" w:w="320"/>
              <w:bottom w:type="dxa" w:w="180"/>
              <w:right w:type="dxa" w:w="3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2D52"/>
                <w:sz w:val="22"/>
                <w:szCs w:val="22"/>
              </w:rPr>
              <w:t xml:space="preserve">💡  双倍退防逻辑说明</w:t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在任意升档过程中，若连续出现2次亏损，系统强制退回上一档位。</w:t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「双倍」而非「单次」的原因：</w:t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· 单次亏损可能是市场噪音，不代表策略失效</w:t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· 连续两次亏损说明当前 Regime 未真正好转，升档尝试是错误的</w:t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· 避免在两档之间频繁横跳，减少额外的随机压力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10" w:space="6"/>
        </w:pBdr>
        <w:spacing w:before="480" w:after="180"/>
      </w:pPr>
      <w:r>
        <w:rPr>
          <w:rFonts w:ascii="Arial" w:cs="Arial" w:eastAsia="Arial" w:hAnsi="Arial"/>
          <w:b/>
          <w:bCs/>
          <w:color w:val="0F2D52"/>
          <w:sz w:val="40"/>
          <w:szCs w:val="40"/>
        </w:rPr>
        <w:t xml:space="preserve">6. VSTAR 仿真交易对接（模块 C）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6.1 平台对接概述</w:t>
      </w:r>
    </w:p>
    <w:p>
      <w:pPr>
        <w:spacing w:before="8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VSTAR.COM 是一个提供多资产 CFD 交易的在线平台，支持黄金（XAU/USD）现货交易和仿真账户模式。系统通过 VSTAR 官方 API 实现数据获取与交易执行的自动化集成。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80"/>
              <w:left w:type="dxa" w:w="320"/>
              <w:bottom w:type="dxa" w:w="180"/>
              <w:right w:type="dxa" w:w="3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2D52"/>
                <w:sz w:val="22"/>
                <w:szCs w:val="22"/>
              </w:rPr>
              <w:t xml:space="preserve">📋  VSTAR 对接前置确认事项</w:t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① 确认 VSTAR 提供 REST API 或 FIX 协议接口用于程序化下单</w:t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② 申请仿真账户（Demo Account），获取 API Key 和账户 ID</w:t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③ 确认 XAU/USD 合约规格：最小手数、每手价值、点差、隔夜费率</w:t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④ 确认 API 频率限制（Rate Limit）以合理设计请求策略</w:t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⑤ 测试 WebSocket 连接稳定性，用于实时价格订阅和止损触发监控</w:t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注：若 VSTAR API 不支持程序化止损修改，则在系统侧每5分钟检查一次并手动推送通知。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6.2 数据接入规范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8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00"/>
                <w:szCs w:val="2200"/>
              </w:rPr>
              <w:t xml:space="preserve">数据类型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00"/>
                <w:szCs w:val="2400"/>
              </w:rPr>
              <w:t xml:space="preserve">接入方式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00"/>
                <w:szCs w:val="1800"/>
              </w:rPr>
              <w:t xml:space="preserve">更新频率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960"/>
                <w:szCs w:val="2960"/>
              </w:rPr>
              <w:t xml:space="preserve">用途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00"/>
                <w:szCs w:val="2200"/>
              </w:rPr>
              <w:t xml:space="preserve">XAU/USD 实时报价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400"/>
                <w:szCs w:val="2400"/>
              </w:rPr>
              <w:t xml:space="preserve">WebSocket 订阅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00"/>
                <w:szCs w:val="1800"/>
              </w:rPr>
              <w:t xml:space="preserve">Tick 级别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960"/>
                <w:szCs w:val="2960"/>
              </w:rPr>
              <w:t xml:space="preserve">ATR计算、止损触发监控、实时盈亏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00"/>
                <w:szCs w:val="2200"/>
              </w:rPr>
              <w:t xml:space="preserve">历史K线数据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400"/>
                <w:szCs w:val="2400"/>
              </w:rPr>
              <w:t xml:space="preserve">REST API（OHLCV）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00"/>
                <w:szCs w:val="1800"/>
              </w:rPr>
              <w:t xml:space="preserve">每日收盘后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960"/>
                <w:szCs w:val="2960"/>
              </w:rPr>
              <w:t xml:space="preserve">ATR计算（14日）、信号回测验证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00"/>
                <w:szCs w:val="2200"/>
              </w:rPr>
              <w:t xml:space="preserve">仿真账户余额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400"/>
                <w:szCs w:val="2400"/>
              </w:rPr>
              <w:t xml:space="preserve">REST API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00"/>
                <w:szCs w:val="1800"/>
              </w:rPr>
              <w:t xml:space="preserve">每10分钟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960"/>
                <w:szCs w:val="2960"/>
              </w:rPr>
              <w:t xml:space="preserve">Portfolio Heat计算、风险乘数判定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00"/>
                <w:szCs w:val="2200"/>
              </w:rPr>
              <w:t xml:space="preserve">仿真持仓明细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400"/>
                <w:szCs w:val="2400"/>
              </w:rPr>
              <w:t xml:space="preserve">REST API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00"/>
                <w:szCs w:val="1800"/>
              </w:rPr>
              <w:t xml:space="preserve">实时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960"/>
                <w:szCs w:val="2960"/>
              </w:rPr>
              <w:t xml:space="preserve">止损追踪、保本止损触发判断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00"/>
                <w:szCs w:val="2200"/>
              </w:rPr>
              <w:t xml:space="preserve">历史成交记录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400"/>
                <w:szCs w:val="2400"/>
              </w:rPr>
              <w:t xml:space="preserve">REST API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00"/>
                <w:szCs w:val="1800"/>
              </w:rPr>
              <w:t xml:space="preserve">每日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960"/>
                <w:szCs w:val="2960"/>
              </w:rPr>
              <w:t xml:space="preserve">绩效统计、Sharpe计算、回撤追踪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6.3 下单流程规范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6.3.1 开仓流程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每日 UTC 21:30（美东收盘后1小时），系统完成当日信号生成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信号为做多/做空时，调用仓位计算模块，输出精确手数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检查 Portfolio Heat：若当前 Heat + 新仓位 Heat &gt; 2%，触发等比例缩减或确定性排序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通过 VSTAR API 提交 Market Order（开仓），同时挂载初始止损单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开仓确认后，记录建仓价、手数、初始止损价至本地数据库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6.3.2 止损更新流程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每日收盘后，重新计算吊灯止损位（基于当日最高/最低价 + ATR）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若新止损位优于当前止损位（有利方向），通过 API 修改挂单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若浮盈首次达到 1×ATR，触发保本止损，将止损位移至成本价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日内每10分钟检查一次实时价格，若触及止损位立即平仓（市价单）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6.3.3 平仓条件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主动平仓：模型信号从做多/做空切换至中性或反向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止损平仓：价格触及吊灯止损位（系统自动执行）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熔断平仓：账户回撤超过15%，强制平所有仓位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到期平仓：持仓满40个交易日（2倍预测窗口），如未触及止损则强制平仓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6.4 仿真账户仪表盘</w:t>
      </w:r>
    </w:p>
    <w:p>
      <w:pPr>
        <w:spacing w:before="8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看板中独立的「账户管理」面板，实时展示：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账户净值曲线（日频，与 GLD 基准对比）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当前 Portfolio Heat 仪表盘（0-2% 进度条，1.8% 黄色、2% 红色）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当前风险乘数档位（🟢健康 / 🟡预警 / 🔴熔断）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持仓明细表：标的、方向、建仓价、当前价、浮盈、止损位、SHAP主因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历史交易记录：每笔交易的进出场原因、SHAP驱动因子、盈亏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绩效指标：Sharpe（滚动60日）、Calmar、最大回撤、胜率、盈亏比</w:t>
      </w:r>
    </w:p>
    <w:p>
      <w:r>
        <w:br w:type="page"/>
      </w:r>
    </w:p>
    <w:p>
      <w:pPr>
        <w:pStyle w:val="Heading1"/>
        <w:pBdr>
          <w:bottom w:val="single" w:color="1A56A0" w:sz="10" w:space="6"/>
        </w:pBdr>
        <w:spacing w:before="480" w:after="180"/>
      </w:pPr>
      <w:r>
        <w:rPr>
          <w:rFonts w:ascii="Arial" w:cs="Arial" w:eastAsia="Arial" w:hAnsi="Arial"/>
          <w:b/>
          <w:bCs/>
          <w:color w:val="0F2D52"/>
          <w:sz w:val="40"/>
          <w:szCs w:val="40"/>
        </w:rPr>
        <w:t xml:space="preserve">7. 风险监控与告警系统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7.1 告警分级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2160"/>
        <w:gridCol w:w="2400"/>
      </w:tblGrid>
      <w:tr>
        <w:trPr>
          <w:tblHeader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200"/>
                <w:szCs w:val="1200"/>
              </w:rPr>
              <w:t xml:space="preserve">级别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600"/>
                <w:szCs w:val="3600"/>
              </w:rPr>
              <w:t xml:space="preserve">触发条件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60"/>
                <w:szCs w:val="2160"/>
              </w:rPr>
              <w:t xml:space="preserve">推送方式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00"/>
                <w:szCs w:val="2400"/>
              </w:rPr>
              <w:t xml:space="preserve">响应要求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200"/>
                <w:szCs w:val="1200"/>
              </w:rPr>
              <w:t xml:space="preserve">🔴 紧急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600"/>
                <w:szCs w:val="3600"/>
              </w:rPr>
              <w:t xml:space="preserve">回撤超过15%触发熔断 / 止损被触发 / 系统异常宕机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60"/>
                <w:szCs w:val="2160"/>
              </w:rPr>
              <w:t xml:space="preserve">Telegram即时推送 + 声音警报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400"/>
                <w:szCs w:val="2400"/>
              </w:rPr>
              <w:t xml:space="preserve">立即人工介入，10分钟内响应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200"/>
                <w:szCs w:val="1200"/>
              </w:rPr>
              <w:t xml:space="preserve">🟡 警告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600"/>
                <w:szCs w:val="3600"/>
              </w:rPr>
              <w:t xml:space="preserve">回撤进入5%-15%预警区 / 单因子SHAP&gt;50% / Portfolio Heat&gt;1.8%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60"/>
                <w:szCs w:val="2160"/>
              </w:rPr>
              <w:t xml:space="preserve">Telegram推送 + 邮件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400"/>
                <w:szCs w:val="2400"/>
              </w:rPr>
              <w:t xml:space="preserve">30分钟内人工确认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200"/>
                <w:szCs w:val="1200"/>
              </w:rPr>
              <w:t xml:space="preserve">🔵 提示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600"/>
                <w:szCs w:val="3600"/>
              </w:rPr>
              <w:t xml:space="preserve">每日信号生成完成 / Regime切换 / 因子衰退预警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60"/>
                <w:szCs w:val="2160"/>
              </w:rPr>
              <w:t xml:space="preserve">Telegram推送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400"/>
                <w:szCs w:val="2400"/>
              </w:rPr>
              <w:t xml:space="preserve">次日开盘前查看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200"/>
                <w:szCs w:val="1200"/>
              </w:rPr>
              <w:t xml:space="preserve">⚪ 日报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600"/>
                <w:szCs w:val="3600"/>
              </w:rPr>
              <w:t xml:space="preserve">每日收盘后完整因子分析报告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60"/>
                <w:szCs w:val="2160"/>
              </w:rPr>
              <w:t xml:space="preserve">邮件 + 企业微信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400"/>
                <w:szCs w:val="2400"/>
              </w:rPr>
              <w:t xml:space="preserve">定期归档，无需即时响应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7.2 因子健康度监控规则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2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00"/>
                <w:szCs w:val="2400"/>
              </w:rPr>
              <w:t xml:space="preserve">监控项目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00"/>
                <w:szCs w:val="1800"/>
              </w:rPr>
              <w:t xml:space="preserve">正常范围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00"/>
                <w:szCs w:val="2200"/>
              </w:rPr>
              <w:t xml:space="preserve">告警阈值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960"/>
                <w:szCs w:val="2960"/>
              </w:rPr>
              <w:t xml:space="preserve">告警内容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400"/>
                <w:szCs w:val="2400"/>
              </w:rPr>
              <w:t xml:space="preserve">IC 绝对值（20日均值）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00"/>
                <w:szCs w:val="1800"/>
              </w:rPr>
              <w:t xml:space="preserve">|IC| &gt; 0.05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00"/>
                <w:szCs w:val="2200"/>
              </w:rPr>
              <w:t xml:space="preserve">&lt; 0.03 持续10日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960"/>
                <w:szCs w:val="2960"/>
              </w:rPr>
              <w:t xml:space="preserve">「F{n}因子有效性下降，建议回顾经济假说」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400"/>
                <w:szCs w:val="2400"/>
              </w:rPr>
              <w:t xml:space="preserve">SHAP单因子贡献比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00"/>
                <w:szCs w:val="1800"/>
              </w:rPr>
              <w:t xml:space="preserve">&lt; 40%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00"/>
                <w:szCs w:val="2200"/>
              </w:rPr>
              <w:t xml:space="preserve">&gt; 50%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960"/>
                <w:szCs w:val="2960"/>
              </w:rPr>
              <w:t xml:space="preserve">「模型信号集中风险：{因子名}贡献{n}%，信号可靠性存疑」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400"/>
                <w:szCs w:val="2400"/>
              </w:rPr>
              <w:t xml:space="preserve">因子 Regime 反转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00"/>
                <w:szCs w:val="1800"/>
              </w:rPr>
              <w:t xml:space="preserve">IC方向符合预期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00"/>
                <w:szCs w:val="2200"/>
              </w:rPr>
              <w:t xml:space="preserve">连续5日IC方向反转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960"/>
                <w:szCs w:val="2960"/>
              </w:rPr>
              <w:t xml:space="preserve">「{因子名}进入Regime反转状态，建议激活过滤器」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400"/>
                <w:szCs w:val="2400"/>
              </w:rPr>
              <w:t xml:space="preserve">数据更新延迟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00"/>
                <w:szCs w:val="1800"/>
              </w:rPr>
              <w:t xml:space="preserve">&lt; 2小时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00"/>
                <w:szCs w:val="2200"/>
              </w:rPr>
              <w:t xml:space="preserve">&gt; 4小时未更新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960"/>
                <w:szCs w:val="2960"/>
              </w:rPr>
              <w:t xml:space="preserve">「{数据源}数据超过4小时未更新，当日信号暂停生成」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400"/>
                <w:szCs w:val="2400"/>
              </w:rPr>
              <w:t xml:space="preserve">VSTAR连接状态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00"/>
                <w:szCs w:val="1800"/>
              </w:rPr>
              <w:t xml:space="preserve">WebSocket在线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00"/>
                <w:szCs w:val="2200"/>
              </w:rPr>
              <w:t xml:space="preserve">断线 &gt; 30秒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960"/>
                <w:szCs w:val="2960"/>
              </w:rPr>
              <w:t xml:space="preserve">「VSTAR实时连接断开，止损监控暂停，请立即检查」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10" w:space="6"/>
        </w:pBdr>
        <w:spacing w:before="480" w:after="180"/>
      </w:pPr>
      <w:r>
        <w:rPr>
          <w:rFonts w:ascii="Arial" w:cs="Arial" w:eastAsia="Arial" w:hAnsi="Arial"/>
          <w:b/>
          <w:bCs/>
          <w:color w:val="0F2D52"/>
          <w:sz w:val="40"/>
          <w:szCs w:val="40"/>
        </w:rPr>
        <w:t xml:space="preserve">8. UI/UX 设计规范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8.1 整体布局</w:t>
      </w:r>
    </w:p>
    <w:p>
      <w:pPr>
        <w:spacing w:before="80" w:after="10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看板采用暗色主题（参考日报截图中的深蓝背景风格），分为四个主要区域：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00"/>
                <w:szCs w:val="2400"/>
              </w:rPr>
              <w:t xml:space="preserve">区域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00"/>
                <w:szCs w:val="2400"/>
              </w:rPr>
              <w:t xml:space="preserve">位置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560"/>
                <w:szCs w:val="4560"/>
              </w:rPr>
              <w:t xml:space="preserve">内容模块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400"/>
                <w:szCs w:val="2400"/>
              </w:rPr>
              <w:t xml:space="preserve">顶部通栏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400"/>
                <w:szCs w:val="2400"/>
              </w:rPr>
              <w:t xml:space="preserve">全宽，高度 120px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4560"/>
                <w:szCs w:val="4560"/>
              </w:rPr>
              <w:t xml:space="preserve">九因子核心指标卡片（参考第3.2.1节）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400"/>
                <w:szCs w:val="2400"/>
              </w:rPr>
              <w:t xml:space="preserve">左侧主面板（60%宽）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400"/>
                <w:szCs w:val="2400"/>
              </w:rPr>
              <w:t xml:space="preserve">全高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4560"/>
                <w:szCs w:val="4560"/>
              </w:rPr>
              <w:t xml:space="preserve">SHAP瀑布图 / IC追踪 / Regime热力图（按标签切换）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400"/>
                <w:szCs w:val="2400"/>
              </w:rPr>
              <w:t xml:space="preserve">右侧边栏（40%宽）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400"/>
                <w:szCs w:val="2400"/>
              </w:rPr>
              <w:t xml:space="preserve">全高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4560"/>
                <w:szCs w:val="4560"/>
              </w:rPr>
              <w:t xml:space="preserve">信号卡片 / 仓位管理 / 账户仪表盘（上中下三段）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400"/>
                <w:szCs w:val="2400"/>
              </w:rPr>
              <w:t xml:space="preserve">底部状态栏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400"/>
                <w:szCs w:val="2400"/>
              </w:rPr>
              <w:t xml:space="preserve">全宽，高度 40px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4560"/>
                <w:szCs w:val="4560"/>
              </w:rPr>
              <w:t xml:space="preserve">数据更新时间 / 系统状态 / 告警计数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8.2 颜色语义系统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00"/>
                <w:szCs w:val="2400"/>
              </w:rPr>
              <w:t xml:space="preserve">颜色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00"/>
                <w:szCs w:val="2800"/>
              </w:rPr>
              <w:t xml:space="preserve">语义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160"/>
                <w:szCs w:val="4160"/>
              </w:rPr>
              <w:t xml:space="preserve">使用场景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400"/>
                <w:szCs w:val="2400"/>
              </w:rPr>
              <w:t xml:space="preserve">#22C55E 绿色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800"/>
                <w:szCs w:val="2800"/>
              </w:rPr>
              <w:t xml:space="preserve">看多信号 / 正贡献 / 健康状态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4160"/>
                <w:szCs w:val="4160"/>
              </w:rPr>
              <w:t xml:space="preserve">做多SHAP条、健康档位标识、IC正值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400"/>
                <w:szCs w:val="2400"/>
              </w:rPr>
              <w:t xml:space="preserve">#EF4444 红色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800"/>
                <w:szCs w:val="2800"/>
              </w:rPr>
              <w:t xml:space="preserve">看空信号 / 负贡献 / 警告/熔断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4160"/>
                <w:szCs w:val="4160"/>
              </w:rPr>
              <w:t xml:space="preserve">做空SHAP条、止损线、熔断档位标识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400"/>
                <w:szCs w:val="2400"/>
              </w:rPr>
              <w:t xml:space="preserve">#F59E0B 琥珀色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800"/>
                <w:szCs w:val="2800"/>
              </w:rPr>
              <w:t xml:space="preserve">中性 / 预警 / 注意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4160"/>
                <w:szCs w:val="4160"/>
              </w:rPr>
              <w:t xml:space="preserve">中性信号、预警档位、Portfolio Heat偏高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400"/>
                <w:szCs w:val="2400"/>
              </w:rPr>
              <w:t xml:space="preserve">#3B82F6 蓝色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800"/>
                <w:szCs w:val="2800"/>
              </w:rPr>
              <w:t xml:space="preserve">信息 / 基准 / 主要数据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4160"/>
                <w:szCs w:val="4160"/>
              </w:rPr>
              <w:t xml:space="preserve">基准值线、因子名称、主要数字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400"/>
                <w:szCs w:val="2400"/>
              </w:rPr>
              <w:t xml:space="preserve">#8B5CF6 紫色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800"/>
                <w:szCs w:val="2800"/>
              </w:rPr>
              <w:t xml:space="preserve">Regime切换 / 特殊事件标注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4160"/>
                <w:szCs w:val="4160"/>
              </w:rPr>
              <w:t xml:space="preserve">Regime背景着色、特殊事件标注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400"/>
                <w:szCs w:val="2400"/>
              </w:rPr>
              <w:t xml:space="preserve">#6B7280 灰色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800"/>
                <w:szCs w:val="2800"/>
              </w:rPr>
              <w:t xml:space="preserve">次级信息 / 历史数据 / 标签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4160"/>
                <w:szCs w:val="4160"/>
              </w:rPr>
              <w:t xml:space="preserve">历史K线、辅助说明文字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8.3 关键交互规范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因子卡片点击 → 展开该因子的历史 IC 曲线和经济假说说明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SHAP 条形 Hover → 显示：因子名称、原始值、Z-Score、SHAP值、当前Regime下历史IC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Regime 热力图格子点击 → 展开该月该因子的详细统计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持仓行点击 → 展开该笔交易的完整SHAP归因和进出场逻辑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止损位 Hover → 显示：当前价距止损距离、ATR倍数、预期风险金额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所有数字默认显示2位小数，百分比显示1位小数；大额数字使用 K/M 缩写</w:t>
      </w:r>
    </w:p>
    <w:p>
      <w:r>
        <w:br w:type="page"/>
      </w:r>
    </w:p>
    <w:p>
      <w:pPr>
        <w:pStyle w:val="Heading1"/>
        <w:pBdr>
          <w:bottom w:val="single" w:color="1A56A0" w:sz="10" w:space="6"/>
        </w:pBdr>
        <w:spacing w:before="480" w:after="180"/>
      </w:pPr>
      <w:r>
        <w:rPr>
          <w:rFonts w:ascii="Arial" w:cs="Arial" w:eastAsia="Arial" w:hAnsi="Arial"/>
          <w:b/>
          <w:bCs/>
          <w:color w:val="0F2D52"/>
          <w:sz w:val="40"/>
          <w:szCs w:val="40"/>
        </w:rPr>
        <w:t xml:space="preserve">9. 非功能性需求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9.1 性能要求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00"/>
                <w:szCs w:val="2400"/>
              </w:rPr>
              <w:t xml:space="preserve">指标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200"/>
                <w:szCs w:val="3200"/>
              </w:rPr>
              <w:t xml:space="preserve">要求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760"/>
                <w:szCs w:val="3760"/>
              </w:rPr>
              <w:t xml:space="preserve">测量方式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400"/>
                <w:szCs w:val="2400"/>
              </w:rPr>
              <w:t xml:space="preserve">每日信号生成时间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200"/>
                <w:szCs w:val="3200"/>
              </w:rPr>
              <w:t xml:space="preserve">&lt; 30秒（含完整 SHAP 计算）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760"/>
                <w:szCs w:val="3760"/>
              </w:rPr>
              <w:t xml:space="preserve">后端任务计时日志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400"/>
                <w:szCs w:val="2400"/>
              </w:rPr>
              <w:t xml:space="preserve">看板初始加载时间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200"/>
                <w:szCs w:val="3200"/>
              </w:rPr>
              <w:t xml:space="preserve">&lt; 3秒（首屏可见）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760"/>
                <w:szCs w:val="3760"/>
              </w:rPr>
              <w:t xml:space="preserve">Lighthouse性能评分 &gt; 85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400"/>
                <w:szCs w:val="2400"/>
              </w:rPr>
              <w:t xml:space="preserve">实时数据刷新延迟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200"/>
                <w:szCs w:val="3200"/>
              </w:rPr>
              <w:t xml:space="preserve">&lt; 5秒（WebSocket推送）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760"/>
                <w:szCs w:val="3760"/>
              </w:rPr>
              <w:t xml:space="preserve">前端性能监控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400"/>
                <w:szCs w:val="2400"/>
              </w:rPr>
              <w:t xml:space="preserve">ATR仓位计算响应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200"/>
                <w:szCs w:val="3200"/>
              </w:rPr>
              <w:t xml:space="preserve">&lt; 1秒（用户输入后）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760"/>
                <w:szCs w:val="3760"/>
              </w:rPr>
              <w:t xml:space="preserve">前端交互计时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400"/>
                <w:szCs w:val="2400"/>
              </w:rPr>
              <w:t xml:space="preserve">系统可用性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200"/>
                <w:szCs w:val="3200"/>
              </w:rPr>
              <w:t xml:space="preserve">&gt; 99.5%（每月）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760"/>
                <w:szCs w:val="3760"/>
              </w:rPr>
              <w:t xml:space="preserve">Uptime监控服务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9.2 数据质量标准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每个因子每日缺失率 &lt; 5%；超过此阈值当日信号标注「数据不完整」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所有宏观数据来源记录原始 API 响应，支持追溯验证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历史数据版本管理：每次数据源更新（如数据修订）均记录变更日志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测试套件：自动检测当任何因子使用 as_of_date 而非 available_date 时报错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9.3 安全要求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VSTAR API Key 使用环境变量存储，禁止硬编码或提交至代码库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所有 API 调用使用 HTTPS，WebSocket 使用 WSS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仿真账户与实盘账户使用不同的 API Key，系统侧强制区分，防止误操作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交易日志不可删除，保留至少2年</w:t>
      </w:r>
    </w:p>
    <w:p>
      <w:r>
        <w:br w:type="page"/>
      </w:r>
    </w:p>
    <w:p>
      <w:pPr>
        <w:pStyle w:val="Heading1"/>
        <w:pBdr>
          <w:bottom w:val="single" w:color="1A56A0" w:sz="10" w:space="6"/>
        </w:pBdr>
        <w:spacing w:before="480" w:after="180"/>
      </w:pPr>
      <w:r>
        <w:rPr>
          <w:rFonts w:ascii="Arial" w:cs="Arial" w:eastAsia="Arial" w:hAnsi="Arial"/>
          <w:b/>
          <w:bCs/>
          <w:color w:val="0F2D52"/>
          <w:sz w:val="40"/>
          <w:szCs w:val="40"/>
        </w:rPr>
        <w:t xml:space="preserve">10. 里程碑与验收标准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10.1 分阶段交付计划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6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00"/>
                <w:szCs w:val="1800"/>
              </w:rPr>
              <w:t xml:space="preserve">阶段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200"/>
                <w:szCs w:val="1200"/>
              </w:rPr>
              <w:t xml:space="preserve">时间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600"/>
                <w:szCs w:val="3600"/>
              </w:rPr>
              <w:t xml:space="preserve">交付内容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760"/>
                <w:szCs w:val="2760"/>
              </w:rPr>
              <w:t xml:space="preserve">验收标准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00"/>
                <w:szCs w:val="1800"/>
              </w:rPr>
              <w:t xml:space="preserve">Phase 0：基础建设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200"/>
                <w:szCs w:val="1200"/>
              </w:rPr>
              <w:t xml:space="preserve">第1-2周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600"/>
                <w:szCs w:val="3600"/>
              </w:rPr>
              <w:t xml:space="preserve">数据采集管道 + 数据库搭建 + VSTAR仿真账户连通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760"/>
                <w:szCs w:val="2760"/>
              </w:rPr>
              <w:t xml:space="preserve">九因子历史数据入库，VSTAR仿真下单测试成功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00"/>
                <w:szCs w:val="1800"/>
              </w:rPr>
              <w:t xml:space="preserve">Phase 1：因子引擎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200"/>
                <w:szCs w:val="1200"/>
              </w:rPr>
              <w:t xml:space="preserve">第3-4周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600"/>
                <w:szCs w:val="3600"/>
              </w:rPr>
              <w:t xml:space="preserve">九因子标准化 + 正交化 + IC分析 + Regime识别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760"/>
                <w:szCs w:val="2760"/>
              </w:rPr>
              <w:t xml:space="preserve">所有因子IC历史曲线可查，Regime切换可自动识别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00"/>
                <w:szCs w:val="1800"/>
              </w:rPr>
              <w:t xml:space="preserve">Phase 2：模型与SHAP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200"/>
                <w:szCs w:val="1200"/>
              </w:rPr>
              <w:t xml:space="preserve">第5-6周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600"/>
                <w:szCs w:val="3600"/>
              </w:rPr>
              <w:t xml:space="preserve">XGBoost训练 + Purged CV + SHAP归因 + 信号生成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760"/>
                <w:szCs w:val="2760"/>
              </w:rPr>
              <w:t xml:space="preserve">样本外Sharpe &gt; 1.0，SHAP瀑布图自动生成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00"/>
                <w:szCs w:val="1800"/>
              </w:rPr>
              <w:t xml:space="preserve">Phase 3：仓位管理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200"/>
                <w:szCs w:val="1200"/>
              </w:rPr>
              <w:t xml:space="preserve">第7-8周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600"/>
                <w:szCs w:val="3600"/>
              </w:rPr>
              <w:t xml:space="preserve">ATR仓位计算 + 止损体系 + 风险乘数 + Portfolio Heat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760"/>
                <w:szCs w:val="2760"/>
              </w:rPr>
              <w:t xml:space="preserve">所有风控规则通过单元测试，极端场景仿真验证通过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00"/>
                <w:szCs w:val="1800"/>
              </w:rPr>
              <w:t xml:space="preserve">Phase 4：看板前端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200"/>
                <w:szCs w:val="1200"/>
              </w:rPr>
              <w:t xml:space="preserve">第9-10周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600"/>
                <w:szCs w:val="3600"/>
              </w:rPr>
              <w:t xml:space="preserve">完整UI开发 + 实时数据接入 + 告警系统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760"/>
                <w:szCs w:val="2760"/>
              </w:rPr>
              <w:t xml:space="preserve">看板加载 &lt; 3秒，所有交互规范实现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00"/>
                <w:szCs w:val="1800"/>
              </w:rPr>
              <w:t xml:space="preserve">Phase 5：仿真验证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200"/>
                <w:szCs w:val="1200"/>
              </w:rPr>
              <w:t xml:space="preserve">第11-14周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600"/>
                <w:szCs w:val="3600"/>
              </w:rPr>
              <w:t xml:space="preserve">仿真账户实盘运行满1个月 + 策略调优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760"/>
                <w:szCs w:val="2760"/>
              </w:rPr>
              <w:t xml:space="preserve">四项上线门禁全部通过（见10.2）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10.2 上线门禁标准（全部通过方可转入实盘）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80"/>
              <w:left w:type="dxa" w:w="320"/>
              <w:bottom w:type="dxa" w:w="180"/>
              <w:right w:type="dxa" w:w="3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🚦  四项量化上线门禁（缺一不可）</w:t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① 样本外 Sharpe 比率 &gt; 1.0（仿真账户运行满3个月的真实净值）</w:t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② 最大回撤 &lt; 15%（仿真期间任意时刻）</w:t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③ 相对 GLD 基准年化超额收益 &gt; 3%</w:t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④ 样本内/外 Sharpe 比值 &lt; 2.0（防过拟合检验）</w:t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额外验证项：</w:t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⑤ 2022年加息期间（历史回测）Sharpe &gt; 0（Regime反转期不大亏）</w:t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⑥ 所有风控规则在仿真期间100%正确触发（无误触发/漏触发）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10.3 已知限制与后续迭代方向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00"/>
                <w:szCs w:val="2200"/>
              </w:rPr>
              <w:t xml:space="preserve">限制项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200"/>
                <w:szCs w:val="3200"/>
              </w:rPr>
              <w:t xml:space="preserve">当前版本处理方式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960"/>
                <w:szCs w:val="3960"/>
              </w:rPr>
              <w:t xml:space="preserve">后续迭代方向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00"/>
                <w:szCs w:val="2200"/>
              </w:rPr>
              <w:t xml:space="preserve">F5 地缘政治（GPR月频）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200"/>
                <w:szCs w:val="3200"/>
              </w:rPr>
              <w:t xml:space="preserve">日内用 OVX 作为代理指标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960"/>
                <w:szCs w:val="3960"/>
              </w:rPr>
              <w:t xml:space="preserve">接入实时新闻 NLP 情绪评分作为日频代理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00"/>
                <w:szCs w:val="2200"/>
              </w:rPr>
              <w:t xml:space="preserve">F7 央行需求（季频）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200"/>
                <w:szCs w:val="3200"/>
              </w:rPr>
              <w:t xml:space="preserve">前向填充至日频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960"/>
                <w:szCs w:val="3960"/>
              </w:rPr>
              <w:t xml:space="preserve">接入 WGC 月度快报数据，缩短延迟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00"/>
                <w:szCs w:val="2200"/>
              </w:rPr>
              <w:t xml:space="preserve">VSTAR API能力待确认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200"/>
                <w:szCs w:val="3200"/>
              </w:rPr>
              <w:t xml:space="preserve">系统侧定时监控止损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960"/>
                <w:szCs w:val="3960"/>
              </w:rPr>
              <w:t xml:space="preserve">确认后切换至平台原生止损指令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00"/>
                <w:szCs w:val="2200"/>
              </w:rPr>
              <w:t xml:space="preserve">实盘摩擦成本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200"/>
                <w:szCs w:val="3200"/>
              </w:rPr>
              <w:t xml:space="preserve">仿真阶段暂不计入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960"/>
                <w:szCs w:val="3960"/>
              </w:rPr>
              <w:t xml:space="preserve">转实盘前补充点差/隔夜费率的精确建模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00"/>
                <w:szCs w:val="2200"/>
              </w:rPr>
              <w:t xml:space="preserve">多标的扩展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200"/>
                <w:szCs w:val="3200"/>
              </w:rPr>
              <w:t xml:space="preserve">当前仅黄金一个标的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3960"/>
                <w:szCs w:val="3960"/>
              </w:rPr>
              <w:t xml:space="preserve">Phase 6 扩展至白银（XAG）和黄金矿商ETF（GDX）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E5E7EB" w:sz="3" w:space="1"/>
        </w:pBdr>
        <w:spacing w:before="200" w:after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— 文档结束 / End of Document —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本文档基于宏观因子交易框架研究及《仓位管理核心指南》整理撰写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3" w:space="4"/>
      </w:pBdr>
      <w:jc w:val="center"/>
    </w:pPr>
    <w:r>
      <w:rPr>
        <w:rFonts w:ascii="Arial" w:cs="Arial" w:eastAsia="Arial" w:hAnsi="Arial"/>
        <w:color w:val="6B7280"/>
        <w:sz w:val="17"/>
        <w:szCs w:val="17"/>
      </w:rPr>
      <w:t xml:space="preserve">Confidential · </w:t>
    </w:r>
    <w:pgNum/>
    <w:r>
      <w:rPr>
        <w:rFonts w:ascii="Arial" w:cs="Arial" w:eastAsia="Arial" w:hAnsi="Arial"/>
        <w:color w:val="6B7280"/>
        <w:sz w:val="17"/>
        <w:szCs w:val="17"/>
      </w:rPr>
      <w:t xml:space="preserve"> / 保密文件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3" w:space="4"/>
      </w:pBdr>
      <w:jc w:val="right"/>
    </w:pPr>
    <w:r>
      <w:rPr>
        <w:rFonts w:ascii="Arial" w:cs="Arial" w:eastAsia="Arial" w:hAnsi="Arial"/>
        <w:i/>
        <w:iCs/>
        <w:color w:val="6B7280"/>
        <w:sz w:val="17"/>
        <w:szCs w:val="17"/>
      </w:rPr>
      <w:t xml:space="preserve">黄金因子看板 · 产品需求文档（PRD）v1.0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start"/>
      <w:pPr>
        <w:ind w:left="560" w:hanging="280"/>
      </w:pPr>
      <w:rPr>
        <w:color w:val="1A56A0"/>
        <w:sz w:val="16"/>
        <w:szCs w:val="16"/>
      </w:rPr>
    </w:lvl>
    <w:lvl w:ilvl="1" w15:tentative="1">
      <w:start w:val="1"/>
      <w:numFmt w:val="bullet"/>
      <w:lvlText w:val="–"/>
      <w:lvlJc w:val="start"/>
      <w:pPr>
        <w:ind w:left="1000" w:hanging="280"/>
      </w:pPr>
      <w:rPr>
        <w:color w:val="6B7280"/>
        <w:sz w:val="18"/>
        <w:szCs w:val="18"/>
      </w:rPr>
    </w:lvl>
    <w:lvl w:ilvl="2" w15:tentative="1">
      <w:start w:val="1"/>
      <w:numFmt w:val="bullet"/>
      <w:lvlText w:val="·"/>
      <w:lvlJc w:val="start"/>
      <w:pPr>
        <w:ind w:left="1440" w:hanging="280"/>
      </w:pPr>
      <w:rPr>
        <w:color w:val="6B7280"/>
        <w:sz w:val="18"/>
        <w:szCs w:val="1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60" w:hanging="280"/>
      </w:pPr>
    </w:lvl>
    <w:lvl w:ilvl="1" w15:tentative="1">
      <w:start w:val="1"/>
      <w:numFmt w:val="decimal"/>
      <w:lvlText w:val="%2."/>
      <w:lvlJc w:val="star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80"/>
      <w:outlineLvl w:val="0"/>
    </w:pPr>
    <w:rPr>
      <w:rFonts w:ascii="Arial" w:cs="Arial" w:eastAsia="Arial" w:hAnsi="Arial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2026-03-19T11:01:58.662Z</dcterms:created>
  <dcterms:modified xsi:type="dcterms:W3CDTF">2026-03-19T11:01:58.663Z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