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B8860B"/>
          <w:sz w:val="56"/>
          <w:szCs w:val="56"/>
        </w:rPr>
        <w:t xml:space="preserve">GOLD MONITOR</w:t>
      </w:r>
    </w:p>
    <w:p>
      <w:pPr>
        <w:pBdr>
          <w:bottom w:val="single" w:color="B8860B" w:sz="3" w:space="12"/>
        </w:pBdr>
        <w:spacing w:after="5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SYSTEM ARCHITECTURE</w:t>
      </w:r>
    </w:p>
    <w:p>
      <w:pPr>
        <w:spacing w:after="0" w:before="300"/>
      </w:pPr>
    </w:p>
    <w:p>
      <w:pPr>
        <w:spacing w:after="100"/>
        <w:jc w:val="center"/>
      </w:pPr>
      <w:r>
        <w:rPr>
          <w:rFonts w:ascii="PingFang SC" w:cs="PingFang SC" w:eastAsia="PingFang SC" w:hAnsi="PingFang SC"/>
          <w:b/>
          <w:bCs/>
          <w:color w:val="1B2A4A"/>
          <w:sz w:val="44"/>
          <w:szCs w:val="44"/>
        </w:rPr>
        <w:t xml:space="preserve">产品架构与运行全景图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Product Architecture &amp; Runtime Overview</w:t>
      </w:r>
    </w:p>
    <w:p>
      <w:pPr>
        <w:spacing w:after="0" w:before="600"/>
      </w:pPr>
    </w:p>
    <w:p>
      <w:pPr>
        <w:spacing w:after="40"/>
        <w:jc w:val="center"/>
      </w:pPr>
      <w:r>
        <w:rPr>
          <w:rFonts w:ascii="PingFang SC" w:cs="PingFang SC" w:eastAsia="PingFang SC" w:hAnsi="PingFang SC"/>
          <w:color w:val="888888"/>
          <w:sz w:val="20"/>
          <w:szCs w:val="20"/>
        </w:rPr>
        <w:t xml:space="preserve">XGBoost + SHAP  |  Next.js + Vercel  |  WeChat Miniprogram</w:t>
      </w:r>
    </w:p>
    <w:p>
      <w:pPr>
        <w:jc w:val="center"/>
      </w:pPr>
      <w:r>
        <w:rPr>
          <w:rFonts w:ascii="PingFang SC" w:cs="PingFang SC" w:eastAsia="PingFang SC" w:hAnsi="PingFang SC"/>
          <w:color w:val="888888"/>
          <w:sz w:val="20"/>
          <w:szCs w:val="20"/>
        </w:rPr>
        <w:t xml:space="preserve">v2.0  |  2026-03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B8860B" w:sz="6" w:space="8"/>
        </w:pBdr>
        <w:spacing w:after="180" w:before="360"/>
      </w:pPr>
      <w:r>
        <w:rPr>
          <w:rFonts w:ascii="PingFang SC" w:cs="PingFang SC" w:eastAsia="PingFang SC" w:hAnsi="PingFang SC"/>
          <w:b/>
          <w:bCs/>
          <w:color w:val="1B2A4A"/>
          <w:sz w:val="32"/>
          <w:szCs w:val="32"/>
        </w:rPr>
        <w:t xml:space="preserve">一、系统总览 System Overview</w:t>
      </w:r>
    </w:p>
    <w:p>
      <w:pPr>
        <w:spacing w:after="60" w:before="60" w:line="340"/>
        <w:ind w:firstLine="440"/>
      </w:pPr>
      <w:r>
        <w:rPr>
          <w:rFonts w:ascii="PingFang SC" w:cs="PingFang SC" w:eastAsia="PingFang SC" w:hAnsi="PingFang SC"/>
          <w:color w:val="1A1A1A"/>
          <w:sz w:val="20"/>
          <w:szCs w:val="20"/>
        </w:rPr>
        <w:t xml:space="preserve">Gold Monitor 是一个端到端的黄金宏观因子量化交易系统，覆盖从数据采集、因子工程、模型训练、信号生成到可视化展示的完整链路。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LAYER 0  |  外部数据源 External Data Sources</w:t>
            </w:r>
            <w:r>
              <w:rPr>
                <w:rFonts w:ascii="PingFang SC" w:cs="PingFang SC" w:eastAsia="PingFang SC" w:hAnsi="PingFang SC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1565C0"/>
                <w:sz w:val="18"/>
                <w:szCs w:val="18"/>
              </w:rPr>
              <w:t xml:space="preserve">FRED API</w:t>
            </w:r>
            <w:r>
              <w:rPr>
                <w:rFonts w:ascii="PingFang SC" w:cs="PingFang SC" w:eastAsia="PingFang SC" w:hAnsi="PingFang SC"/>
                <w:color w:val="4A4A4A"/>
                <w:sz w:val="17"/>
                <w:szCs w:val="17"/>
              </w:rPr>
              <w:t xml:space="preserve"> (DXY, TIPS_10Y, BEI, GPR)    </w:t>
            </w:r>
            <w:r>
              <w:rPr>
                <w:rFonts w:ascii="PingFang SC" w:cs="PingFang SC" w:eastAsia="PingFang SC" w:hAnsi="PingFang SC"/>
                <w:b/>
                <w:bCs/>
                <w:color w:val="1565C0"/>
                <w:sz w:val="18"/>
                <w:szCs w:val="18"/>
              </w:rPr>
              <w:t xml:space="preserve">Yahoo Finance</w:t>
            </w:r>
            <w:r>
              <w:rPr>
                <w:rFonts w:ascii="PingFang SC" w:cs="PingFang SC" w:eastAsia="PingFang SC" w:hAnsi="PingFang SC"/>
                <w:color w:val="4A4A4A"/>
                <w:sz w:val="17"/>
                <w:szCs w:val="17"/>
              </w:rPr>
              <w:t xml:space="preserve"> (XAUUSD, ^GVZ, ^OVX)    </w:t>
            </w:r>
            <w:r>
              <w:rPr>
                <w:rFonts w:ascii="PingFang SC" w:cs="PingFang SC" w:eastAsia="PingFang SC" w:hAnsi="PingFang SC"/>
                <w:b/>
                <w:bCs/>
                <w:color w:val="1565C0"/>
                <w:sz w:val="18"/>
                <w:szCs w:val="18"/>
              </w:rPr>
              <w:t xml:space="preserve">Stooq</w:t>
            </w:r>
            <w:r>
              <w:rPr>
                <w:rFonts w:ascii="PingFang SC" w:cs="PingFang SC" w:eastAsia="PingFang SC" w:hAnsi="PingFang SC"/>
                <w:color w:val="4A4A4A"/>
                <w:sz w:val="17"/>
                <w:szCs w:val="17"/>
              </w:rPr>
              <w:t xml:space="preserve"> (GLD, GDX, GDXJ, IAU)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▼  </w:t>
      </w:r>
      <w:r>
        <w:rPr>
          <w:rFonts w:ascii="PingFang SC" w:cs="PingFang SC" w:eastAsia="PingFang SC" w:hAnsi="PingFang SC"/>
          <w:i/>
          <w:iCs/>
          <w:color w:val="888888"/>
          <w:sz w:val="18"/>
          <w:szCs w:val="18"/>
        </w:rPr>
        <w:t xml:space="preserve">API 调用 / HTTP GET</w:t>
      </w:r>
      <w:r>
        <w:rPr>
          <w:rFonts w:ascii="Arial" w:cs="Arial" w:eastAsia="Arial" w:hAnsi="Arial"/>
          <w:color w:val="B8860B"/>
          <w:sz w:val="24"/>
          <w:szCs w:val="24"/>
        </w:rPr>
        <w:t xml:space="preserve">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LAYER 1  |  数据管道 Python Pipeline</w:t>
            </w:r>
            <w:r>
              <w:rPr>
                <w:rFonts w:ascii="PingFang SC" w:cs="PingFang SC" w:eastAsia="PingFang SC" w:hAnsi="PingFang SC"/>
                <w:color w:val="CCCCCC"/>
                <w:sz w:val="18"/>
                <w:szCs w:val="18"/>
              </w:rPr>
              <w:t xml:space="preserve">  gold-dashboard/pipeline/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enlo" w:cs="Menlo" w:eastAsia="Menlo" w:hAnsi="Menlo"/>
                <w:b/>
                <w:bCs/>
                <w:color w:val="2E7D32"/>
                <w:sz w:val="18"/>
                <w:szCs w:val="18"/>
              </w:rPr>
              <w:t xml:space="preserve">fetch_data.py</w:t>
            </w:r>
            <w:r>
              <w:rPr>
                <w:rFonts w:ascii="PingFang SC" w:cs="PingFang SC" w:eastAsia="PingFang SC" w:hAnsi="PingFang SC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Menlo" w:cs="Menlo" w:eastAsia="Menlo" w:hAnsi="Menlo"/>
                <w:b/>
                <w:bCs/>
                <w:color w:val="2E7D32"/>
                <w:sz w:val="18"/>
                <w:szCs w:val="18"/>
              </w:rPr>
              <w:t xml:space="preserve">features.py</w:t>
            </w:r>
            <w:r>
              <w:rPr>
                <w:rFonts w:ascii="PingFang SC" w:cs="PingFang SC" w:eastAsia="PingFang SC" w:hAnsi="PingFang SC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Menlo" w:cs="Menlo" w:eastAsia="Menlo" w:hAnsi="Menlo"/>
                <w:b/>
                <w:bCs/>
                <w:color w:val="2E7D32"/>
                <w:sz w:val="18"/>
                <w:szCs w:val="18"/>
              </w:rPr>
              <w:t xml:space="preserve">train.py</w:t>
            </w:r>
            <w:r>
              <w:rPr>
                <w:rFonts w:ascii="PingFang SC" w:cs="PingFang SC" w:eastAsia="PingFang SC" w:hAnsi="PingFang SC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Menlo" w:cs="Menlo" w:eastAsia="Menlo" w:hAnsi="Menlo"/>
                <w:b/>
                <w:bCs/>
                <w:color w:val="2E7D32"/>
                <w:sz w:val="18"/>
                <w:szCs w:val="18"/>
              </w:rPr>
              <w:t xml:space="preserve">inference.py</w:t>
            </w:r>
            <w:r>
              <w:rPr>
                <w:rFonts w:ascii="PingFang SC" w:cs="PingFang SC" w:eastAsia="PingFang SC" w:hAnsi="PingFang SC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Menlo" w:cs="Menlo" w:eastAsia="Menlo" w:hAnsi="Menlo"/>
                <w:b/>
                <w:bCs/>
                <w:color w:val="2E7D32"/>
                <w:sz w:val="18"/>
                <w:szCs w:val="18"/>
              </w:rPr>
              <w:t xml:space="preserve">backtest.py</w:t>
            </w:r>
          </w:p>
          <w:p>
            <w:pPr>
              <w:spacing w:before="40"/>
            </w:pPr>
            <w:r>
              <w:rPr>
                <w:rFonts w:ascii="PingFang SC" w:cs="PingFang SC" w:eastAsia="PingFang SC" w:hAnsi="PingFang SC"/>
                <w:color w:val="4A4A4A"/>
                <w:sz w:val="17"/>
                <w:szCs w:val="17"/>
              </w:rPr>
              <w:t xml:space="preserve">输出 9 个 JSON: </w:t>
            </w:r>
            <w:r>
              <w:rPr>
                <w:rFonts w:ascii="Menlo" w:cs="Menlo" w:eastAsia="Menlo" w:hAnsi="Menlo"/>
                <w:color w:val="2E7D32"/>
                <w:sz w:val="16"/>
                <w:szCs w:val="16"/>
              </w:rPr>
              <w:t xml:space="preserve">signal / shap_values / regime / correlation / ic_history / model_health / equity_curve / account / positions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▼  </w:t>
      </w:r>
      <w:r>
        <w:rPr>
          <w:rFonts w:ascii="PingFang SC" w:cs="PingFang SC" w:eastAsia="PingFang SC" w:hAnsi="PingFang SC"/>
          <w:i/>
          <w:iCs/>
          <w:color w:val="888888"/>
          <w:sz w:val="18"/>
          <w:szCs w:val="18"/>
        </w:rPr>
        <w:t xml:space="preserve">JSON 文件读取 (readPipelineJson)</w:t>
      </w:r>
      <w:r>
        <w:rPr>
          <w:rFonts w:ascii="Arial" w:cs="Arial" w:eastAsia="Arial" w:hAnsi="Arial"/>
          <w:color w:val="B8860B"/>
          <w:sz w:val="24"/>
          <w:szCs w:val="24"/>
        </w:rPr>
        <w:t xml:space="preserve">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LAYER 2  |  API 网关 Next.js API Routes</w:t>
            </w:r>
            <w:r>
              <w:rPr>
                <w:rFonts w:ascii="PingFang SC" w:cs="PingFang SC" w:eastAsia="PingFang SC" w:hAnsi="PingFang SC"/>
                <w:color w:val="CCCCCC"/>
                <w:sz w:val="18"/>
                <w:szCs w:val="18"/>
              </w:rPr>
              <w:t xml:space="preserve">  gold-dashboard/src/app/api/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4A4A4A"/>
                <w:sz w:val="17"/>
                <w:szCs w:val="17"/>
              </w:rPr>
              <w:t xml:space="preserve">11 个 REST 端点: </w:t>
            </w:r>
            <w:r>
              <w:rPr>
                <w:rFonts w:ascii="Menlo" w:cs="Menlo" w:eastAsia="Menlo" w:hAnsi="Menlo"/>
                <w:color w:val="E65100"/>
                <w:sz w:val="16"/>
                <w:szCs w:val="16"/>
              </w:rPr>
              <w:t xml:space="preserve">/signal  /shap  /factors  /gold-price  /regime  /correlation  /ic-history  /model-health  /equity-curve  /account  /positions</w:t>
            </w:r>
          </w:p>
          <w:p>
            <w:pPr>
              <w:spacing w:before="40"/>
            </w:pPr>
            <w:r>
              <w:rPr>
                <w:rFonts w:ascii="PingFang SC" w:cs="PingFang SC" w:eastAsia="PingFang SC" w:hAnsi="PingFang SC"/>
                <w:color w:val="4A4A4A"/>
                <w:sz w:val="17"/>
                <w:szCs w:val="17"/>
              </w:rPr>
              <w:t xml:space="preserve">混合数据源: Pipeline JSON + 实时 FRED/Yahoo/Stooq API 调用 + 多层降级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▼  </w:t>
      </w:r>
      <w:r>
        <w:rPr>
          <w:rFonts w:ascii="PingFang SC" w:cs="PingFang SC" w:eastAsia="PingFang SC" w:hAnsi="PingFang SC"/>
          <w:i/>
          <w:iCs/>
          <w:color w:val="888888"/>
          <w:sz w:val="18"/>
          <w:szCs w:val="18"/>
        </w:rPr>
        <w:t xml:space="preserve">SWR Hooks (60s/3600s 轮询)</w:t>
      </w:r>
      <w:r>
        <w:rPr>
          <w:rFonts w:ascii="Arial" w:cs="Arial" w:eastAsia="Arial" w:hAnsi="Arial"/>
          <w:color w:val="B8860B"/>
          <w:sz w:val="24"/>
          <w:szCs w:val="24"/>
        </w:rPr>
        <w:t xml:space="preserve">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sz="0"/>
              <w:left w:val="none" w:sz="0"/>
              <w:bottom w:val="none" w:sz="0"/>
              <w:right w:val="none" w:sz="0"/>
            </w:tcBorders>
          </w:tcPr>
          <w:tbl>
            <w:tblPr>
              <w:tblW w:type="dxa" w:w="45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80"/>
            </w:tblGrid>
            <w:tr>
              <w:tc>
                <w:tcPr>
                  <w:tcW w:type="dxa" w:w="4580"/>
                  <w:tcBorders>
                    <w:top w:val="single" w:color="6A1B9A" w:sz="3"/>
                    <w:left w:val="single" w:color="6A1B9A" w:sz="3"/>
                    <w:bottom w:val="single" w:color="6A1B9A" w:sz="3"/>
                    <w:right w:val="single" w:color="6A1B9A" w:sz="3"/>
                  </w:tcBorders>
                  <w:shd w:fill="6A1B9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PingFang SC" w:cs="PingFang SC" w:eastAsia="PingFang SC" w:hAnsi="PingFang SC"/>
                      <w:b/>
                      <w:bCs/>
                      <w:color w:val="FFFFFF"/>
                      <w:sz w:val="22"/>
                      <w:szCs w:val="22"/>
                    </w:rPr>
                    <w:t xml:space="preserve">LAYER 3A  |  Web 仪表板</w:t>
                  </w:r>
                  <w:r>
                    <w:rPr>
                      <w:rFonts w:ascii="PingFang SC" w:cs="PingFang SC" w:eastAsia="PingFang SC" w:hAnsi="PingFang SC"/>
                      <w:color w:val="CCCCCC"/>
                      <w:sz w:val="18"/>
                      <w:szCs w:val="18"/>
                    </w:rPr>
                    <w:t xml:space="preserve">  Next.js + Recharts</w:t>
                  </w:r>
                </w:p>
              </w:tc>
            </w:tr>
            <w:tr>
              <w:tc>
                <w:tcPr>
                  <w:tcW w:type="dxa" w:w="4580"/>
                  <w:tcBorders>
                    <w:top w:val="none" w:sz="0"/>
                    <w:left w:val="single" w:color="6A1B9A" w:sz="3"/>
                    <w:bottom w:val="single" w:color="6A1B9A" w:sz="3"/>
                    <w:right w:val="single" w:color="6A1B9A" w:sz="3"/>
                  </w:tcBorders>
                  <w:shd w:fill="F3E5F5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Menlo" w:cs="Menlo" w:eastAsia="Menlo" w:hAnsi="Menlo"/>
                      <w:color w:val="6A1B9A"/>
                      <w:sz w:val="17"/>
                      <w:szCs w:val="17"/>
                    </w:rPr>
                    <w:t xml:space="preserve">TopBar / LeftPanel / RightSidebar / StatusBar</w:t>
                  </w:r>
                </w:p>
                <w:p>
                  <w:pPr>
                    <w:spacing w:before="30"/>
                  </w:pPr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5个图表 + 4个卡片 + 7个因子卡片 + 状态栏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none" w:sz="0"/>
              <w:left w:val="none" w:sz="0"/>
              <w:bottom w:val="none" w:sz="0"/>
              <w:right w:val="none" w:sz="0"/>
            </w:tcBorders>
          </w:tcPr>
          <w:tbl>
            <w:tblPr>
              <w:tblW w:type="dxa" w:w="45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80"/>
            </w:tblGrid>
            <w:tr>
              <w:tc>
                <w:tcPr>
                  <w:tcW w:type="dxa" w:w="4580"/>
                  <w:tcBorders>
                    <w:top w:val="single" w:color="00695C" w:sz="3"/>
                    <w:left w:val="single" w:color="00695C" w:sz="3"/>
                    <w:bottom w:val="single" w:color="00695C" w:sz="3"/>
                    <w:right w:val="single" w:color="00695C" w:sz="3"/>
                  </w:tcBorders>
                  <w:shd w:fill="00695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PingFang SC" w:cs="PingFang SC" w:eastAsia="PingFang SC" w:hAnsi="PingFang SC"/>
                      <w:b/>
                      <w:bCs/>
                      <w:color w:val="FFFFFF"/>
                      <w:sz w:val="22"/>
                      <w:szCs w:val="22"/>
                    </w:rPr>
                    <w:t xml:space="preserve">LAYER 3B  |  微信小程序</w:t>
                  </w:r>
                  <w:r>
                    <w:rPr>
                      <w:rFonts w:ascii="PingFang SC" w:cs="PingFang SC" w:eastAsia="PingFang SC" w:hAnsi="PingFang SC"/>
                      <w:color w:val="CCCCCC"/>
                      <w:sz w:val="18"/>
                      <w:szCs w:val="18"/>
                    </w:rPr>
                    <w:t xml:space="preserve">  WeChat Miniprogram</w:t>
                  </w:r>
                </w:p>
              </w:tc>
            </w:tr>
            <w:tr>
              <w:tc>
                <w:tcPr>
                  <w:tcW w:type="dxa" w:w="4580"/>
                  <w:tcBorders>
                    <w:top w:val="none" w:sz="0"/>
                    <w:left w:val="single" w:color="00695C" w:sz="3"/>
                    <w:bottom w:val="single" w:color="00695C" w:sz="3"/>
                    <w:right w:val="single" w:color="00695C" w:sz="3"/>
                  </w:tcBorders>
                  <w:shd w:fill="E0F2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Menlo" w:cs="Menlo" w:eastAsia="Menlo" w:hAnsi="Menlo"/>
                      <w:color w:val="00695C"/>
                      <w:sz w:val="17"/>
                      <w:szCs w:val="17"/>
                    </w:rPr>
                    <w:t xml:space="preserve">index / factors / account / backtest</w:t>
                  </w:r>
                </w:p>
                <w:p>
                  <w:pPr>
                    <w:spacing w:before="30"/>
                  </w:pPr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4个页面 + Vercel API 远程调用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color="B8860B" w:sz="6" w:space="8"/>
        </w:pBdr>
        <w:spacing w:after="180" w:before="360"/>
      </w:pPr>
      <w:r>
        <w:rPr>
          <w:rFonts w:ascii="PingFang SC" w:cs="PingFang SC" w:eastAsia="PingFang SC" w:hAnsi="PingFang SC"/>
          <w:b/>
          <w:bCs/>
          <w:color w:val="1B2A4A"/>
          <w:sz w:val="32"/>
          <w:szCs w:val="32"/>
        </w:rPr>
        <w:t xml:space="preserve">二、数据管道详解 Pipeline Architecture</w:t>
      </w: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2.1 运行流程 run_daily.py</w:t>
      </w:r>
    </w:p>
    <w:p>
      <w:pPr>
        <w:spacing w:after="60" w:before="60" w:line="340"/>
        <w:ind w:firstLine="440"/>
      </w:pPr>
      <w:r>
        <w:rPr>
          <w:rFonts w:ascii="PingFang SC" w:cs="PingFang SC" w:eastAsia="PingFang SC" w:hAnsi="PingFang SC"/>
          <w:color w:val="1A1A1A"/>
          <w:sz w:val="20"/>
          <w:szCs w:val="20"/>
        </w:rPr>
        <w:t xml:space="preserve">每日管道通过 run_daily.py 一键执行 5 个步骤：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2400"/>
        <w:gridCol w:w="2600"/>
        <w:gridCol w:w="840"/>
      </w:tblGrid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输入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输出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耗时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1. 数据获取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fetch_data.py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FRED/Yahoo/Stooq API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merged DataFrame (2817×31)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~15s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2. 因子工程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features.py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原始数据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7 因子 Z-Score + target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~1s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3. 模型训练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train.py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特征矩阵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model.json + IC/health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~5s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4. 推理信号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inference.py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最新因子 + 模型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signal/shap/regime/corr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~2s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5. 回测评估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backtest.py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OOS特征 + 模型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equity/account/positions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~1s</w:t>
            </w:r>
          </w:p>
        </w:tc>
      </w:tr>
    </w:tbl>
    <w:p>
      <w:pPr>
        <w:spacing w:after="0" w:before="200"/>
      </w:pP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2.2 数据源映射 Data Source Mapping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800"/>
        <w:gridCol w:w="204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数据源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获取内容</w:t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fredapi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DTWEXBGS (DXY), DFII10 (TIPS), T10YIE (BEI), GEPUCURRENT (GPR)</w:t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F1/F3/F4/F5 因子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Yahoo Finance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v8 Chart API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XAUUSD (金价), ^GVZ (波动率), ^OVX</w:t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金价 + F6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Stooq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stooq.com/q/d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GLD, IAU, GDX, GDXJ</w:t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F8 (ETF流) + F9 (矿业比)</w:t>
            </w:r>
          </w:p>
        </w:tc>
      </w:tr>
    </w:tbl>
    <w:p>
      <w:pPr>
        <w:spacing w:after="0" w:before="200"/>
      </w:pP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2.3 七因子体系 7-Factor Framework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700"/>
        <w:gridCol w:w="2200"/>
        <w:gridCol w:w="900"/>
      </w:tblGrid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因子ID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数据源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计算方法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OOS IC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F1_DXY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美元指数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FRED DTWEXBGS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252日滚动Z-Score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+0.063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F3_TIPS10Y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实际利率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FRED DFII10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252日滚动Z-Score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+0.322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F4_BEI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通胀预期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FRED T10YIE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252日滚动Z-Score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-0.518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F5_GPR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地缘政治风险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FRED GEPUCURRENT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252日滚动Z-Score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+0.312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F6_GVZ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黄金波动率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Yahoo ^GVZ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252日滚动Z-Score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-0.488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F8_ETFFlow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ETF资金流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Stooq GLD+IAU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AUM变化率 Z-Score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-0.052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F9_GDXRatio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矿业股/金价比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Stooq GDX+GDXJ / XAUUSD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均值回归 Z-Score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+0.222</w:t>
            </w:r>
          </w:p>
        </w:tc>
      </w:tr>
    </w:tbl>
    <w:p>
      <w:pPr>
        <w:spacing w:after="0" w:before="200"/>
      </w:pP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2.4 模型配置 XGBoost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sz="0"/>
              <w:left w:val="none" w:sz="0"/>
              <w:bottom w:val="none" w:sz="0"/>
              <w:right w:val="none" w:sz="0"/>
            </w:tcBorders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1680"/>
            </w:tblGrid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b/>
                      <w:bCs/>
                      <w:color w:val="FFFFFF"/>
                      <w:sz w:val="18"/>
                      <w:szCs w:val="18"/>
                    </w:rPr>
                    <w:t xml:space="preserve">参数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b/>
                      <w:bCs/>
                      <w:color w:val="FFFFFF"/>
                      <w:sz w:val="18"/>
                      <w:szCs w:val="18"/>
                    </w:rPr>
                    <w:t xml:space="preserve">值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max_depth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min_child_weight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30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learning_rate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0.03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n_estimators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300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subsample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0.7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colsample_bytree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0.7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reg_alpha (L1)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1.0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reg_lambda (L2)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5.0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none" w:sz="0"/>
              <w:left w:val="none" w:sz="0"/>
              <w:bottom w:val="none" w:sz="0"/>
              <w:right w:val="none" w:sz="0"/>
            </w:tcBorders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1680"/>
            </w:tblGrid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b/>
                      <w:bCs/>
                      <w:color w:val="FFFFFF"/>
                      <w:sz w:val="18"/>
                      <w:szCs w:val="18"/>
                    </w:rPr>
                    <w:t xml:space="preserve">信号阈值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b/>
                      <w:bCs/>
                      <w:color w:val="FFFFFF"/>
                      <w:sz w:val="18"/>
                      <w:szCs w:val="18"/>
                    </w:rPr>
                    <w:t xml:space="preserve">预测收益率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Strong Buy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&gt; +0.8%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Buy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+0.3% ~ +0.8%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Neutral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-0.3% ~ +0.3%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Sell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-0.8% ~ -0.3%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Strong Sell</w:t>
                  </w:r>
                </w:p>
              </w:tc>
              <w:tc>
                <w:tcPr>
                  <w:tcW w:type="dxa" w:w="16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PingFang SC" w:cs="PingFang SC" w:eastAsia="PingFang SC" w:hAnsi="PingFang SC"/>
                      <w:color w:val="1A1A1A"/>
                      <w:sz w:val="17"/>
                      <w:szCs w:val="17"/>
                    </w:rPr>
                    <w:t xml:space="preserve">&lt; -0.8%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2.5 输出文件 Pipeline Outputs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800"/>
        <w:gridCol w:w="2940"/>
      </w:tblGrid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更新频率</w:t>
            </w:r>
          </w:p>
        </w:tc>
        <w:tc>
          <w:tcPr>
            <w:tcW w:type="dxa" w:w="29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消费者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signal.json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当日信号、预测收益、置信度、因子值、止损/止盈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每日</w:t>
            </w:r>
          </w:p>
        </w:tc>
        <w:tc>
          <w:tcPr>
            <w:tcW w:type="dxa" w:w="29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/api/signal, /api/factors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shap_values.json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SHAP 归因(base_value + 7因子贡献)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每日</w:t>
            </w:r>
          </w:p>
        </w:tc>
        <w:tc>
          <w:tcPr>
            <w:tcW w:type="dxa" w:w="29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/api/shap → ShapWaterfall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regime.json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当前Regime + 12个月热力图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每日</w:t>
            </w:r>
          </w:p>
        </w:tc>
        <w:tc>
          <w:tcPr>
            <w:tcW w:type="dxa" w:w="29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/api/regime → RegimeHeatmap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correlation.json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7×7 Spearman 相关矩阵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每日</w:t>
            </w:r>
          </w:p>
        </w:tc>
        <w:tc>
          <w:tcPr>
            <w:tcW w:type="dxa" w:w="29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/api/correlation → CorrelationMatrix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ic_history.json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滚动IC序列 + 因子IC + CV均值IC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每日</w:t>
            </w:r>
          </w:p>
        </w:tc>
        <w:tc>
          <w:tcPr>
            <w:tcW w:type="dxa" w:w="29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/api/ic-history → ICTracking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model_health.json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模型状态/warnings/OOS IC/共线性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每日</w:t>
            </w:r>
          </w:p>
        </w:tc>
        <w:tc>
          <w:tcPr>
            <w:tcW w:type="dxa" w:w="29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/api/model-health → StatusBar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equity_curve.json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184天OOS净值 + GLD基准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每日</w:t>
            </w:r>
          </w:p>
        </w:tc>
        <w:tc>
          <w:tcPr>
            <w:tcW w:type="dxa" w:w="29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/api/equity-curve → EquityCurve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account.json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回测统计(收益/Sharpe/胜率/回撤)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每日</w:t>
            </w:r>
          </w:p>
        </w:tc>
        <w:tc>
          <w:tcPr>
            <w:tcW w:type="dxa" w:w="29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/api/account → AccountCard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positions.json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当前持仓 + 最近20笔交易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每日</w:t>
            </w:r>
          </w:p>
        </w:tc>
        <w:tc>
          <w:tcPr>
            <w:tcW w:type="dxa" w:w="29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/api/positions → PositionCard</w:t>
            </w:r>
          </w:p>
        </w:tc>
      </w:tr>
    </w:tbl>
    <w:p>
      <w:r>
        <w:br w:type="page"/>
      </w:r>
    </w:p>
    <w:p>
      <w:pPr>
        <w:pBdr>
          <w:bottom w:val="single" w:color="B8860B" w:sz="6" w:space="8"/>
        </w:pBdr>
        <w:spacing w:after="180" w:before="360"/>
      </w:pPr>
      <w:r>
        <w:rPr>
          <w:rFonts w:ascii="PingFang SC" w:cs="PingFang SC" w:eastAsia="PingFang SC" w:hAnsi="PingFang SC"/>
          <w:b/>
          <w:bCs/>
          <w:color w:val="1B2A4A"/>
          <w:sz w:val="32"/>
          <w:szCs w:val="32"/>
        </w:rPr>
        <w:t xml:space="preserve">三、API 网关层 API Gateway Layer</w:t>
      </w: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3.1 端点总览 11 API Endpoints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244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端点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数据源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刷新频率</w:t>
            </w:r>
          </w:p>
        </w:tc>
        <w:tc>
          <w:tcPr>
            <w:tcW w:type="dxa" w:w="2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降级策略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/api/gold-price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Yahoo v7 → v8 → Stooq → Pipeline → Mock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60s (SWR)</w:t>
            </w:r>
          </w:p>
        </w:tc>
        <w:tc>
          <w:tcPr>
            <w:tcW w:type="dxa" w:w="2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4层降级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/api/signal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Pipeline signal.json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60min</w:t>
            </w:r>
          </w:p>
        </w:tc>
        <w:tc>
          <w:tcPr>
            <w:tcW w:type="dxa" w:w="2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空信号 fallback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/api/shap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Pipeline shap_values.json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60min</w:t>
            </w:r>
          </w:p>
        </w:tc>
        <w:tc>
          <w:tcPr>
            <w:tcW w:type="dxa" w:w="2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空数组 fallback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/api/factors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FRED + Yahoo + Pipeline + Mock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60min</w:t>
            </w:r>
          </w:p>
        </w:tc>
        <w:tc>
          <w:tcPr>
            <w:tcW w:type="dxa" w:w="2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Mock因子形状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/api/regime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Pipeline regime.json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60min</w:t>
            </w:r>
          </w:p>
        </w:tc>
        <w:tc>
          <w:tcPr>
            <w:tcW w:type="dxa" w:w="2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Neutral fallback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/api/correlation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Pipeline correlation.json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60min</w:t>
            </w:r>
          </w:p>
        </w:tc>
        <w:tc>
          <w:tcPr>
            <w:tcW w:type="dxa" w:w="2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空矩阵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/api/ic-history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Pipeline ic_history.json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60min</w:t>
            </w:r>
          </w:p>
        </w:tc>
        <w:tc>
          <w:tcPr>
            <w:tcW w:type="dxa" w:w="2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空序列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/api/model-health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Pipeline model_health.json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60min</w:t>
            </w:r>
          </w:p>
        </w:tc>
        <w:tc>
          <w:tcPr>
            <w:tcW w:type="dxa" w:w="2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unknown 状态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/api/equity-curve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Pipeline equity_curve.json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60min</w:t>
            </w:r>
          </w:p>
        </w:tc>
        <w:tc>
          <w:tcPr>
            <w:tcW w:type="dxa" w:w="2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空数组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/api/account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Pipeline account.json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60min</w:t>
            </w:r>
          </w:p>
        </w:tc>
        <w:tc>
          <w:tcPr>
            <w:tcW w:type="dxa" w:w="2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零值 fallback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/api/positions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Pipeline positions.json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60min</w:t>
            </w:r>
          </w:p>
        </w:tc>
        <w:tc>
          <w:tcPr>
            <w:tcW w:type="dxa" w:w="2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空持仓</w:t>
            </w:r>
          </w:p>
        </w:tc>
      </w:tr>
    </w:tbl>
    <w:p>
      <w:pPr>
        <w:spacing w:after="0" w:before="200"/>
      </w:pP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3.2 金价数据 4 层降级架构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3"/>
              <w:left w:val="single" w:color="C62828" w:sz="3"/>
              <w:bottom w:val="single" w:color="C62828" w:sz="3"/>
              <w:right w:val="single" w:color="C62828" w:sz="3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Priority 1: Yahoo v7 Quotes API</w:t>
            </w:r>
            <w:r>
              <w:rPr>
                <w:rFonts w:ascii="PingFang SC" w:cs="PingFang SC" w:eastAsia="PingFang SC" w:hAnsi="PingFang SC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single" w:color="C62828" w:sz="3"/>
              <w:bottom w:val="single" w:color="C62828" w:sz="3"/>
              <w:right w:val="single" w:color="C62828" w:sz="3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enlo" w:cs="Menlo" w:eastAsia="Menlo" w:hAnsi="Menlo"/>
                <w:color w:val="4A4A4A"/>
                <w:sz w:val="16"/>
                <w:szCs w:val="16"/>
              </w:rPr>
              <w:t xml:space="preserve">GET query1.finance.yahoo.com/v7/finance/quote?symbols=GC=F</w:t>
            </w:r>
          </w:p>
          <w:p>
            <w:pPr>
              <w:spacing w:before="30"/>
            </w:pPr>
            <w:r>
              <w:rPr>
                <w:rFonts w:ascii="PingFang SC" w:cs="PingFang SC" w:eastAsia="PingFang SC" w:hAnsi="PingFang SC"/>
                <w:color w:val="C62828"/>
                <w:sz w:val="17"/>
                <w:szCs w:val="17"/>
              </w:rPr>
              <w:t xml:space="preserve">需要 crumb 认证，经常失败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▼  </w:t>
      </w:r>
      <w:r>
        <w:rPr>
          <w:rFonts w:ascii="PingFang SC" w:cs="PingFang SC" w:eastAsia="PingFang SC" w:hAnsi="PingFang SC"/>
          <w:i/>
          <w:iCs/>
          <w:color w:val="888888"/>
          <w:sz w:val="18"/>
          <w:szCs w:val="18"/>
        </w:rPr>
        <w:t xml:space="preserve">失败时</w:t>
      </w:r>
      <w:r>
        <w:rPr>
          <w:rFonts w:ascii="Arial" w:cs="Arial" w:eastAsia="Arial" w:hAnsi="Arial"/>
          <w:color w:val="B8860B"/>
          <w:sz w:val="24"/>
          <w:szCs w:val="24"/>
        </w:rPr>
        <w:t xml:space="preserve">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Priority 2: Yahoo v8 Chart API (主力源)</w:t>
            </w:r>
            <w:r>
              <w:rPr>
                <w:rFonts w:ascii="PingFang SC" w:cs="PingFang SC" w:eastAsia="PingFang SC" w:hAnsi="PingFang SC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enlo" w:cs="Menlo" w:eastAsia="Menlo" w:hAnsi="Menlo"/>
                <w:color w:val="4A4A4A"/>
                <w:sz w:val="16"/>
                <w:szCs w:val="16"/>
              </w:rPr>
              <w:t xml:space="preserve">GET query2.finance.yahoo.com/v8/finance/chart/GC=F?range=1d&amp;interval=1d</w:t>
            </w:r>
          </w:p>
          <w:p>
            <w:pPr>
              <w:spacing w:before="30"/>
            </w:pPr>
            <w:r>
              <w:rPr>
                <w:rFonts w:ascii="PingFang SC" w:cs="PingFang SC" w:eastAsia="PingFang SC" w:hAnsi="PingFang SC"/>
                <w:color w:val="2E7D32"/>
                <w:sz w:val="17"/>
                <w:szCs w:val="17"/>
              </w:rPr>
              <w:t xml:space="preserve">无需 crumb，最稳定的数据源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▼  </w:t>
      </w:r>
      <w:r>
        <w:rPr>
          <w:rFonts w:ascii="PingFang SC" w:cs="PingFang SC" w:eastAsia="PingFang SC" w:hAnsi="PingFang SC"/>
          <w:i/>
          <w:iCs/>
          <w:color w:val="888888"/>
          <w:sz w:val="18"/>
          <w:szCs w:val="18"/>
        </w:rPr>
        <w:t xml:space="preserve">失败时</w:t>
      </w:r>
      <w:r>
        <w:rPr>
          <w:rFonts w:ascii="Arial" w:cs="Arial" w:eastAsia="Arial" w:hAnsi="Arial"/>
          <w:color w:val="B8860B"/>
          <w:sz w:val="24"/>
          <w:szCs w:val="24"/>
        </w:rPr>
        <w:t xml:space="preserve">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6C00" w:sz="3"/>
              <w:left w:val="single" w:color="EF6C00" w:sz="3"/>
              <w:bottom w:val="single" w:color="EF6C00" w:sz="3"/>
              <w:right w:val="single" w:color="EF6C00" w:sz="3"/>
            </w:tcBorders>
            <w:shd w:fill="EF6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Priority 3: Stooq</w:t>
            </w:r>
            <w:r>
              <w:rPr>
                <w:rFonts w:ascii="PingFang SC" w:cs="PingFang SC" w:eastAsia="PingFang SC" w:hAnsi="PingFang SC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single" w:color="EF6C00" w:sz="3"/>
              <w:bottom w:val="single" w:color="EF6C00" w:sz="3"/>
              <w:right w:val="single" w:color="EF6C00" w:sz="3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enlo" w:cs="Menlo" w:eastAsia="Menlo" w:hAnsi="Menlo"/>
                <w:color w:val="4A4A4A"/>
                <w:sz w:val="16"/>
                <w:szCs w:val="16"/>
              </w:rPr>
              <w:t xml:space="preserve">GET stooq.com/q/l/?s=xauusd&amp;f=sd2t2ohlcv&amp;e=csv</w:t>
            </w:r>
          </w:p>
          <w:p>
            <w:pPr>
              <w:spacing w:before="30"/>
            </w:pPr>
            <w:r>
              <w:rPr>
                <w:rFonts w:ascii="PingFang SC" w:cs="PingFang SC" w:eastAsia="PingFang SC" w:hAnsi="PingFang SC"/>
                <w:color w:val="EF6C00"/>
                <w:sz w:val="17"/>
                <w:szCs w:val="17"/>
              </w:rPr>
              <w:t xml:space="preserve">CSV 格式，有频率限制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▼  </w:t>
      </w:r>
      <w:r>
        <w:rPr>
          <w:rFonts w:ascii="PingFang SC" w:cs="PingFang SC" w:eastAsia="PingFang SC" w:hAnsi="PingFang SC"/>
          <w:i/>
          <w:iCs/>
          <w:color w:val="888888"/>
          <w:sz w:val="18"/>
          <w:szCs w:val="18"/>
        </w:rPr>
        <w:t xml:space="preserve">失败时</w:t>
      </w:r>
      <w:r>
        <w:rPr>
          <w:rFonts w:ascii="Arial" w:cs="Arial" w:eastAsia="Arial" w:hAnsi="Arial"/>
          <w:color w:val="B8860B"/>
          <w:sz w:val="24"/>
          <w:szCs w:val="24"/>
        </w:rPr>
        <w:t xml:space="preserve">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Priority 4: Pipeline signal.json</w:t>
            </w:r>
            <w:r>
              <w:rPr>
                <w:rFonts w:ascii="PingFang SC" w:cs="PingFang SC" w:eastAsia="PingFang SC" w:hAnsi="PingFang SC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enlo" w:cs="Menlo" w:eastAsia="Menlo" w:hAnsi="Menlo"/>
                <w:color w:val="4A4A4A"/>
                <w:sz w:val="16"/>
                <w:szCs w:val="16"/>
              </w:rPr>
              <w:t xml:space="preserve">readPipelineJson('signal.json') → gold_price</w:t>
            </w:r>
          </w:p>
          <w:p>
            <w:pPr>
              <w:spacing w:before="30"/>
            </w:pPr>
            <w:r>
              <w:rPr>
                <w:rFonts w:ascii="PingFang SC" w:cs="PingFang SC" w:eastAsia="PingFang SC" w:hAnsi="PingFang SC"/>
                <w:color w:val="4A4A4A"/>
                <w:sz w:val="17"/>
                <w:szCs w:val="17"/>
              </w:rPr>
              <w:t xml:space="preserve">离线数据兜底，可能延迟1天</w:t>
            </w:r>
          </w:p>
        </w:tc>
      </w:tr>
    </w:tbl>
    <w:p>
      <w:r>
        <w:br w:type="page"/>
      </w:r>
    </w:p>
    <w:p>
      <w:pPr>
        <w:pBdr>
          <w:bottom w:val="single" w:color="B8860B" w:sz="6" w:space="8"/>
        </w:pBdr>
        <w:spacing w:after="180" w:before="360"/>
      </w:pPr>
      <w:r>
        <w:rPr>
          <w:rFonts w:ascii="PingFang SC" w:cs="PingFang SC" w:eastAsia="PingFang SC" w:hAnsi="PingFang SC"/>
          <w:b/>
          <w:bCs/>
          <w:color w:val="1B2A4A"/>
          <w:sz w:val="32"/>
          <w:szCs w:val="32"/>
        </w:rPr>
        <w:t xml:space="preserve">四、前端架构 Frontend Architecture</w:t>
      </w: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4.1 页面布局 Page Layout</w:t>
      </w:r>
    </w:p>
    <w:p>
      <w:pPr>
        <w:spacing w:after="60" w:before="60" w:line="340"/>
      </w:pPr>
      <w:r>
        <w:rPr>
          <w:rFonts w:ascii="PingFang SC" w:cs="PingFang SC" w:eastAsia="PingFang SC" w:hAnsi="PingFang SC"/>
          <w:color w:val="1A1A1A"/>
          <w:sz w:val="20"/>
          <w:szCs w:val="20"/>
        </w:rPr>
        <w:t xml:space="preserve">Web 仪表板采用三栏布局，移动端自适应为上下堆叠：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TopBar</w:t>
            </w:r>
            <w:r>
              <w:rPr>
                <w:rFonts w:ascii="PingFang SC" w:cs="PingFang SC" w:eastAsia="PingFang SC" w:hAnsi="PingFang SC"/>
                <w:color w:val="CCCCCC"/>
                <w:sz w:val="16"/>
                <w:szCs w:val="16"/>
              </w:rPr>
              <w:t xml:space="preserve">  |  Logo + 金价实时行情 + 7个因子卡片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0"/>
        <w:gridCol w:w="3800"/>
      </w:tblGrid>
      <w:tr>
        <w:tc>
          <w:tcPr>
            <w:tcW w:type="dxa" w:w="5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6A1B9A"/>
                <w:sz w:val="18"/>
                <w:szCs w:val="18"/>
              </w:rPr>
              <w:t xml:space="preserve">LeftPanel</w:t>
            </w:r>
          </w:p>
          <w:p>
            <w:pPr>
              <w:spacing w:before="40"/>
            </w:pPr>
            <w:r>
              <w:rPr>
                <w:rFonts w:ascii="PingFang SC" w:cs="PingFang SC" w:eastAsia="PingFang SC" w:hAnsi="PingFang SC"/>
                <w:color w:val="4A4A4A"/>
                <w:sz w:val="16"/>
                <w:szCs w:val="16"/>
              </w:rPr>
              <w:t xml:space="preserve">5 个标签页:</w:t>
            </w:r>
          </w:p>
          <w:p>
            <w:pPr>
              <w:spacing w:before="20"/>
            </w:pPr>
            <w:r>
              <w:rPr>
                <w:rFonts w:ascii="PingFang SC" w:cs="PingFang SC" w:eastAsia="PingFang SC" w:hAnsi="PingFang SC"/>
                <w:color w:val="6A1B9A"/>
                <w:sz w:val="16"/>
                <w:szCs w:val="16"/>
              </w:rPr>
              <w:t xml:space="preserve">SHAP归因 | IC追踪 | Regime热力图 | 相关性矩阵 | 净值曲线</w:t>
            </w:r>
          </w:p>
          <w:p>
            <w:pPr>
              <w:spacing w:before="40"/>
            </w:pPr>
            <w:r>
              <w:rPr>
                <w:rFonts w:ascii="Menlo" w:cs="Menlo" w:eastAsia="Menlo" w:hAnsi="Menlo"/>
                <w:color w:val="888888"/>
                <w:sz w:val="14"/>
                <w:szCs w:val="14"/>
              </w:rPr>
              <w:t xml:space="preserve">组件: ShapWaterfall, ICTracking, RegimeHeatmap, CorrelationMatrix, EquityCurveChart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B8860B"/>
                <w:sz w:val="18"/>
                <w:szCs w:val="18"/>
              </w:rPr>
              <w:t xml:space="preserve">RightSidebar</w:t>
            </w:r>
          </w:p>
          <w:p>
            <w:pPr>
              <w:spacing w:after="0" w:before="30"/>
            </w:pPr>
          </w:p>
          <w:p>
            <w:r>
              <w:rPr>
                <w:rFonts w:ascii="PingFang SC" w:cs="PingFang SC" w:eastAsia="PingFang SC" w:hAnsi="PingFang SC"/>
                <w:color w:val="B8860B"/>
                <w:sz w:val="16"/>
                <w:szCs w:val="16"/>
              </w:rPr>
              <w:t xml:space="preserve">SignalCard</w:t>
            </w:r>
            <w:r>
              <w:rPr>
                <w:rFonts w:ascii="PingFang SC" w:cs="PingFang SC" w:eastAsia="PingFang SC" w:hAnsi="PingFang SC"/>
                <w:color w:val="4A4A4A"/>
                <w:sz w:val="14"/>
                <w:szCs w:val="14"/>
              </w:rPr>
              <w:t xml:space="preserve"> 信号+置信度+Regime</w:t>
            </w:r>
          </w:p>
          <w:p>
            <w:pPr>
              <w:spacing w:before="20"/>
            </w:pPr>
            <w:r>
              <w:rPr>
                <w:rFonts w:ascii="PingFang SC" w:cs="PingFang SC" w:eastAsia="PingFang SC" w:hAnsi="PingFang SC"/>
                <w:color w:val="B8860B"/>
                <w:sz w:val="16"/>
                <w:szCs w:val="16"/>
              </w:rPr>
              <w:t xml:space="preserve">ShapWaterfall</w:t>
            </w:r>
            <w:r>
              <w:rPr>
                <w:rFonts w:ascii="PingFang SC" w:cs="PingFang SC" w:eastAsia="PingFang SC" w:hAnsi="PingFang SC"/>
                <w:color w:val="4A4A4A"/>
                <w:sz w:val="14"/>
                <w:szCs w:val="14"/>
              </w:rPr>
              <w:t xml:space="preserve"> (移动端)</w:t>
            </w:r>
          </w:p>
          <w:p>
            <w:pPr>
              <w:spacing w:before="20"/>
            </w:pPr>
            <w:r>
              <w:rPr>
                <w:rFonts w:ascii="PingFang SC" w:cs="PingFang SC" w:eastAsia="PingFang SC" w:hAnsi="PingFang SC"/>
                <w:color w:val="B8860B"/>
                <w:sz w:val="16"/>
                <w:szCs w:val="16"/>
              </w:rPr>
              <w:t xml:space="preserve">PositionCard</w:t>
            </w:r>
            <w:r>
              <w:rPr>
                <w:rFonts w:ascii="PingFang SC" w:cs="PingFang SC" w:eastAsia="PingFang SC" w:hAnsi="PingFang SC"/>
                <w:color w:val="4A4A4A"/>
                <w:sz w:val="14"/>
                <w:szCs w:val="14"/>
              </w:rPr>
              <w:t xml:space="preserve"> 持仓+交易记录</w:t>
            </w:r>
          </w:p>
          <w:p>
            <w:pPr>
              <w:spacing w:before="20"/>
            </w:pPr>
            <w:r>
              <w:rPr>
                <w:rFonts w:ascii="PingFang SC" w:cs="PingFang SC" w:eastAsia="PingFang SC" w:hAnsi="PingFang SC"/>
                <w:color w:val="B8860B"/>
                <w:sz w:val="16"/>
                <w:szCs w:val="16"/>
              </w:rPr>
              <w:t xml:space="preserve">AccountCard</w:t>
            </w:r>
            <w:r>
              <w:rPr>
                <w:rFonts w:ascii="PingFang SC" w:cs="PingFang SC" w:eastAsia="PingFang SC" w:hAnsi="PingFang SC"/>
                <w:color w:val="4A4A4A"/>
                <w:sz w:val="14"/>
                <w:szCs w:val="14"/>
              </w:rPr>
              <w:t xml:space="preserve"> 净值+风控+指标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EA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2E75B6"/>
                <w:sz w:val="18"/>
                <w:szCs w:val="18"/>
              </w:rPr>
              <w:t xml:space="preserve">StatusBar</w:t>
            </w:r>
            <w:r>
              <w:rPr>
                <w:rFonts w:ascii="PingFang SC" w:cs="PingFang SC" w:eastAsia="PingFang SC" w:hAnsi="PingFang SC"/>
                <w:color w:val="4A4A4A"/>
                <w:sz w:val="16"/>
                <w:szCs w:val="16"/>
              </w:rPr>
              <w:t xml:space="preserve">  |  模型状态 + OOS IC + 数据新鲜度 + 因子数 + 警告</w:t>
            </w:r>
          </w:p>
        </w:tc>
      </w:tr>
    </w:tbl>
    <w:p>
      <w:pPr>
        <w:spacing w:after="0" w:before="200"/>
      </w:pP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4.2 数据流 Frontend Data Flow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00"/>
        <w:gridCol w:w="404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SWR Hook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API 端点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刷新频率</w:t>
            </w:r>
          </w:p>
        </w:tc>
        <w:tc>
          <w:tcPr>
            <w:tcW w:type="dxa" w:w="4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消费组件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useGoldPrice()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/api/gold-price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 秒</w:t>
            </w:r>
          </w:p>
        </w:tc>
        <w:tc>
          <w:tcPr>
            <w:tcW w:type="dxa" w:w="4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TopBar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useFactors()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/api/factors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 分钟</w:t>
            </w:r>
          </w:p>
        </w:tc>
        <w:tc>
          <w:tcPr>
            <w:tcW w:type="dxa" w:w="4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TopBar (FactorCard ×7)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useSignal()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/api/signal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 分钟</w:t>
            </w:r>
          </w:p>
        </w:tc>
        <w:tc>
          <w:tcPr>
            <w:tcW w:type="dxa" w:w="4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RightSidebar → SignalCard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useShapValues()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/api/shap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 分钟</w:t>
            </w:r>
          </w:p>
        </w:tc>
        <w:tc>
          <w:tcPr>
            <w:tcW w:type="dxa" w:w="4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LeftPanel + RightSidebar → ShapWaterfall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useICHistory()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/api/ic-history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 分钟</w:t>
            </w:r>
          </w:p>
        </w:tc>
        <w:tc>
          <w:tcPr>
            <w:tcW w:type="dxa" w:w="4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LeftPanel → ICTracking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useRegime()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/api/regime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 分钟</w:t>
            </w:r>
          </w:p>
        </w:tc>
        <w:tc>
          <w:tcPr>
            <w:tcW w:type="dxa" w:w="4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LeftPanel → RegimeHeatmap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useCorrelation()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/api/correlation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 分钟</w:t>
            </w:r>
          </w:p>
        </w:tc>
        <w:tc>
          <w:tcPr>
            <w:tcW w:type="dxa" w:w="4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LeftPanel → CorrelationMatrix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useEquityCurve()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/api/equity-curve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 分钟</w:t>
            </w:r>
          </w:p>
        </w:tc>
        <w:tc>
          <w:tcPr>
            <w:tcW w:type="dxa" w:w="4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LeftPanel + AccountCard → EquityCurve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usePositions()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/api/positions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 分钟</w:t>
            </w:r>
          </w:p>
        </w:tc>
        <w:tc>
          <w:tcPr>
            <w:tcW w:type="dxa" w:w="4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RightSidebar → PositionCard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useAccount()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/api/account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 分钟</w:t>
            </w:r>
          </w:p>
        </w:tc>
        <w:tc>
          <w:tcPr>
            <w:tcW w:type="dxa" w:w="4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RightSidebar → AccountCard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useModelHealth()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/api/model-health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 分钟</w:t>
            </w:r>
          </w:p>
        </w:tc>
        <w:tc>
          <w:tcPr>
            <w:tcW w:type="dxa" w:w="4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StatusBar</w:t>
            </w:r>
          </w:p>
        </w:tc>
      </w:tr>
    </w:tbl>
    <w:p>
      <w:r>
        <w:br w:type="page"/>
      </w:r>
    </w:p>
    <w:p>
      <w:pPr>
        <w:pBdr>
          <w:bottom w:val="single" w:color="B8860B" w:sz="6" w:space="8"/>
        </w:pBdr>
        <w:spacing w:after="180" w:before="360"/>
      </w:pPr>
      <w:r>
        <w:rPr>
          <w:rFonts w:ascii="PingFang SC" w:cs="PingFang SC" w:eastAsia="PingFang SC" w:hAnsi="PingFang SC"/>
          <w:b/>
          <w:bCs/>
          <w:color w:val="1B2A4A"/>
          <w:sz w:val="32"/>
          <w:szCs w:val="32"/>
        </w:rPr>
        <w:t xml:space="preserve">五、微信小程序 WeChat Miniprogram</w:t>
      </w: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5.1 页面结构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04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页面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调用API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首页概览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pages/index/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金价+信号+7因子卡片+Regime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/gold-price, /signal, /factors, /regime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因子分析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pages/factors/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7因子详情+SHAP归因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/factors, /shap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账户概览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pages/account/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净值+持仓+交易记录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/equity-curve, /positions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回测报告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pages/backtest/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IC追踪+回测曲线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/ic-history, /equity-curve</w:t>
            </w:r>
          </w:p>
        </w:tc>
      </w:tr>
    </w:tbl>
    <w:p>
      <w:pPr>
        <w:spacing w:after="0" w:before="100"/>
      </w:pP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5.2 数据链路</w:t>
      </w:r>
    </w:p>
    <w:p>
      <w:pPr>
        <w:spacing w:after="60" w:before="60" w:line="340"/>
      </w:pPr>
      <w:r>
        <w:rPr>
          <w:rFonts w:ascii="PingFang SC" w:cs="PingFang SC" w:eastAsia="PingFang SC" w:hAnsi="PingFang SC"/>
          <w:color w:val="1A1A1A"/>
          <w:sz w:val="20"/>
          <w:szCs w:val="20"/>
        </w:rPr>
        <w:t xml:space="preserve">小程序通过 Vercel 部署的 Next.js API 获取所有数据，数据链路为：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3"/>
              <w:left w:val="single" w:color="00695C" w:sz="3"/>
              <w:bottom w:val="single" w:color="00695C" w:sz="3"/>
              <w:right w:val="single" w:color="00695C" w:sz="3"/>
            </w:tcBorders>
            <w:shd w:fill="0069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WeChat Miniprogram → Vercel API → Pipeline JSON</w:t>
            </w:r>
            <w:r>
              <w:rPr>
                <w:rFonts w:ascii="PingFang SC" w:cs="PingFang SC" w:eastAsia="PingFang SC" w:hAnsi="PingFang SC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single" w:color="00695C" w:sz="3"/>
              <w:bottom w:val="single" w:color="00695C" w:sz="3"/>
              <w:right w:val="single" w:color="00695C" w:sz="3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enlo" w:cs="Menlo" w:eastAsia="Menlo" w:hAnsi="Menlo"/>
                <w:b/>
                <w:bCs/>
                <w:color w:val="00695C"/>
                <w:sz w:val="18"/>
                <w:szCs w:val="18"/>
              </w:rPr>
              <w:t xml:space="preserve">utils/api.js</w:t>
            </w:r>
            <w:r>
              <w:rPr>
                <w:rFonts w:ascii="PingFang SC" w:cs="PingFang SC" w:eastAsia="PingFang SC" w:hAnsi="PingFang SC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Menlo" w:cs="Menlo" w:eastAsia="Menlo" w:hAnsi="Menlo"/>
                <w:color w:val="4A4A4A"/>
                <w:sz w:val="18"/>
                <w:szCs w:val="18"/>
              </w:rPr>
              <w:t xml:space="preserve">wx.request()</w:t>
            </w:r>
            <w:r>
              <w:rPr>
                <w:rFonts w:ascii="PingFang SC" w:cs="PingFang SC" w:eastAsia="PingFang SC" w:hAnsi="PingFang SC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Menlo" w:cs="Menlo" w:eastAsia="Menlo" w:hAnsi="Menlo"/>
                <w:color w:val="00695C"/>
                <w:sz w:val="17"/>
                <w:szCs w:val="17"/>
              </w:rPr>
              <w:t xml:space="preserve">https://gold-monitor-delta.vercel.app/api/*</w:t>
            </w:r>
          </w:p>
          <w:p>
            <w:pPr>
              <w:spacing w:before="40"/>
            </w:pPr>
            <w:r>
              <w:rPr>
                <w:rFonts w:ascii="PingFang SC" w:cs="PingFang SC" w:eastAsia="PingFang SC" w:hAnsi="PingFang SC"/>
                <w:color w:val="4A4A4A"/>
                <w:sz w:val="16"/>
                <w:szCs w:val="16"/>
              </w:rPr>
              <w:t xml:space="preserve">8 个 API 函数: fetchGoldPrice / fetchSignal / fetchFactors / fetchShap / fetchRegime / fetchPositions / fetchEquityCurve / fetchICHistory</w:t>
            </w:r>
          </w:p>
        </w:tc>
      </w:tr>
    </w:tbl>
    <w:p>
      <w:pPr>
        <w:spacing w:after="0" w:before="300"/>
      </w:pPr>
    </w:p>
    <w:p>
      <w:pPr>
        <w:pBdr>
          <w:bottom w:val="single" w:color="B8860B" w:sz="6" w:space="8"/>
        </w:pBdr>
        <w:spacing w:after="180" w:before="360"/>
      </w:pPr>
      <w:r>
        <w:rPr>
          <w:rFonts w:ascii="PingFang SC" w:cs="PingFang SC" w:eastAsia="PingFang SC" w:hAnsi="PingFang SC"/>
          <w:b/>
          <w:bCs/>
          <w:color w:val="1B2A4A"/>
          <w:sz w:val="32"/>
          <w:szCs w:val="32"/>
        </w:rPr>
        <w:t xml:space="preserve">六、技术栈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150"/>
        <w:gridCol w:w="3020"/>
        <w:gridCol w:w="150"/>
        <w:gridCol w:w="3020"/>
      </w:tblGrid>
      <w:tr>
        <w:tc>
          <w:tcPr>
            <w:tcW w:type="dxa" w:w="3020"/>
            <w:tcBorders>
              <w:top w:val="none" w:sz="0"/>
              <w:left w:val="none" w:sz="0"/>
              <w:bottom w:val="none" w:sz="0"/>
              <w:right w:val="none" w:sz="0"/>
            </w:tcBorders>
          </w:tcPr>
          <w:tbl>
            <w:tblPr>
              <w:tblW w:type="dxa" w:w="3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20"/>
            </w:tblGrid>
            <w:tr>
              <w:tc>
                <w:tcPr>
                  <w:tcW w:type="dxa" w:w="3020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PingFang SC" w:cs="PingFang SC" w:eastAsia="PingFang SC" w:hAnsi="PingFang SC"/>
                      <w:b/>
                      <w:bCs/>
                      <w:color w:val="FFFFFF"/>
                      <w:sz w:val="22"/>
                      <w:szCs w:val="22"/>
                    </w:rPr>
                    <w:t xml:space="preserve">数据管道</w:t>
                  </w:r>
                  <w:r>
                    <w:rPr>
                      <w:rFonts w:ascii="PingFang SC" w:cs="PingFang SC" w:eastAsia="PingFang SC" w:hAnsi="PingFang SC"/>
                      <w:color w:val="CCCCCC"/>
                      <w:sz w:val="18"/>
                      <w:szCs w:val="18"/>
                    </w:rPr>
                    <w:t xml:space="preserve">  Python</w:t>
                  </w:r>
                </w:p>
              </w:tc>
            </w:tr>
            <w:tr>
              <w:tc>
                <w:tcPr>
                  <w:tcW w:type="dxa" w:w="3020"/>
                  <w:tcBorders>
                    <w:top w:val="none" w:sz="0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E8F5E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PingFang SC" w:cs="PingFang SC" w:eastAsia="PingFang SC" w:hAnsi="PingFang SC"/>
                      <w:b/>
                      <w:bCs/>
                      <w:color w:val="1A1A1A"/>
                      <w:sz w:val="17"/>
                      <w:szCs w:val="17"/>
                    </w:rPr>
                    <w:t xml:space="preserve">Python 3.9+</w:t>
                  </w:r>
                </w:p>
                <w:p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XGBoost 2.x</w:t>
                  </w:r>
                </w:p>
                <w:p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SHAP (TreeExplainer)</w:t>
                  </w:r>
                </w:p>
                <w:p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Pandas / NumPy / SciPy</w:t>
                  </w:r>
                </w:p>
                <w:p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fredapi</w:t>
                  </w:r>
                </w:p>
              </w:tc>
            </w:tr>
          </w:tbl>
          <w:p/>
        </w:tc>
        <w:tc>
          <w:tcPr>
            <w:tcW w:type="dxa" w:w="15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3020"/>
            <w:tcBorders>
              <w:top w:val="none" w:sz="0"/>
              <w:left w:val="none" w:sz="0"/>
              <w:bottom w:val="none" w:sz="0"/>
              <w:right w:val="none" w:sz="0"/>
            </w:tcBorders>
          </w:tcPr>
          <w:tbl>
            <w:tblPr>
              <w:tblW w:type="dxa" w:w="3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20"/>
            </w:tblGrid>
            <w:tr>
              <w:tc>
                <w:tcPr>
                  <w:tcW w:type="dxa" w:w="3020"/>
                  <w:tcBorders>
                    <w:top w:val="single" w:color="6A1B9A" w:sz="3"/>
                    <w:left w:val="single" w:color="6A1B9A" w:sz="3"/>
                    <w:bottom w:val="single" w:color="6A1B9A" w:sz="3"/>
                    <w:right w:val="single" w:color="6A1B9A" w:sz="3"/>
                  </w:tcBorders>
                  <w:shd w:fill="6A1B9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PingFang SC" w:cs="PingFang SC" w:eastAsia="PingFang SC" w:hAnsi="PingFang SC"/>
                      <w:b/>
                      <w:bCs/>
                      <w:color w:val="FFFFFF"/>
                      <w:sz w:val="22"/>
                      <w:szCs w:val="22"/>
                    </w:rPr>
                    <w:t xml:space="preserve">Web 前端</w:t>
                  </w:r>
                  <w:r>
                    <w:rPr>
                      <w:rFonts w:ascii="PingFang SC" w:cs="PingFang SC" w:eastAsia="PingFang SC" w:hAnsi="PingFang SC"/>
                      <w:color w:val="CCCCCC"/>
                      <w:sz w:val="18"/>
                      <w:szCs w:val="18"/>
                    </w:rPr>
                    <w:t xml:space="preserve">  TypeScript</w:t>
                  </w:r>
                </w:p>
              </w:tc>
            </w:tr>
            <w:tr>
              <w:tc>
                <w:tcPr>
                  <w:tcW w:type="dxa" w:w="3020"/>
                  <w:tcBorders>
                    <w:top w:val="none" w:sz="0"/>
                    <w:left w:val="single" w:color="6A1B9A" w:sz="3"/>
                    <w:bottom w:val="single" w:color="6A1B9A" w:sz="3"/>
                    <w:right w:val="single" w:color="6A1B9A" w:sz="3"/>
                  </w:tcBorders>
                  <w:shd w:fill="F3E5F5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PingFang SC" w:cs="PingFang SC" w:eastAsia="PingFang SC" w:hAnsi="PingFang SC"/>
                      <w:b/>
                      <w:bCs/>
                      <w:color w:val="1A1A1A"/>
                      <w:sz w:val="17"/>
                      <w:szCs w:val="17"/>
                    </w:rPr>
                    <w:t xml:space="preserve">Next.js 14 (App Router)</w:t>
                  </w:r>
                </w:p>
                <w:p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React 18 + SWR</w:t>
                  </w:r>
                </w:p>
                <w:p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Recharts (图表)</w:t>
                  </w:r>
                </w:p>
                <w:p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Tailwind CSS</w:t>
                  </w:r>
                </w:p>
                <w:p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Vercel 部署</w:t>
                  </w:r>
                </w:p>
              </w:tc>
            </w:tr>
          </w:tbl>
          <w:p/>
        </w:tc>
        <w:tc>
          <w:tcPr>
            <w:tcW w:type="dxa" w:w="15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3020"/>
            <w:tcBorders>
              <w:top w:val="none" w:sz="0"/>
              <w:left w:val="none" w:sz="0"/>
              <w:bottom w:val="none" w:sz="0"/>
              <w:right w:val="none" w:sz="0"/>
            </w:tcBorders>
          </w:tcPr>
          <w:tbl>
            <w:tblPr>
              <w:tblW w:type="dxa" w:w="3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20"/>
            </w:tblGrid>
            <w:tr>
              <w:tc>
                <w:tcPr>
                  <w:tcW w:type="dxa" w:w="3020"/>
                  <w:tcBorders>
                    <w:top w:val="single" w:color="00695C" w:sz="3"/>
                    <w:left w:val="single" w:color="00695C" w:sz="3"/>
                    <w:bottom w:val="single" w:color="00695C" w:sz="3"/>
                    <w:right w:val="single" w:color="00695C" w:sz="3"/>
                  </w:tcBorders>
                  <w:shd w:fill="00695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PingFang SC" w:cs="PingFang SC" w:eastAsia="PingFang SC" w:hAnsi="PingFang SC"/>
                      <w:b/>
                      <w:bCs/>
                      <w:color w:val="FFFFFF"/>
                      <w:sz w:val="22"/>
                      <w:szCs w:val="22"/>
                    </w:rPr>
                    <w:t xml:space="preserve">微信小程序</w:t>
                  </w:r>
                  <w:r>
                    <w:rPr>
                      <w:rFonts w:ascii="PingFang SC" w:cs="PingFang SC" w:eastAsia="PingFang SC" w:hAnsi="PingFang SC"/>
                      <w:color w:val="CCCCCC"/>
                      <w:sz w:val="18"/>
                      <w:szCs w:val="18"/>
                    </w:rPr>
                    <w:t xml:space="preserve">  JavaScript</w:t>
                  </w:r>
                </w:p>
              </w:tc>
            </w:tr>
            <w:tr>
              <w:tc>
                <w:tcPr>
                  <w:tcW w:type="dxa" w:w="3020"/>
                  <w:tcBorders>
                    <w:top w:val="none" w:sz="0"/>
                    <w:left w:val="single" w:color="00695C" w:sz="3"/>
                    <w:bottom w:val="single" w:color="00695C" w:sz="3"/>
                    <w:right w:val="single" w:color="00695C" w:sz="3"/>
                  </w:tcBorders>
                  <w:shd w:fill="E0F2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PingFang SC" w:cs="PingFang SC" w:eastAsia="PingFang SC" w:hAnsi="PingFang SC"/>
                      <w:b/>
                      <w:bCs/>
                      <w:color w:val="1A1A1A"/>
                      <w:sz w:val="17"/>
                      <w:szCs w:val="17"/>
                    </w:rPr>
                    <w:t xml:space="preserve">WXML + WXSS + JS</w:t>
                  </w:r>
                </w:p>
                <w:p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wx.request (HTTP)</w:t>
                  </w:r>
                </w:p>
                <w:p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wx-charts (图表)</w:t>
                  </w:r>
                </w:p>
                <w:p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4 个页面</w:t>
                  </w:r>
                </w:p>
                <w:p>
                  <w:r>
                    <w:rPr>
                      <w:rFonts w:ascii="PingFang SC" w:cs="PingFang SC" w:eastAsia="PingFang SC" w:hAnsi="PingFang SC"/>
                      <w:color w:val="4A4A4A"/>
                      <w:sz w:val="17"/>
                      <w:szCs w:val="17"/>
                    </w:rPr>
                    <w:t xml:space="preserve">微信开发者工具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color="B8860B" w:sz="6" w:space="8"/>
        </w:pBdr>
        <w:spacing w:after="180" w:before="360"/>
      </w:pPr>
      <w:r>
        <w:rPr>
          <w:rFonts w:ascii="PingFang SC" w:cs="PingFang SC" w:eastAsia="PingFang SC" w:hAnsi="PingFang SC"/>
          <w:b/>
          <w:bCs/>
          <w:color w:val="1B2A4A"/>
          <w:sz w:val="32"/>
          <w:szCs w:val="32"/>
        </w:rPr>
        <w:t xml:space="preserve">七、项目文件结构 Project File Tree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E0E0E0" w:sz="1"/>
              <w:left w:val="single" w:color="1B2A4A" w:sz="3"/>
              <w:bottom w:val="single" w:color="E0E0E0" w:sz="1"/>
              <w:right w:val="single" w:color="E0E0E0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GoldMonitor/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├── gold-dashboard/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├── pipeline/                    ← Python 数据管道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├── config.py                ← 因子/模型/阈值配置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├── fetch_data.py            ← FRED + Yahoo + Stooq 数据获取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├── features.py              ← 7因子 Z-Score 工程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├── train.py                 ← XGBoost 训练 + IC + 健康检查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├── inference.py             ← 推理 + SHAP + Regime + 相关性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├── backtest.py              ← OOS 回测引擎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├── run_daily.py             ← 一键运行全流程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├── model.json               ← XGBoost 模型文件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└── output/                  ← 9 个 JSON 输出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    ├── signal.json / shap_values.json / regime.json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    ├── correlation.json / ic_history.json / model_health.json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    └── equity_curve.json / account.json / positions.json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├── src/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├── app/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├── page.tsx                 ← 主页面 (3栏布局)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├── layout.tsx               ← 全局布局 + 字体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└── api/                     ← 11 个 API 端点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    ├── gold-price/route.ts  ← 4层降级金价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    ├── signal/route.ts      ← Pipeline JSON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    ├── shap/route.ts        ← Pipeline JSON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    ├── factors/route.ts     ← FRED+Yahoo+Pipeline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    └── ... (7 more)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├── components/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├── layout/  TopBar | LeftPanel | RightSidebar | StatusBar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├── cards/   SignalCard | FactorCard | PositionCard | AccountCard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├── charts/  ShapWaterfall | ICTracking | RegimeHeatmap | CorrelationMatrix | EquityCurve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└── ui/      Badge | ProgressBar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├── lib/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├── useGoldData.ts           ← 11 个 SWR Hooks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├── readPipelineJson.ts      ← Pipeline JSON 读取工具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│   ├── fred.ts / yahoo.ts / stooq.ts  ← 外部 API 客户端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│   └── types/index.ts           ← TypeScript 类型定义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├── miniprogram/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├── app.js                       ← API Base URL 配置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├── utils/api.js                 ← 8 个 API 函数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└── pages/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    ├── index/    ← 首页概览 (金价+信号+因子)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    ├── factors/  ← 因子分析 (7因子详情)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    ├── account/  ← 账户概览 (净值+持仓)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│       └── backtest/ ← 回测报告 (IC+资产曲线)</w:t>
            </w:r>
          </w:p>
          <w:p>
            <w:pPr>
              <w:spacing w:after="10" w:before="10"/>
            </w:pPr>
            <w:r>
              <w:rPr>
                <w:rFonts w:ascii="Menlo" w:cs="Menlo" w:eastAsia="Menlo" w:hAnsi="Menlo"/>
                <w:color w:val="1A1A1A"/>
                <w:sz w:val="16"/>
                <w:szCs w:val="16"/>
              </w:rPr>
              <w:t xml:space="preserve">└── docs/                        ← 文档</w:t>
            </w:r>
          </w:p>
        </w:tc>
      </w:tr>
    </w:tbl>
    <w:p>
      <w:r>
        <w:br w:type="page"/>
      </w:r>
    </w:p>
    <w:p>
      <w:pPr>
        <w:pBdr>
          <w:bottom w:val="single" w:color="B8860B" w:sz="6" w:space="8"/>
        </w:pBdr>
        <w:spacing w:after="180" w:before="360"/>
      </w:pPr>
      <w:r>
        <w:rPr>
          <w:rFonts w:ascii="PingFang SC" w:cs="PingFang SC" w:eastAsia="PingFang SC" w:hAnsi="PingFang SC"/>
          <w:b/>
          <w:bCs/>
          <w:color w:val="1B2A4A"/>
          <w:sz w:val="32"/>
          <w:szCs w:val="32"/>
        </w:rPr>
        <w:t xml:space="preserve">八、运行时序 Runtime Sequence</w:t>
      </w: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8.1 每日管道运行 (Python, 本地/CI)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200"/>
        <w:gridCol w:w="364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时序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动作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T+0s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启动 run_daily.py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run_daily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T+1s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调用 FRED API 获取 DXY/TIPS/BEI/GPR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fetch_data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DataFrame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T+10s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调用 Yahoo/Stooq 获取金价/ETF/矿业股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fetch_data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合并 DataFrame (2817×31)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T+15s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计算7因子 Z-Score + 20日前瞻收益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features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特征矩阵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T+16s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Purged TSCV 训练 XGBoost (若需)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train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model.json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T+18s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最新因子 → 模型预测 → 信号分类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inference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signal.json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T+19s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SHAP TreeExplainer 计算归因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inference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shap_values.json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T+20s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Regime 检测 + 相关性矩阵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inference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regime.json, correlation.json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T+21s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OOS 回测 184 天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backtest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equity/account/positions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T+23s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管道完成，9个 JSON 更新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run_daily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全部输出</w:t>
            </w:r>
          </w:p>
        </w:tc>
      </w:tr>
    </w:tbl>
    <w:p>
      <w:pPr>
        <w:spacing w:after="0" w:before="200"/>
      </w:pP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8.2 用户访问时序 (浏览器/小程序)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04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时序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动作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触发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数据流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0ms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用户打开仪表板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页面加载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50ms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React 渲染骨架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Next.js SSR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fallback 数据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100ms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SWR 发起 11 个 API 请求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useGoldPrice 等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GET /api/*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200ms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API Route 读取 Pipeline JSON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readPipelineJson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fs.readFile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250ms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gold-price 调用 Yahoo v8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fetch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HTTP → Yahoo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500ms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API 返回 JSON 响应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NextResponse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JSON → SWR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600ms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组件接收数据并重渲染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SWR mutate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Charts 更新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+60s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金价自动刷新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SWR refreshInterval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GET /api/gold-price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+60min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全部数据刷新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SWR refreshInterval</w:t>
            </w:r>
          </w:p>
        </w:tc>
        <w:tc>
          <w:tcPr>
            <w:tcW w:type="dxa" w:w="3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GET /api/* (全部)</w:t>
            </w:r>
          </w:p>
        </w:tc>
      </w:tr>
    </w:tbl>
    <w:p>
      <w:pPr>
        <w:spacing w:after="0" w:before="200"/>
      </w:pPr>
    </w:p>
    <w:p>
      <w:pPr>
        <w:spacing w:after="140" w:before="280"/>
      </w:pPr>
      <w:r>
        <w:rPr>
          <w:rFonts w:ascii="PingFang SC" w:cs="PingFang SC" w:eastAsia="PingFang SC" w:hAnsi="PingFang SC"/>
          <w:b/>
          <w:bCs/>
          <w:color w:val="B8860B"/>
          <w:sz w:val="26"/>
          <w:szCs w:val="26"/>
        </w:rPr>
        <w:t xml:space="preserve">| </w:t>
      </w:r>
      <w:r>
        <w:rPr>
          <w:rFonts w:ascii="PingFang SC" w:cs="PingFang SC" w:eastAsia="PingFang SC" w:hAnsi="PingFang SC"/>
          <w:b/>
          <w:bCs/>
          <w:color w:val="1B2A4A"/>
          <w:sz w:val="26"/>
          <w:szCs w:val="26"/>
        </w:rPr>
        <w:t xml:space="preserve">8.3 微信小程序时序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84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时序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动作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数据流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0ms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用户打开小程序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app.js onLaunch</w:t>
            </w:r>
          </w:p>
        </w:tc>
        <w:tc>
          <w:tcPr>
            <w:tcW w:type="dxa" w:w="2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100ms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首页发起 API 请求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index.js onLoad</w:t>
            </w:r>
          </w:p>
        </w:tc>
        <w:tc>
          <w:tcPr>
            <w:tcW w:type="dxa" w:w="2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wx.request → Vercel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300ms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Vercel CDN 响应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Next.js API</w:t>
            </w:r>
          </w:p>
        </w:tc>
        <w:tc>
          <w:tcPr>
            <w:tcW w:type="dxa" w:w="2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JSON 响应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400ms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WXML 模板渲染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setData()</w:t>
            </w:r>
          </w:p>
        </w:tc>
        <w:tc>
          <w:tcPr>
            <w:tcW w:type="dxa" w:w="2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因子卡片 + 信号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切换页面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因子/账户/回测页加载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各页面 onLoad</w:t>
            </w:r>
          </w:p>
        </w:tc>
        <w:tc>
          <w:tcPr>
            <w:tcW w:type="dxa" w:w="2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1A1A1A"/>
                <w:sz w:val="17"/>
                <w:szCs w:val="17"/>
              </w:rPr>
              <w:t xml:space="preserve">按需请求 API</w:t>
            </w:r>
          </w:p>
        </w:tc>
      </w:tr>
    </w:tbl>
    <w:p>
      <w:pPr>
        <w:spacing w:after="0" w:before="300"/>
      </w:pPr>
    </w:p>
    <w:p>
      <w:pPr>
        <w:pBdr>
          <w:top w:val="single" w:color="B8860B" w:sz="2" w:space="16"/>
        </w:pBdr>
        <w:spacing w:after="6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Gold Monitor v2.0  |  7 Factors  |  11 APIs  |  3 Platforms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End-to-end quantitative trading intelligence for gold markets.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ingFang SC" w:cs="PingFang SC" w:eastAsia="PingFang SC" w:hAnsi="PingFang SC"/>
        <w:color w:val="888888"/>
        <w:sz w:val="16"/>
        <w:szCs w:val="16"/>
      </w:rPr>
      <w:t xml:space="preserve">-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ingFang SC" w:cs="PingFang SC" w:eastAsia="PingFang SC" w:hAnsi="PingFang SC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1" w:space="4"/>
      </w:pBdr>
    </w:pPr>
    <w:r>
      <w:rPr>
        <w:rFonts w:ascii="PingFang SC" w:cs="PingFang SC" w:eastAsia="PingFang SC" w:hAnsi="PingFang SC"/>
        <w:b/>
        <w:bCs/>
        <w:color w:val="B8860B"/>
        <w:sz w:val="16"/>
        <w:szCs w:val="16"/>
      </w:rPr>
      <w:t xml:space="preserve">Gold Monitor</w:t>
    </w:r>
    <w:r>
      <w:rPr>
        <w:rFonts w:ascii="PingFang SC" w:cs="PingFang SC" w:eastAsia="PingFang SC" w:hAnsi="PingFang SC"/>
        <w:color w:val="888888"/>
        <w:sz w:val="16"/>
        <w:szCs w:val="16"/>
      </w:rPr>
      <w:t xml:space="preserve">  | 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2026-03-26T07:50:52.626Z</dcterms:created>
  <dcterms:modified xsi:type="dcterms:W3CDTF">2026-03-26T07:50:52.627Z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