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9A0C5">
      <w:pPr>
        <w:spacing w:before="1800"/>
      </w:pPr>
    </w:p>
    <w:p w14:paraId="6F0BA962">
      <w:pPr>
        <w:spacing w:before="240" w:after="240"/>
        <w:jc w:val="center"/>
      </w:pPr>
      <w:r>
        <w:rPr>
          <w:rFonts w:ascii="Arial" w:hAnsi="Arial" w:eastAsia="Arial" w:cs="Arial"/>
          <w:b/>
          <w:bCs/>
          <w:sz w:val="44"/>
          <w:szCs w:val="44"/>
        </w:rPr>
        <w:t>从沃什框架看美联储下一棒范式转换</w:t>
      </w:r>
    </w:p>
    <w:p w14:paraId="61CABB78">
      <w:pPr>
        <w:spacing w:before="120" w:after="600"/>
        <w:jc w:val="center"/>
      </w:pPr>
      <w:r>
        <w:rPr>
          <w:rFonts w:ascii="Arial" w:hAnsi="Arial" w:eastAsia="Arial" w:cs="Arial"/>
          <w:b w:val="0"/>
          <w:bCs w:val="0"/>
          <w:color w:val="444444"/>
          <w:sz w:val="28"/>
          <w:szCs w:val="28"/>
        </w:rPr>
        <w:t>——历史坐标、通胀分析、与全球主要大类资产中长期再定价</w:t>
      </w:r>
    </w:p>
    <w:p w14:paraId="0F0FE5A8">
      <w:pPr>
        <w:spacing w:before="2400" w:after="120"/>
        <w:jc w:val="center"/>
      </w:pPr>
      <w:r>
        <w:rPr>
          <w:rFonts w:ascii="Arial" w:hAnsi="Arial" w:eastAsia="Arial" w:cs="Arial"/>
          <w:sz w:val="24"/>
          <w:szCs w:val="24"/>
        </w:rPr>
        <w:t>InflationMonitor 研究组</w:t>
      </w:r>
    </w:p>
    <w:p w14:paraId="1CDD6346">
      <w:pPr>
        <w:spacing w:before="120" w:after="120"/>
        <w:jc w:val="center"/>
      </w:pPr>
      <w:r>
        <w:rPr>
          <w:rFonts w:ascii="Arial" w:hAnsi="Arial" w:eastAsia="Arial" w:cs="Arial"/>
          <w:color w:val="666666"/>
          <w:sz w:val="22"/>
          <w:szCs w:val="22"/>
        </w:rPr>
        <w:t>2026 年 4 月 22 日</w:t>
      </w:r>
    </w:p>
    <w:p w14:paraId="16F08387">
      <w:pPr>
        <w:spacing w:before="120" w:after="120"/>
        <w:jc w:val="center"/>
      </w:pPr>
      <w:r>
        <w:rPr>
          <w:rFonts w:ascii="Arial" w:hAnsi="Arial" w:eastAsia="Arial" w:cs="Arial"/>
          <w:color w:val="999999"/>
          <w:sz w:val="20"/>
          <w:szCs w:val="20"/>
        </w:rPr>
        <w:t>v1.0</w:t>
      </w:r>
    </w:p>
    <w:p w14:paraId="4AAD97B5">
      <w:r>
        <w:br w:type="page"/>
      </w:r>
    </w:p>
    <w:p w14:paraId="0B22A3DC">
      <w:pPr>
        <w:spacing w:before="240" w:after="240"/>
        <w:jc w:val="center"/>
      </w:pPr>
      <w:r>
        <w:rPr>
          <w:rFonts w:ascii="Arial" w:hAnsi="Arial" w:eastAsia="Arial" w:cs="Arial"/>
          <w:b/>
          <w:bCs/>
          <w:sz w:val="32"/>
          <w:szCs w:val="32"/>
        </w:rPr>
        <w:t>摘要</w:t>
      </w:r>
    </w:p>
    <w:p w14:paraId="383DA11E">
      <w:pPr>
        <w:spacing w:before="180" w:after="180" w:line="400" w:lineRule="auto"/>
      </w:pPr>
      <w:r>
        <w:rPr>
          <w:rFonts w:ascii="Arial" w:hAnsi="Arial" w:eastAsia="Arial" w:cs="Arial"/>
          <w:sz w:val="22"/>
          <w:szCs w:val="22"/>
        </w:rPr>
        <w:t>2026 年 4 月 21 日，凯文·沃什（Kevin Warsh）在参议院银行委员会听证会上清晰勾勒出其若出任美联储主席后的政策路线图——「缩表（QT）与降息并行」的双线组合，以及对 2020 年以来的平均通胀目标制（AIT）做结构性切除。这不是一次技术性参数调整，而是一场货币政策范式的重构，其深层逻辑是逆全球化背景下的「货币主权回归」：美联储从事实上的「全球央行」退回到美国央行的本位。本文以 InflationMonitor 的 IPS 因子框架（IPS = P+E+D+F+N）为分析工具，结合 1979 年以来美联储框架演变的历史坐标，判断沃什框架对全球黄金、美元、美债、美股四类资产在未来 1–3 年的方向性影响。核心结论：黄金为三情景下最确定的中长期多头；美元结构性走弱但路径双向波动；美债久期风险系统性抬升；美股牛短熊长、分化加剧。</w:t>
      </w:r>
    </w:p>
    <w:p w14:paraId="28215A1F">
      <w:pPr>
        <w:spacing w:before="240" w:after="240" w:line="360" w:lineRule="auto"/>
      </w:pPr>
      <w:r>
        <w:rPr>
          <w:rFonts w:ascii="Arial" w:hAnsi="Arial" w:eastAsia="Arial" w:cs="Arial"/>
          <w:b/>
          <w:bCs/>
          <w:sz w:val="22"/>
          <w:szCs w:val="22"/>
        </w:rPr>
        <w:t>关键词：</w:t>
      </w:r>
      <w:r>
        <w:rPr>
          <w:rFonts w:ascii="Arial" w:hAnsi="Arial" w:eastAsia="Arial" w:cs="Arial"/>
          <w:sz w:val="22"/>
          <w:szCs w:val="22"/>
        </w:rPr>
        <w:t>沃什框架、QT、AIT、货币主权、IPS 因子模型、财政主导、资产再定价</w:t>
      </w:r>
    </w:p>
    <w:p w14:paraId="137D7933">
      <w:r>
        <w:br w:type="page"/>
      </w:r>
    </w:p>
    <w:p w14:paraId="2890BD0F">
      <w:pPr>
        <w:spacing w:before="240" w:after="360"/>
        <w:jc w:val="center"/>
      </w:pPr>
      <w:r>
        <w:rPr>
          <w:rFonts w:ascii="Arial" w:hAnsi="Arial" w:eastAsia="Arial" w:cs="Arial"/>
          <w:b/>
          <w:bCs/>
          <w:sz w:val="32"/>
          <w:szCs w:val="32"/>
        </w:rPr>
        <w:t>目  录</w:t>
      </w:r>
    </w:p>
    <w:sdt>
      <w:sdtPr>
        <w:alias w:val="Table of Contents"/>
        <w:id w:val="836848060"/>
      </w:sdtPr>
      <w:sdtContent>
        <w:p w14:paraId="0C2F024C">
          <w:r>
            <w:fldChar w:fldCharType="begin"/>
          </w:r>
          <w:r>
            <w:instrText xml:space="preserve">TOC \h \o "1-3"</w:instrText>
          </w:r>
          <w:r>
            <w:fldChar w:fldCharType="separate"/>
          </w:r>
        </w:p>
        <w:p w14:paraId="5F96E80B">
          <w:r>
            <w:fldChar w:fldCharType="end"/>
          </w:r>
        </w:p>
      </w:sdtContent>
    </w:sdt>
    <w:p w14:paraId="15D8B0F5">
      <w:r>
        <w:br w:type="page"/>
      </w:r>
    </w:p>
    <w:p w14:paraId="1E87BA39">
      <w:pPr>
        <w:pStyle w:val="2"/>
      </w:pPr>
      <w:r>
        <w:rPr>
          <w:rFonts w:ascii="Arial" w:hAnsi="Arial" w:eastAsia="Arial" w:cs="Arial"/>
          <w:b/>
          <w:bCs/>
          <w:sz w:val="32"/>
          <w:szCs w:val="32"/>
        </w:rPr>
        <w:t>1. 引言：沃什听证会的政策信号</w:t>
      </w:r>
    </w:p>
    <w:p w14:paraId="3B74F905">
      <w:pPr>
        <w:spacing w:before="60" w:after="60" w:line="360" w:lineRule="auto"/>
      </w:pPr>
      <w:r>
        <w:rPr>
          <w:rFonts w:ascii="Arial" w:hAnsi="Arial" w:eastAsia="Arial" w:cs="Arial"/>
          <w:sz w:val="22"/>
          <w:szCs w:val="22"/>
        </w:rPr>
        <w:t>2026 年 4 月 21 日上午，凯文·沃什在参议院银行委员会的提名听证会上系统阐述了三方面政策主张：</w:t>
      </w:r>
    </w:p>
    <w:p w14:paraId="5EB7F04A">
      <w:pPr>
        <w:pStyle w:val="16"/>
        <w:numPr>
          <w:ilvl w:val="0"/>
          <w:numId w:val="1"/>
        </w:numPr>
        <w:spacing w:before="40" w:after="40" w:line="340" w:lineRule="auto"/>
      </w:pPr>
      <w:r>
        <w:rPr>
          <w:rFonts w:ascii="Arial" w:hAnsi="Arial" w:eastAsia="Arial" w:cs="Arial"/>
          <w:sz w:val="22"/>
          <w:szCs w:val="22"/>
        </w:rPr>
        <w:t>信誉重建：「过去几年的高通胀已经削弱了美联储在通胀管理方面的公信力」，并援引弗里德曼「守旧的桎梏」（the tyranny of the status quo）一说，强调「当世界快速变化时，固守现状的做法和政策尤其具有破坏性」。</w:t>
      </w:r>
    </w:p>
    <w:p w14:paraId="27E66151">
      <w:pPr>
        <w:pStyle w:val="16"/>
        <w:numPr>
          <w:ilvl w:val="0"/>
          <w:numId w:val="1"/>
        </w:numPr>
        <w:spacing w:before="40" w:after="40" w:line="340" w:lineRule="auto"/>
      </w:pPr>
      <w:r>
        <w:rPr>
          <w:rFonts w:ascii="Arial" w:hAnsi="Arial" w:eastAsia="Arial" w:cs="Arial"/>
          <w:sz w:val="22"/>
          <w:szCs w:val="22"/>
        </w:rPr>
        <w:t>通胀分析框架重构：采用更具代表性的通胀指标、聚焦潜在趋势、弱化对点阵图的依赖、将人工智能（AI）浪潮纳入通胀前景判断。</w:t>
      </w:r>
    </w:p>
    <w:p w14:paraId="40B0855E">
      <w:pPr>
        <w:pStyle w:val="16"/>
        <w:numPr>
          <w:ilvl w:val="0"/>
          <w:numId w:val="1"/>
        </w:numPr>
        <w:spacing w:before="40" w:after="40" w:line="340" w:lineRule="auto"/>
      </w:pPr>
      <w:r>
        <w:rPr>
          <w:rFonts w:ascii="Arial" w:hAnsi="Arial" w:eastAsia="Arial" w:cs="Arial"/>
          <w:sz w:val="22"/>
          <w:szCs w:val="22"/>
        </w:rPr>
        <w:t>资产负债表改革：反对 QE 常态化，主张逐步缩表；QE 仅作为零利率下限时的非常规工具；美联储应退出类财政职能，不应长期持有大规模长久期资产。当前 MBS 持仓约 2 万亿美元将成为优先削减对象。</w:t>
      </w:r>
    </w:p>
    <w:p w14:paraId="3266D759">
      <w:pPr>
        <w:pStyle w:val="16"/>
        <w:numPr>
          <w:ilvl w:val="0"/>
          <w:numId w:val="1"/>
        </w:numPr>
        <w:spacing w:before="40" w:after="40" w:line="340" w:lineRule="auto"/>
      </w:pPr>
      <w:r>
        <w:rPr>
          <w:rFonts w:ascii="Arial" w:hAnsi="Arial" w:eastAsia="Arial" w:cs="Arial"/>
          <w:sz w:val="22"/>
          <w:szCs w:val="22"/>
        </w:rPr>
        <w:t>利率政策重新定位：降息未作承诺但倾向明显；关键论断是「降息对『主街』的支持强于 QE 对华尔街的支持」；利率政策与资产负债表政策协同配合。</w:t>
      </w:r>
    </w:p>
    <w:p w14:paraId="5A95A24B">
      <w:pPr>
        <w:spacing w:before="60" w:after="60" w:line="360" w:lineRule="auto"/>
      </w:pPr>
      <w:r>
        <w:rPr>
          <w:rFonts w:ascii="Arial" w:hAnsi="Arial" w:eastAsia="Arial" w:cs="Arial"/>
          <w:sz w:val="22"/>
          <w:szCs w:val="22"/>
        </w:rPr>
        <w:t>与市场预期最大的差异在于第 3 点与第 4 点的组合：多数分析师此前将「鸽派」与「扩表」、「鹰派」与「紧缩」捆绑，沃什却把两者解耦成「紧量 + 松价」的新组合——缩表（紧量）压制金融资产的估值扩张，降息（松价）支持实体融资成本下行。这一解耦对四类资产的影响是非对称且非线性的，本文其余部分即是对此非对称性的展开。</w:t>
      </w:r>
    </w:p>
    <w:p w14:paraId="465688C6">
      <w:pPr>
        <w:pStyle w:val="2"/>
        <w:pageBreakBefore/>
      </w:pPr>
      <w:r>
        <w:rPr>
          <w:rFonts w:ascii="Arial" w:hAnsi="Arial" w:eastAsia="Arial" w:cs="Arial"/>
          <w:b/>
          <w:bCs/>
          <w:sz w:val="32"/>
          <w:szCs w:val="32"/>
        </w:rPr>
        <w:t>2. 美联储货币政策框架演变史：六个阶段</w:t>
      </w:r>
    </w:p>
    <w:p w14:paraId="0EEA9971">
      <w:pPr>
        <w:spacing w:before="60" w:after="60" w:line="360" w:lineRule="auto"/>
      </w:pPr>
      <w:r>
        <w:rPr>
          <w:rFonts w:ascii="Arial" w:hAnsi="Arial" w:eastAsia="Arial" w:cs="Arial"/>
          <w:sz w:val="22"/>
          <w:szCs w:val="22"/>
        </w:rPr>
        <w:t>要理解沃什框架的激进程度，必须把它放回 46 年的演化坐标。</w:t>
      </w:r>
    </w:p>
    <w:p w14:paraId="50BC7F68">
      <w:pPr>
        <w:pStyle w:val="3"/>
      </w:pPr>
      <w:r>
        <w:rPr>
          <w:rFonts w:ascii="Arial" w:hAnsi="Arial" w:eastAsia="Arial" w:cs="Arial"/>
          <w:b/>
          <w:bCs/>
          <w:sz w:val="26"/>
          <w:szCs w:val="26"/>
        </w:rPr>
        <w:t>2.1 沃尔克时代（1979–1987）：货币数量目标 + 信誉建立</w:t>
      </w:r>
    </w:p>
    <w:p w14:paraId="7300C42E">
      <w:pPr>
        <w:spacing w:before="60" w:after="60" w:line="360" w:lineRule="auto"/>
      </w:pPr>
      <w:r>
        <w:rPr>
          <w:rFonts w:ascii="Arial" w:hAnsi="Arial" w:eastAsia="Arial" w:cs="Arial"/>
          <w:sz w:val="22"/>
          <w:szCs w:val="22"/>
        </w:rPr>
        <w:t>1979 年 10 月 6 日「周六夜袭」（Saturday Night Special），沃尔克宣布以货币供应量（M1）为操作目标，联邦基金利率一度上攻 20%，美国连续两次衰退（1980、1981-82）。代价：失业率 10.8%，但 1983 年起 CPI 从 14.8% 回落至 3%。美联储的反通胀信誉在衰退中被焊死。这是此后 40 年所有美联储主席隐性继承的资产。</w:t>
      </w:r>
    </w:p>
    <w:p w14:paraId="57252271">
      <w:pPr>
        <w:pStyle w:val="3"/>
      </w:pPr>
      <w:r>
        <w:rPr>
          <w:rFonts w:ascii="Arial" w:hAnsi="Arial" w:eastAsia="Arial" w:cs="Arial"/>
          <w:b/>
          <w:bCs/>
          <w:sz w:val="26"/>
          <w:szCs w:val="26"/>
        </w:rPr>
        <w:t>2.2 格林斯潘时代（1987–2006）：隐含通胀目标 + 格林斯潘看跌期权</w:t>
      </w:r>
    </w:p>
    <w:p w14:paraId="459A5C56">
      <w:pPr>
        <w:spacing w:before="60" w:after="60" w:line="360" w:lineRule="auto"/>
      </w:pPr>
      <w:r>
        <w:rPr>
          <w:rFonts w:ascii="Arial" w:hAnsi="Arial" w:eastAsia="Arial" w:cs="Arial"/>
          <w:sz w:val="22"/>
          <w:szCs w:val="22"/>
        </w:rPr>
        <w:t>货币数量目标被悄然放弃，泰勒规则成为操作框架。格林斯潘确立了对市场预期的精细引导，但也在 1987 黑色星期一、1998 LTCM、2001 互联网泡沫三次流动性事件中形成了「看跌期权」式的干预惯性——泡沫期不作为、破裂后大幅宽松。这为日后的非对称性埋下种子。独立性在操作层面成熟，但美联储开始为资产价格托底。</w:t>
      </w:r>
    </w:p>
    <w:p w14:paraId="541D24E5">
      <w:pPr>
        <w:pStyle w:val="3"/>
      </w:pPr>
      <w:r>
        <w:rPr>
          <w:rFonts w:ascii="Arial" w:hAnsi="Arial" w:eastAsia="Arial" w:cs="Arial"/>
          <w:b/>
          <w:bCs/>
          <w:sz w:val="26"/>
          <w:szCs w:val="26"/>
        </w:rPr>
        <w:t>2.3 伯南克时代（2006–2014）：QE + 双重使命扩张</w:t>
      </w:r>
    </w:p>
    <w:p w14:paraId="01C89A02">
      <w:pPr>
        <w:spacing w:before="60" w:after="60" w:line="360" w:lineRule="auto"/>
      </w:pPr>
      <w:r>
        <w:rPr>
          <w:rFonts w:ascii="Arial" w:hAnsi="Arial" w:eastAsia="Arial" w:cs="Arial"/>
          <w:sz w:val="22"/>
          <w:szCs w:val="22"/>
        </w:rPr>
        <w:t>2008 年次贷危机后，零利率下限（ZLB）约束下美联储开启 QE：资产负债表从 9000 亿美元扩张至 4.5 万亿美元。2012 年正式采纳 2% 通胀目标制。关键变化：</w:t>
      </w:r>
    </w:p>
    <w:p w14:paraId="6060ADAF">
      <w:pPr>
        <w:pStyle w:val="16"/>
        <w:numPr>
          <w:ilvl w:val="0"/>
          <w:numId w:val="2"/>
        </w:numPr>
        <w:spacing w:before="40" w:after="40" w:line="340" w:lineRule="auto"/>
      </w:pPr>
      <w:r>
        <w:rPr>
          <w:rFonts w:ascii="Arial" w:hAnsi="Arial" w:eastAsia="Arial" w:cs="Arial"/>
          <w:sz w:val="22"/>
          <w:szCs w:val="22"/>
        </w:rPr>
        <w:t>工具扩张：前瞻指引（forward guidance）、QE、扭曲操作（Operation Twist）常规化。</w:t>
      </w:r>
    </w:p>
    <w:p w14:paraId="193F21BD">
      <w:pPr>
        <w:pStyle w:val="16"/>
        <w:numPr>
          <w:ilvl w:val="0"/>
          <w:numId w:val="2"/>
        </w:numPr>
        <w:spacing w:before="40" w:after="40" w:line="340" w:lineRule="auto"/>
      </w:pPr>
      <w:r>
        <w:rPr>
          <w:rFonts w:ascii="Arial" w:hAnsi="Arial" w:eastAsia="Arial" w:cs="Arial"/>
          <w:sz w:val="22"/>
          <w:szCs w:val="22"/>
        </w:rPr>
        <w:t>职能扩张：宏观审慎、金融稳定、系统重要性金融机构监管……美联储边界超出单纯货币政策。</w:t>
      </w:r>
    </w:p>
    <w:p w14:paraId="7987EEA1">
      <w:pPr>
        <w:spacing w:before="60" w:after="60" w:line="360" w:lineRule="auto"/>
      </w:pPr>
      <w:r>
        <w:rPr>
          <w:rFonts w:ascii="Arial" w:hAnsi="Arial" w:eastAsia="Arial" w:cs="Arial"/>
          <w:sz w:val="22"/>
          <w:szCs w:val="22"/>
        </w:rPr>
        <w:t>这两项扩张正是沃什此次点名要「退出」的对象。</w:t>
      </w:r>
    </w:p>
    <w:p w14:paraId="65D3B0B8">
      <w:pPr>
        <w:pStyle w:val="3"/>
      </w:pPr>
      <w:r>
        <w:rPr>
          <w:rFonts w:ascii="Arial" w:hAnsi="Arial" w:eastAsia="Arial" w:cs="Arial"/>
          <w:b/>
          <w:bCs/>
          <w:sz w:val="26"/>
          <w:szCs w:val="26"/>
        </w:rPr>
        <w:t>2.4 耶伦–鲍威尔上半场（2014–2020）：未竟的缩表</w:t>
      </w:r>
    </w:p>
    <w:p w14:paraId="2094552C">
      <w:pPr>
        <w:spacing w:before="60" w:after="60" w:line="360" w:lineRule="auto"/>
      </w:pPr>
      <w:r>
        <w:rPr>
          <w:rFonts w:ascii="Arial" w:hAnsi="Arial" w:eastAsia="Arial" w:cs="Arial"/>
          <w:sz w:val="22"/>
          <w:szCs w:val="22"/>
        </w:rPr>
        <w:t>2015–2018 年美联储实施加息+温和缩表，资产负债表从 4.5 万亿压缩至 3.8 万亿。但 2019 年 Q4 回购市场利率飙升事件暴露了银行体系准备金需求的结构性上升：联储被迫重启扩表（口头称「非 QE」）。这一事件对本次沃什改革的启示是直接的：缩表必须与金融监管（尤其 eSLR）、回购工具、国债发行节奏协同，否则会触发流动性事故。</w:t>
      </w:r>
    </w:p>
    <w:p w14:paraId="13BDBD98">
      <w:pPr>
        <w:pStyle w:val="3"/>
      </w:pPr>
      <w:r>
        <w:rPr>
          <w:rFonts w:ascii="Arial" w:hAnsi="Arial" w:eastAsia="Arial" w:cs="Arial"/>
          <w:b/>
          <w:bCs/>
          <w:sz w:val="26"/>
          <w:szCs w:val="26"/>
        </w:rPr>
        <w:t>2.5 鲍威尔下半场（2020–2025）：AIT 与框架失灵</w:t>
      </w:r>
    </w:p>
    <w:p w14:paraId="31F3FF35">
      <w:pPr>
        <w:spacing w:before="60" w:after="60" w:line="360" w:lineRule="auto"/>
      </w:pPr>
      <w:r>
        <w:rPr>
          <w:rFonts w:ascii="Arial" w:hAnsi="Arial" w:eastAsia="Arial" w:cs="Arial"/>
          <w:sz w:val="22"/>
          <w:szCs w:val="22"/>
        </w:rPr>
        <w:t>2020 年 8 月 Jackson Hole 会议，鲍威尔宣布平均通胀目标制（Average Inflation Targeting, AIT）：在长时间低于 2% 之后，容忍通胀适度过冲以使长期平均值达标。这一框架的两个核心假设——</w:t>
      </w:r>
    </w:p>
    <w:p w14:paraId="09F5F33C">
      <w:pPr>
        <w:pStyle w:val="16"/>
        <w:numPr>
          <w:ilvl w:val="0"/>
          <w:numId w:val="0"/>
        </w:numPr>
        <w:spacing w:before="40" w:after="40" w:line="340" w:lineRule="auto"/>
        <w:ind w:left="360" w:leftChars="0"/>
      </w:pPr>
      <w:r>
        <w:rPr>
          <w:rFonts w:hint="eastAsia" w:eastAsia="宋体" w:cs="Arial"/>
          <w:sz w:val="22"/>
          <w:szCs w:val="22"/>
          <w:lang w:val="en-US" w:eastAsia="zh-CN"/>
        </w:rPr>
        <w:t>·</w:t>
      </w:r>
      <w:r>
        <w:rPr>
          <w:rFonts w:ascii="Arial" w:hAnsi="Arial" w:eastAsia="Arial" w:cs="Arial"/>
          <w:sz w:val="22"/>
          <w:szCs w:val="22"/>
        </w:rPr>
        <w:t>通胀的非对称风险仍偏向下方；</w:t>
      </w:r>
    </w:p>
    <w:p w14:paraId="3B0A2794">
      <w:pPr>
        <w:pStyle w:val="16"/>
        <w:numPr>
          <w:ilvl w:val="0"/>
          <w:numId w:val="0"/>
        </w:numPr>
        <w:spacing w:before="40" w:after="40" w:line="340" w:lineRule="auto"/>
        <w:ind w:left="360" w:leftChars="0"/>
      </w:pPr>
      <w:r>
        <w:rPr>
          <w:rFonts w:hint="eastAsia" w:eastAsia="宋体" w:cs="Arial"/>
          <w:sz w:val="22"/>
          <w:szCs w:val="22"/>
          <w:lang w:val="en-US" w:eastAsia="zh-CN"/>
        </w:rPr>
        <w:t>·</w:t>
      </w:r>
      <w:r>
        <w:rPr>
          <w:rFonts w:ascii="Arial" w:hAnsi="Arial" w:eastAsia="Arial" w:cs="Arial"/>
          <w:sz w:val="22"/>
          <w:szCs w:val="22"/>
        </w:rPr>
        <w:t>通胀预期「锚定在 2%」具有韧性；</w:t>
      </w:r>
    </w:p>
    <w:p w14:paraId="3E8397EB">
      <w:pPr>
        <w:spacing w:before="60" w:after="60" w:line="360" w:lineRule="auto"/>
      </w:pPr>
      <w:r>
        <w:rPr>
          <w:rFonts w:ascii="Arial" w:hAnsi="Arial" w:eastAsia="Arial" w:cs="Arial"/>
          <w:sz w:val="22"/>
          <w:szCs w:val="22"/>
        </w:rPr>
        <w:t>——在 2021-2022 年的财政扩张 + 供给冲击 + 能源价格飙升复合冲击下被同时证伪。核心 PCE 一度触及 5.6%，美联储 2022 年全年加息 425bps 仍未追上曲线。</w:t>
      </w:r>
    </w:p>
    <w:p w14:paraId="5F4404F0">
      <w:pPr>
        <w:spacing w:before="60" w:after="60" w:line="360" w:lineRule="auto"/>
      </w:pPr>
      <w:r>
        <w:rPr>
          <w:rFonts w:ascii="Arial" w:hAnsi="Arial" w:eastAsia="Arial" w:cs="Arial"/>
          <w:sz w:val="22"/>
          <w:szCs w:val="22"/>
        </w:rPr>
        <w:t>AIT 的结构性问题：</w:t>
      </w:r>
    </w:p>
    <w:tbl>
      <w:tblPr>
        <w:tblStyle w:val="11"/>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800"/>
        <w:gridCol w:w="3700"/>
        <w:gridCol w:w="3860"/>
      </w:tblGrid>
      <w:tr w14:paraId="0C8EAB3E">
        <w:trPr>
          <w:tblHeader/>
        </w:trPr>
        <w:tc>
          <w:tcPr>
            <w:tcW w:w="1800" w:type="dxa"/>
            <w:shd w:val="clear" w:color="auto" w:fill="1F3864"/>
            <w:tcMar>
              <w:top w:w="80" w:type="dxa"/>
              <w:left w:w="120" w:type="dxa"/>
              <w:bottom w:w="80" w:type="dxa"/>
              <w:right w:w="120" w:type="dxa"/>
            </w:tcMar>
            <w:vAlign w:val="center"/>
          </w:tcPr>
          <w:p w14:paraId="264220FC">
            <w:pPr>
              <w:spacing w:before="20" w:after="20" w:line="320" w:lineRule="auto"/>
              <w:jc w:val="center"/>
            </w:pPr>
            <w:r>
              <w:rPr>
                <w:rFonts w:ascii="Arial" w:hAnsi="Arial" w:eastAsia="Arial" w:cs="Arial"/>
                <w:b/>
                <w:bCs/>
                <w:color w:val="FFFFFF"/>
                <w:sz w:val="20"/>
                <w:szCs w:val="20"/>
              </w:rPr>
              <w:t>机制</w:t>
            </w:r>
          </w:p>
        </w:tc>
        <w:tc>
          <w:tcPr>
            <w:tcW w:w="3700" w:type="dxa"/>
            <w:shd w:val="clear" w:color="auto" w:fill="1F3864"/>
            <w:tcMar>
              <w:top w:w="80" w:type="dxa"/>
              <w:left w:w="120" w:type="dxa"/>
              <w:bottom w:w="80" w:type="dxa"/>
              <w:right w:w="120" w:type="dxa"/>
            </w:tcMar>
            <w:vAlign w:val="center"/>
          </w:tcPr>
          <w:p w14:paraId="18CF8EF0">
            <w:pPr>
              <w:spacing w:before="20" w:after="20" w:line="320" w:lineRule="auto"/>
              <w:jc w:val="center"/>
            </w:pPr>
            <w:r>
              <w:rPr>
                <w:rFonts w:ascii="Arial" w:hAnsi="Arial" w:eastAsia="Arial" w:cs="Arial"/>
                <w:b/>
                <w:bCs/>
                <w:color w:val="FFFFFF"/>
                <w:sz w:val="20"/>
                <w:szCs w:val="20"/>
              </w:rPr>
              <w:t>AIT 设计</w:t>
            </w:r>
          </w:p>
        </w:tc>
        <w:tc>
          <w:tcPr>
            <w:tcW w:w="3860" w:type="dxa"/>
            <w:shd w:val="clear" w:color="auto" w:fill="1F3864"/>
            <w:tcMar>
              <w:top w:w="80" w:type="dxa"/>
              <w:left w:w="120" w:type="dxa"/>
              <w:bottom w:w="80" w:type="dxa"/>
              <w:right w:w="120" w:type="dxa"/>
            </w:tcMar>
            <w:vAlign w:val="center"/>
          </w:tcPr>
          <w:p w14:paraId="14A6F0EB">
            <w:pPr>
              <w:spacing w:before="20" w:after="20" w:line="320" w:lineRule="auto"/>
              <w:jc w:val="center"/>
            </w:pPr>
            <w:r>
              <w:rPr>
                <w:rFonts w:ascii="Arial" w:hAnsi="Arial" w:eastAsia="Arial" w:cs="Arial"/>
                <w:b/>
                <w:bCs/>
                <w:color w:val="FFFFFF"/>
                <w:sz w:val="20"/>
                <w:szCs w:val="20"/>
              </w:rPr>
              <w:t>实际后果</w:t>
            </w:r>
          </w:p>
        </w:tc>
      </w:tr>
      <w:tr w14:paraId="250EC6D9">
        <w:tc>
          <w:tcPr>
            <w:tcW w:w="1800" w:type="dxa"/>
            <w:tcMar>
              <w:top w:w="80" w:type="dxa"/>
              <w:left w:w="120" w:type="dxa"/>
              <w:bottom w:w="80" w:type="dxa"/>
              <w:right w:w="120" w:type="dxa"/>
            </w:tcMar>
            <w:vAlign w:val="center"/>
          </w:tcPr>
          <w:p w14:paraId="441FA9F2">
            <w:pPr>
              <w:spacing w:before="20" w:after="20" w:line="320" w:lineRule="auto"/>
              <w:jc w:val="left"/>
            </w:pPr>
            <w:r>
              <w:rPr>
                <w:rFonts w:ascii="Arial" w:hAnsi="Arial" w:eastAsia="Arial" w:cs="Arial"/>
                <w:b w:val="0"/>
                <w:bCs w:val="0"/>
                <w:sz w:val="20"/>
                <w:szCs w:val="20"/>
              </w:rPr>
              <w:t>下行补偿</w:t>
            </w:r>
          </w:p>
        </w:tc>
        <w:tc>
          <w:tcPr>
            <w:tcW w:w="3700" w:type="dxa"/>
            <w:tcMar>
              <w:top w:w="80" w:type="dxa"/>
              <w:left w:w="120" w:type="dxa"/>
              <w:bottom w:w="80" w:type="dxa"/>
              <w:right w:w="120" w:type="dxa"/>
            </w:tcMar>
            <w:vAlign w:val="center"/>
          </w:tcPr>
          <w:p w14:paraId="67FE142C">
            <w:pPr>
              <w:spacing w:before="20" w:after="20" w:line="320" w:lineRule="auto"/>
              <w:jc w:val="left"/>
            </w:pPr>
            <w:r>
              <w:rPr>
                <w:rFonts w:ascii="Arial" w:hAnsi="Arial" w:eastAsia="Arial" w:cs="Arial"/>
                <w:b w:val="0"/>
                <w:bCs w:val="0"/>
                <w:sz w:val="20"/>
                <w:szCs w:val="20"/>
              </w:rPr>
              <w:t>通胀低于 2% 时期积累「欠账」</w:t>
            </w:r>
          </w:p>
        </w:tc>
        <w:tc>
          <w:tcPr>
            <w:tcW w:w="3860" w:type="dxa"/>
            <w:tcMar>
              <w:top w:w="80" w:type="dxa"/>
              <w:left w:w="120" w:type="dxa"/>
              <w:bottom w:w="80" w:type="dxa"/>
              <w:right w:w="120" w:type="dxa"/>
            </w:tcMar>
            <w:vAlign w:val="center"/>
          </w:tcPr>
          <w:p w14:paraId="465F6B17">
            <w:pPr>
              <w:spacing w:before="20" w:after="20" w:line="320" w:lineRule="auto"/>
              <w:jc w:val="left"/>
            </w:pPr>
            <w:r>
              <w:rPr>
                <w:rFonts w:ascii="Arial" w:hAnsi="Arial" w:eastAsia="Arial" w:cs="Arial"/>
                <w:b w:val="0"/>
                <w:bCs w:val="0"/>
                <w:sz w:val="20"/>
                <w:szCs w:val="20"/>
              </w:rPr>
              <w:t>疫情宽松加码</w:t>
            </w:r>
          </w:p>
        </w:tc>
      </w:tr>
      <w:tr w14:paraId="3C1452A0">
        <w:tc>
          <w:tcPr>
            <w:tcW w:w="1800" w:type="dxa"/>
            <w:tcMar>
              <w:top w:w="80" w:type="dxa"/>
              <w:left w:w="120" w:type="dxa"/>
              <w:bottom w:w="80" w:type="dxa"/>
              <w:right w:w="120" w:type="dxa"/>
            </w:tcMar>
            <w:vAlign w:val="center"/>
          </w:tcPr>
          <w:p w14:paraId="117E9D35">
            <w:pPr>
              <w:spacing w:before="20" w:after="20" w:line="320" w:lineRule="auto"/>
              <w:jc w:val="left"/>
            </w:pPr>
            <w:r>
              <w:rPr>
                <w:rFonts w:ascii="Arial" w:hAnsi="Arial" w:eastAsia="Arial" w:cs="Arial"/>
                <w:b w:val="0"/>
                <w:bCs w:val="0"/>
                <w:sz w:val="20"/>
                <w:szCs w:val="20"/>
              </w:rPr>
              <w:t>上行容忍</w:t>
            </w:r>
          </w:p>
        </w:tc>
        <w:tc>
          <w:tcPr>
            <w:tcW w:w="3700" w:type="dxa"/>
            <w:tcMar>
              <w:top w:w="80" w:type="dxa"/>
              <w:left w:w="120" w:type="dxa"/>
              <w:bottom w:w="80" w:type="dxa"/>
              <w:right w:w="120" w:type="dxa"/>
            </w:tcMar>
            <w:vAlign w:val="center"/>
          </w:tcPr>
          <w:p w14:paraId="590F449B">
            <w:pPr>
              <w:spacing w:before="20" w:after="20" w:line="320" w:lineRule="auto"/>
              <w:jc w:val="left"/>
            </w:pPr>
            <w:r>
              <w:rPr>
                <w:rFonts w:ascii="Arial" w:hAnsi="Arial" w:eastAsia="Arial" w:cs="Arial"/>
                <w:b w:val="0"/>
                <w:bCs w:val="0"/>
                <w:sz w:val="20"/>
                <w:szCs w:val="20"/>
              </w:rPr>
              <w:t>2% 过冲在「一段时间内」被允许</w:t>
            </w:r>
          </w:p>
        </w:tc>
        <w:tc>
          <w:tcPr>
            <w:tcW w:w="3860" w:type="dxa"/>
            <w:tcMar>
              <w:top w:w="80" w:type="dxa"/>
              <w:left w:w="120" w:type="dxa"/>
              <w:bottom w:w="80" w:type="dxa"/>
              <w:right w:w="120" w:type="dxa"/>
            </w:tcMar>
            <w:vAlign w:val="center"/>
          </w:tcPr>
          <w:p w14:paraId="674547B5">
            <w:pPr>
              <w:spacing w:before="20" w:after="20" w:line="320" w:lineRule="auto"/>
              <w:jc w:val="left"/>
            </w:pPr>
            <w:r>
              <w:rPr>
                <w:rFonts w:ascii="Arial" w:hAnsi="Arial" w:eastAsia="Arial" w:cs="Arial"/>
                <w:b w:val="0"/>
                <w:bCs w:val="0"/>
                <w:sz w:val="20"/>
                <w:szCs w:val="20"/>
              </w:rPr>
              <w:t>2021 年前瞻指引延误紧缩</w:t>
            </w:r>
          </w:p>
        </w:tc>
      </w:tr>
      <w:tr w14:paraId="6E073276">
        <w:tc>
          <w:tcPr>
            <w:tcW w:w="1800" w:type="dxa"/>
            <w:tcMar>
              <w:top w:w="80" w:type="dxa"/>
              <w:left w:w="120" w:type="dxa"/>
              <w:bottom w:w="80" w:type="dxa"/>
              <w:right w:w="120" w:type="dxa"/>
            </w:tcMar>
            <w:vAlign w:val="center"/>
          </w:tcPr>
          <w:p w14:paraId="699F3B48">
            <w:pPr>
              <w:spacing w:before="20" w:after="20" w:line="320" w:lineRule="auto"/>
              <w:jc w:val="left"/>
            </w:pPr>
            <w:r>
              <w:rPr>
                <w:rFonts w:ascii="Arial" w:hAnsi="Arial" w:eastAsia="Arial" w:cs="Arial"/>
                <w:b w:val="0"/>
                <w:bCs w:val="0"/>
                <w:sz w:val="20"/>
                <w:szCs w:val="20"/>
              </w:rPr>
              <w:t>对称性</w:t>
            </w:r>
          </w:p>
        </w:tc>
        <w:tc>
          <w:tcPr>
            <w:tcW w:w="3700" w:type="dxa"/>
            <w:tcMar>
              <w:top w:w="80" w:type="dxa"/>
              <w:left w:w="120" w:type="dxa"/>
              <w:bottom w:w="80" w:type="dxa"/>
              <w:right w:w="120" w:type="dxa"/>
            </w:tcMar>
            <w:vAlign w:val="center"/>
          </w:tcPr>
          <w:p w14:paraId="7E53012B">
            <w:pPr>
              <w:spacing w:before="20" w:after="20" w:line="320" w:lineRule="auto"/>
              <w:jc w:val="left"/>
            </w:pPr>
            <w:r>
              <w:rPr>
                <w:rFonts w:ascii="Arial" w:hAnsi="Arial" w:eastAsia="Arial" w:cs="Arial"/>
                <w:b w:val="0"/>
                <w:bCs w:val="0"/>
                <w:sz w:val="20"/>
                <w:szCs w:val="20"/>
              </w:rPr>
              <w:t>名义设计对称</w:t>
            </w:r>
          </w:p>
        </w:tc>
        <w:tc>
          <w:tcPr>
            <w:tcW w:w="3860" w:type="dxa"/>
            <w:tcMar>
              <w:top w:w="80" w:type="dxa"/>
              <w:left w:w="120" w:type="dxa"/>
              <w:bottom w:w="80" w:type="dxa"/>
              <w:right w:w="120" w:type="dxa"/>
            </w:tcMar>
            <w:vAlign w:val="center"/>
          </w:tcPr>
          <w:p w14:paraId="1889052A">
            <w:pPr>
              <w:spacing w:before="20" w:after="20" w:line="320" w:lineRule="auto"/>
              <w:jc w:val="left"/>
            </w:pPr>
            <w:r>
              <w:rPr>
                <w:rFonts w:ascii="Arial" w:hAnsi="Arial" w:eastAsia="Arial" w:cs="Arial"/>
                <w:b w:val="0"/>
                <w:bCs w:val="0"/>
                <w:sz w:val="20"/>
                <w:szCs w:val="20"/>
              </w:rPr>
              <w:t>实际上偏向「容忍更高」</w:t>
            </w:r>
          </w:p>
        </w:tc>
      </w:tr>
      <w:tr w14:paraId="60881E8D">
        <w:tc>
          <w:tcPr>
            <w:tcW w:w="1800" w:type="dxa"/>
            <w:tcMar>
              <w:top w:w="80" w:type="dxa"/>
              <w:left w:w="120" w:type="dxa"/>
              <w:bottom w:w="80" w:type="dxa"/>
              <w:right w:w="120" w:type="dxa"/>
            </w:tcMar>
            <w:vAlign w:val="center"/>
          </w:tcPr>
          <w:p w14:paraId="62637956">
            <w:pPr>
              <w:spacing w:before="20" w:after="20" w:line="320" w:lineRule="auto"/>
              <w:jc w:val="left"/>
            </w:pPr>
            <w:r>
              <w:rPr>
                <w:rFonts w:ascii="Arial" w:hAnsi="Arial" w:eastAsia="Arial" w:cs="Arial"/>
                <w:b w:val="0"/>
                <w:bCs w:val="0"/>
                <w:sz w:val="20"/>
                <w:szCs w:val="20"/>
              </w:rPr>
              <w:t>政策反射</w:t>
            </w:r>
          </w:p>
        </w:tc>
        <w:tc>
          <w:tcPr>
            <w:tcW w:w="3700" w:type="dxa"/>
            <w:tcMar>
              <w:top w:w="80" w:type="dxa"/>
              <w:left w:w="120" w:type="dxa"/>
              <w:bottom w:w="80" w:type="dxa"/>
              <w:right w:w="120" w:type="dxa"/>
            </w:tcMar>
            <w:vAlign w:val="center"/>
          </w:tcPr>
          <w:p w14:paraId="2F69A012">
            <w:pPr>
              <w:spacing w:before="20" w:after="20" w:line="320" w:lineRule="auto"/>
              <w:jc w:val="left"/>
            </w:pPr>
            <w:r>
              <w:rPr>
                <w:rFonts w:ascii="Arial" w:hAnsi="Arial" w:eastAsia="Arial" w:cs="Arial"/>
                <w:b w:val="0"/>
                <w:bCs w:val="0"/>
                <w:sz w:val="20"/>
                <w:szCs w:val="20"/>
              </w:rPr>
              <w:t>压低市场通胀预期</w:t>
            </w:r>
          </w:p>
        </w:tc>
        <w:tc>
          <w:tcPr>
            <w:tcW w:w="3860" w:type="dxa"/>
            <w:tcMar>
              <w:top w:w="80" w:type="dxa"/>
              <w:left w:w="120" w:type="dxa"/>
              <w:bottom w:w="80" w:type="dxa"/>
              <w:right w:w="120" w:type="dxa"/>
            </w:tcMar>
            <w:vAlign w:val="center"/>
          </w:tcPr>
          <w:p w14:paraId="7790100C">
            <w:pPr>
              <w:spacing w:before="20" w:after="20" w:line="320" w:lineRule="auto"/>
              <w:jc w:val="left"/>
            </w:pPr>
            <w:r>
              <w:rPr>
                <w:rFonts w:ascii="Arial" w:hAnsi="Arial" w:eastAsia="Arial" w:cs="Arial"/>
                <w:b w:val="0"/>
                <w:bCs w:val="0"/>
                <w:sz w:val="20"/>
                <w:szCs w:val="20"/>
              </w:rPr>
              <w:t>2022 后反向——Michigan 1Y 一度脱锚</w:t>
            </w:r>
          </w:p>
        </w:tc>
      </w:tr>
    </w:tbl>
    <w:p w14:paraId="765B5021">
      <w:pPr>
        <w:spacing w:before="120" w:after="0"/>
      </w:pPr>
    </w:p>
    <w:p w14:paraId="06958FB6">
      <w:pPr>
        <w:spacing w:before="60" w:after="60" w:line="360" w:lineRule="auto"/>
      </w:pPr>
      <w:r>
        <w:rPr>
          <w:rFonts w:ascii="Arial" w:hAnsi="Arial" w:eastAsia="Arial" w:cs="Arial"/>
          <w:sz w:val="22"/>
          <w:szCs w:val="22"/>
        </w:rPr>
        <w:t>信誉损失是非对称的：一次误判掏空的信用比三次正确决策累积的还多。这正是沃什的直接靶子。</w:t>
      </w:r>
    </w:p>
    <w:p w14:paraId="28F62FA9">
      <w:pPr>
        <w:pStyle w:val="3"/>
      </w:pPr>
      <w:r>
        <w:rPr>
          <w:rFonts w:ascii="Arial" w:hAnsi="Arial" w:eastAsia="Arial" w:cs="Arial"/>
          <w:b/>
          <w:bCs/>
          <w:sz w:val="26"/>
          <w:szCs w:val="26"/>
        </w:rPr>
        <w:t>2.6 沃什代表的下一棒（2026–?）：向稀缺回归</w:t>
      </w:r>
    </w:p>
    <w:p w14:paraId="136D7587">
      <w:pPr>
        <w:spacing w:before="60" w:after="60" w:line="360" w:lineRule="auto"/>
      </w:pPr>
      <w:r>
        <w:rPr>
          <w:rFonts w:ascii="Arial" w:hAnsi="Arial" w:eastAsia="Arial" w:cs="Arial"/>
          <w:sz w:val="22"/>
          <w:szCs w:val="22"/>
        </w:rPr>
        <w:t>沃什的框架在本质上是向沃尔克和早期格林斯潘的信誉本位回归，同时加入新时代变量：</w:t>
      </w:r>
    </w:p>
    <w:p w14:paraId="6390416E">
      <w:pPr>
        <w:pStyle w:val="16"/>
        <w:numPr>
          <w:ilvl w:val="0"/>
          <w:numId w:val="2"/>
        </w:numPr>
        <w:spacing w:before="40" w:after="40" w:line="340" w:lineRule="auto"/>
      </w:pPr>
      <w:r>
        <w:rPr>
          <w:rFonts w:ascii="Arial" w:hAnsi="Arial" w:eastAsia="Arial" w:cs="Arial"/>
          <w:sz w:val="22"/>
          <w:szCs w:val="22"/>
        </w:rPr>
        <w:t>向 1979–1983 学习：信誉是硬约束。</w:t>
      </w:r>
    </w:p>
    <w:p w14:paraId="0DDDFA63">
      <w:pPr>
        <w:pStyle w:val="16"/>
        <w:numPr>
          <w:ilvl w:val="0"/>
          <w:numId w:val="2"/>
        </w:numPr>
        <w:spacing w:before="40" w:after="40" w:line="340" w:lineRule="auto"/>
      </w:pPr>
      <w:r>
        <w:rPr>
          <w:rFonts w:ascii="Arial" w:hAnsi="Arial" w:eastAsia="Arial" w:cs="Arial"/>
          <w:sz w:val="22"/>
          <w:szCs w:val="22"/>
        </w:rPr>
        <w:t>向 2015–2018 学习：QT 可行但需制度配合。</w:t>
      </w:r>
    </w:p>
    <w:p w14:paraId="42360BCA">
      <w:pPr>
        <w:pStyle w:val="16"/>
        <w:numPr>
          <w:ilvl w:val="0"/>
          <w:numId w:val="2"/>
        </w:numPr>
        <w:spacing w:before="40" w:after="40" w:line="340" w:lineRule="auto"/>
      </w:pPr>
      <w:r>
        <w:rPr>
          <w:rFonts w:ascii="Arial" w:hAnsi="Arial" w:eastAsia="Arial" w:cs="Arial"/>
          <w:sz w:val="22"/>
          <w:szCs w:val="22"/>
        </w:rPr>
        <w:t>新增变量：AI 带来的结构性供给侧通缩、逆全球化下的美元职能收缩、Trump 政府的美国优先战略。</w:t>
      </w:r>
    </w:p>
    <w:p w14:paraId="48D240F8">
      <w:pPr>
        <w:spacing w:before="60" w:after="60" w:line="360" w:lineRule="auto"/>
      </w:pPr>
      <w:r>
        <w:rPr>
          <w:rFonts w:ascii="Arial" w:hAnsi="Arial" w:eastAsia="Arial" w:cs="Arial"/>
          <w:sz w:val="22"/>
          <w:szCs w:val="22"/>
        </w:rPr>
        <w:t>历史上每一次范式转换都伴随着 18–36 个月的资产再定价期。我们当前正站在这个周期的起点。</w:t>
      </w:r>
    </w:p>
    <w:p w14:paraId="2DC505F8">
      <w:pPr>
        <w:pStyle w:val="2"/>
        <w:pageBreakBefore/>
      </w:pPr>
      <w:r>
        <w:rPr>
          <w:rFonts w:ascii="Arial" w:hAnsi="Arial" w:eastAsia="Arial" w:cs="Arial"/>
          <w:b/>
          <w:bCs/>
          <w:sz w:val="32"/>
          <w:szCs w:val="32"/>
        </w:rPr>
        <w:t>3. 沃什框架的五大支柱（从听证会提炼）</w:t>
      </w:r>
    </w:p>
    <w:p w14:paraId="2D876786">
      <w:pPr>
        <w:pStyle w:val="3"/>
      </w:pPr>
      <w:r>
        <w:rPr>
          <w:rFonts w:ascii="Arial" w:hAnsi="Arial" w:eastAsia="Arial" w:cs="Arial"/>
          <w:b/>
          <w:bCs/>
          <w:sz w:val="26"/>
          <w:szCs w:val="26"/>
        </w:rPr>
        <w:t>3.1 支柱一：通胀框架重构——「更具代表性的指标」</w:t>
      </w:r>
    </w:p>
    <w:p w14:paraId="6D5C0D73">
      <w:pPr>
        <w:spacing w:before="120" w:after="120" w:line="360" w:lineRule="auto"/>
        <w:ind w:left="720" w:right="720"/>
      </w:pPr>
      <w:r>
        <w:rPr>
          <w:rFonts w:ascii="Arial" w:hAnsi="Arial" w:eastAsia="Arial" w:cs="Arial"/>
          <w:i/>
          <w:iCs/>
          <w:color w:val="444444"/>
          <w:sz w:val="22"/>
          <w:szCs w:val="22"/>
        </w:rPr>
        <w:t>沃什原话：「采用更具代表性的通胀指标、聚焦通胀的潜在趋势、弱化对点阵图的依赖。」</w:t>
      </w:r>
    </w:p>
    <w:p w14:paraId="33A8CCA3">
      <w:pPr>
        <w:spacing w:before="60" w:after="60" w:line="360" w:lineRule="auto"/>
      </w:pPr>
      <w:r>
        <w:rPr>
          <w:rFonts w:ascii="Arial" w:hAnsi="Arial" w:eastAsia="Arial" w:cs="Arial"/>
          <w:sz w:val="22"/>
          <w:szCs w:val="22"/>
        </w:rPr>
        <w:t>解读：</w:t>
      </w:r>
    </w:p>
    <w:p w14:paraId="5E8AE41F">
      <w:pPr>
        <w:pStyle w:val="16"/>
        <w:numPr>
          <w:ilvl w:val="0"/>
          <w:numId w:val="2"/>
        </w:numPr>
        <w:spacing w:before="40" w:after="40" w:line="340" w:lineRule="auto"/>
      </w:pPr>
      <w:r>
        <w:rPr>
          <w:rFonts w:ascii="Arial" w:hAnsi="Arial" w:eastAsia="Arial" w:cs="Arial"/>
          <w:sz w:val="22"/>
          <w:szCs w:val="22"/>
        </w:rPr>
        <w:t>多指标并用：PCE / Core PCE / CPI / Truflation 实时数据 / 修正后的住房通胀（扣除滞后）将被综合评估，不再被某一单一序列绑架。</w:t>
      </w:r>
    </w:p>
    <w:p w14:paraId="7A1E5B7D">
      <w:pPr>
        <w:pStyle w:val="16"/>
        <w:numPr>
          <w:ilvl w:val="0"/>
          <w:numId w:val="2"/>
        </w:numPr>
        <w:spacing w:before="40" w:after="40" w:line="340" w:lineRule="auto"/>
      </w:pPr>
      <w:r>
        <w:rPr>
          <w:rFonts w:ascii="Arial" w:hAnsi="Arial" w:eastAsia="Arial" w:cs="Arial"/>
          <w:sz w:val="22"/>
          <w:szCs w:val="22"/>
        </w:rPr>
        <w:t>「潜在趋势」（underlying trend）：更关注剔除供给冲击后的核心粘性成分——这与圆桌讨论中 InflationMonitor IPS 的 P 分项设计方向一致（Core CPI、Core PCE、服务 ex-shelter 权重提升）。</w:t>
      </w:r>
    </w:p>
    <w:p w14:paraId="5CD4E6F7">
      <w:pPr>
        <w:pStyle w:val="16"/>
        <w:numPr>
          <w:ilvl w:val="0"/>
          <w:numId w:val="2"/>
        </w:numPr>
        <w:spacing w:before="40" w:after="40" w:line="340" w:lineRule="auto"/>
      </w:pPr>
      <w:r>
        <w:rPr>
          <w:rFonts w:ascii="Arial" w:hAnsi="Arial" w:eastAsia="Arial" w:cs="Arial"/>
          <w:sz w:val="22"/>
          <w:szCs w:val="22"/>
        </w:rPr>
        <w:t>弱化点阵图：点阵图作为「委员预期中位数」，近两年多次成为市场误导工具（2022 年 3 月点阵图全年预期 7 次加息，实际 10 次；2024 年 3 月预期 3 次降息，实际 1 次）。弱化点阵图意味着强化政策陈述本身的分量，降低前瞻指引的成本。</w:t>
      </w:r>
    </w:p>
    <w:p w14:paraId="1F69311C">
      <w:pPr>
        <w:pStyle w:val="3"/>
      </w:pPr>
      <w:r>
        <w:rPr>
          <w:rFonts w:ascii="Arial" w:hAnsi="Arial" w:eastAsia="Arial" w:cs="Arial"/>
          <w:b/>
          <w:bCs/>
          <w:sz w:val="26"/>
          <w:szCs w:val="26"/>
        </w:rPr>
        <w:t>3.2 支柱二：信誉重建——「行动而非言辞」</w:t>
      </w:r>
    </w:p>
    <w:p w14:paraId="08DF27DB">
      <w:pPr>
        <w:spacing w:before="120" w:after="120" w:line="360" w:lineRule="auto"/>
        <w:ind w:left="720" w:right="720"/>
      </w:pPr>
      <w:r>
        <w:rPr>
          <w:rFonts w:ascii="Arial" w:hAnsi="Arial" w:eastAsia="Arial" w:cs="Arial"/>
          <w:i/>
          <w:iCs/>
          <w:color w:val="444444"/>
          <w:sz w:val="22"/>
          <w:szCs w:val="22"/>
        </w:rPr>
        <w:t>沃什原话：「信誉必须通过实际行动来建立」。</w:t>
      </w:r>
    </w:p>
    <w:p w14:paraId="2155DEB7">
      <w:pPr>
        <w:spacing w:before="60" w:after="60" w:line="360" w:lineRule="auto"/>
      </w:pPr>
      <w:r>
        <w:rPr>
          <w:rFonts w:ascii="Arial" w:hAnsi="Arial" w:eastAsia="Arial" w:cs="Arial"/>
          <w:sz w:val="22"/>
          <w:szCs w:val="22"/>
        </w:rPr>
        <w:t>解读：这是对 AIT「灵活性」话术的直接拒斥。AIT 允许在不同语境下对「平均通胀」给出不同解读——这种弹性在 2021 年成为宽松延续的话术掩护。沃什的逻辑是：名义目标越清晰，市场的自我调节越有效；名义目标越灵活，政策越依赖委员会的主观判断，波动越大。</w:t>
      </w:r>
    </w:p>
    <w:p w14:paraId="23E32E7B">
      <w:pPr>
        <w:pStyle w:val="3"/>
      </w:pPr>
      <w:r>
        <w:rPr>
          <w:rFonts w:ascii="Arial" w:hAnsi="Arial" w:eastAsia="Arial" w:cs="Arial"/>
          <w:b/>
          <w:bCs/>
          <w:sz w:val="26"/>
          <w:szCs w:val="26"/>
        </w:rPr>
        <w:t>3.3 支柱三：QT 作为制度常态——资产负债表下降路径</w:t>
      </w:r>
    </w:p>
    <w:p w14:paraId="2B9CAD2F">
      <w:pPr>
        <w:spacing w:before="60" w:after="60" w:line="360" w:lineRule="auto"/>
      </w:pPr>
      <w:r>
        <w:rPr>
          <w:rFonts w:ascii="Arial" w:hAnsi="Arial" w:eastAsia="Arial" w:cs="Arial"/>
          <w:sz w:val="22"/>
          <w:szCs w:val="22"/>
        </w:rPr>
        <w:t>沃什是听证会上最具操作性的主张：</w:t>
      </w:r>
    </w:p>
    <w:tbl>
      <w:tblPr>
        <w:tblStyle w:val="11"/>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600"/>
        <w:gridCol w:w="4100"/>
        <w:gridCol w:w="3660"/>
      </w:tblGrid>
      <w:tr w14:paraId="1F20729F">
        <w:trPr>
          <w:tblHeader/>
        </w:trPr>
        <w:tc>
          <w:tcPr>
            <w:tcW w:w="1600" w:type="dxa"/>
            <w:shd w:val="clear" w:color="auto" w:fill="1F3864"/>
            <w:tcMar>
              <w:top w:w="80" w:type="dxa"/>
              <w:left w:w="120" w:type="dxa"/>
              <w:bottom w:w="80" w:type="dxa"/>
              <w:right w:w="120" w:type="dxa"/>
            </w:tcMar>
            <w:vAlign w:val="center"/>
          </w:tcPr>
          <w:p w14:paraId="22AC8B69">
            <w:pPr>
              <w:spacing w:before="20" w:after="20" w:line="320" w:lineRule="auto"/>
              <w:jc w:val="center"/>
            </w:pPr>
            <w:r>
              <w:rPr>
                <w:rFonts w:ascii="Arial" w:hAnsi="Arial" w:eastAsia="Arial" w:cs="Arial"/>
                <w:b/>
                <w:bCs/>
                <w:color w:val="FFFFFF"/>
                <w:sz w:val="20"/>
                <w:szCs w:val="20"/>
              </w:rPr>
              <w:t>维度</w:t>
            </w:r>
          </w:p>
        </w:tc>
        <w:tc>
          <w:tcPr>
            <w:tcW w:w="4100" w:type="dxa"/>
            <w:shd w:val="clear" w:color="auto" w:fill="1F3864"/>
            <w:tcMar>
              <w:top w:w="80" w:type="dxa"/>
              <w:left w:w="120" w:type="dxa"/>
              <w:bottom w:w="80" w:type="dxa"/>
              <w:right w:w="120" w:type="dxa"/>
            </w:tcMar>
            <w:vAlign w:val="center"/>
          </w:tcPr>
          <w:p w14:paraId="76BE1133">
            <w:pPr>
              <w:spacing w:before="20" w:after="20" w:line="320" w:lineRule="auto"/>
              <w:jc w:val="center"/>
            </w:pPr>
            <w:r>
              <w:rPr>
                <w:rFonts w:ascii="Arial" w:hAnsi="Arial" w:eastAsia="Arial" w:cs="Arial"/>
                <w:b/>
                <w:bCs/>
                <w:color w:val="FFFFFF"/>
                <w:sz w:val="20"/>
                <w:szCs w:val="20"/>
              </w:rPr>
              <w:t>沃什立场</w:t>
            </w:r>
          </w:p>
        </w:tc>
        <w:tc>
          <w:tcPr>
            <w:tcW w:w="3660" w:type="dxa"/>
            <w:shd w:val="clear" w:color="auto" w:fill="1F3864"/>
            <w:tcMar>
              <w:top w:w="80" w:type="dxa"/>
              <w:left w:w="120" w:type="dxa"/>
              <w:bottom w:w="80" w:type="dxa"/>
              <w:right w:w="120" w:type="dxa"/>
            </w:tcMar>
            <w:vAlign w:val="center"/>
          </w:tcPr>
          <w:p w14:paraId="73B63265">
            <w:pPr>
              <w:spacing w:before="20" w:after="20" w:line="320" w:lineRule="auto"/>
              <w:jc w:val="center"/>
            </w:pPr>
            <w:r>
              <w:rPr>
                <w:rFonts w:ascii="Arial" w:hAnsi="Arial" w:eastAsia="Arial" w:cs="Arial"/>
                <w:b/>
                <w:bCs/>
                <w:color w:val="FFFFFF"/>
                <w:sz w:val="20"/>
                <w:szCs w:val="20"/>
              </w:rPr>
              <w:t>操作含义</w:t>
            </w:r>
          </w:p>
        </w:tc>
      </w:tr>
      <w:tr w14:paraId="4BE0706C">
        <w:tc>
          <w:tcPr>
            <w:tcW w:w="1600" w:type="dxa"/>
            <w:tcMar>
              <w:top w:w="80" w:type="dxa"/>
              <w:left w:w="120" w:type="dxa"/>
              <w:bottom w:w="80" w:type="dxa"/>
              <w:right w:w="120" w:type="dxa"/>
            </w:tcMar>
            <w:vAlign w:val="center"/>
          </w:tcPr>
          <w:p w14:paraId="53F1249B">
            <w:pPr>
              <w:spacing w:before="20" w:after="20" w:line="320" w:lineRule="auto"/>
              <w:jc w:val="left"/>
            </w:pPr>
            <w:r>
              <w:rPr>
                <w:rFonts w:ascii="Arial" w:hAnsi="Arial" w:eastAsia="Arial" w:cs="Arial"/>
                <w:b w:val="0"/>
                <w:bCs w:val="0"/>
                <w:sz w:val="20"/>
                <w:szCs w:val="20"/>
              </w:rPr>
              <w:t>负债端</w:t>
            </w:r>
          </w:p>
        </w:tc>
        <w:tc>
          <w:tcPr>
            <w:tcW w:w="4100" w:type="dxa"/>
            <w:tcMar>
              <w:top w:w="80" w:type="dxa"/>
              <w:left w:w="120" w:type="dxa"/>
              <w:bottom w:w="80" w:type="dxa"/>
              <w:right w:w="120" w:type="dxa"/>
            </w:tcMar>
            <w:vAlign w:val="center"/>
          </w:tcPr>
          <w:p w14:paraId="1DC6DA48">
            <w:pPr>
              <w:spacing w:before="20" w:after="20" w:line="320" w:lineRule="auto"/>
              <w:jc w:val="left"/>
            </w:pPr>
            <w:r>
              <w:rPr>
                <w:rFonts w:ascii="Arial" w:hAnsi="Arial" w:eastAsia="Arial" w:cs="Arial"/>
                <w:b w:val="0"/>
                <w:bCs w:val="0"/>
                <w:sz w:val="20"/>
                <w:szCs w:val="20"/>
              </w:rPr>
              <w:t>压缩准备金规模</w:t>
            </w:r>
          </w:p>
        </w:tc>
        <w:tc>
          <w:tcPr>
            <w:tcW w:w="3660" w:type="dxa"/>
            <w:tcMar>
              <w:top w:w="80" w:type="dxa"/>
              <w:left w:w="120" w:type="dxa"/>
              <w:bottom w:w="80" w:type="dxa"/>
              <w:right w:w="120" w:type="dxa"/>
            </w:tcMar>
            <w:vAlign w:val="center"/>
          </w:tcPr>
          <w:p w14:paraId="12A9DE14">
            <w:pPr>
              <w:spacing w:before="20" w:after="20" w:line="320" w:lineRule="auto"/>
              <w:jc w:val="left"/>
            </w:pPr>
            <w:r>
              <w:rPr>
                <w:rFonts w:ascii="Arial" w:hAnsi="Arial" w:eastAsia="Arial" w:cs="Arial"/>
                <w:b w:val="0"/>
                <w:bCs w:val="0"/>
                <w:sz w:val="20"/>
                <w:szCs w:val="20"/>
              </w:rPr>
              <w:t>长期准备金 / GDP 比例下降</w:t>
            </w:r>
          </w:p>
        </w:tc>
      </w:tr>
      <w:tr w14:paraId="756C58FE">
        <w:tc>
          <w:tcPr>
            <w:tcW w:w="1600" w:type="dxa"/>
            <w:tcMar>
              <w:top w:w="80" w:type="dxa"/>
              <w:left w:w="120" w:type="dxa"/>
              <w:bottom w:w="80" w:type="dxa"/>
              <w:right w:w="120" w:type="dxa"/>
            </w:tcMar>
            <w:vAlign w:val="center"/>
          </w:tcPr>
          <w:p w14:paraId="65F683EA">
            <w:pPr>
              <w:spacing w:before="20" w:after="20" w:line="320" w:lineRule="auto"/>
              <w:jc w:val="left"/>
            </w:pPr>
            <w:r>
              <w:rPr>
                <w:rFonts w:ascii="Arial" w:hAnsi="Arial" w:eastAsia="Arial" w:cs="Arial"/>
                <w:b w:val="0"/>
                <w:bCs w:val="0"/>
                <w:sz w:val="20"/>
                <w:szCs w:val="20"/>
              </w:rPr>
              <w:t>资产端</w:t>
            </w:r>
          </w:p>
        </w:tc>
        <w:tc>
          <w:tcPr>
            <w:tcW w:w="4100" w:type="dxa"/>
            <w:tcMar>
              <w:top w:w="80" w:type="dxa"/>
              <w:left w:w="120" w:type="dxa"/>
              <w:bottom w:w="80" w:type="dxa"/>
              <w:right w:w="120" w:type="dxa"/>
            </w:tcMar>
            <w:vAlign w:val="center"/>
          </w:tcPr>
          <w:p w14:paraId="7204BBB2">
            <w:pPr>
              <w:spacing w:before="20" w:after="20" w:line="320" w:lineRule="auto"/>
              <w:jc w:val="left"/>
            </w:pPr>
            <w:r>
              <w:rPr>
                <w:rFonts w:ascii="Arial" w:hAnsi="Arial" w:eastAsia="Arial" w:cs="Arial"/>
                <w:b w:val="0"/>
                <w:bCs w:val="0"/>
                <w:sz w:val="20"/>
                <w:szCs w:val="20"/>
              </w:rPr>
              <w:t>优先削减 MBS（当前持仓 ~2 万亿）</w:t>
            </w:r>
          </w:p>
        </w:tc>
        <w:tc>
          <w:tcPr>
            <w:tcW w:w="3660" w:type="dxa"/>
            <w:tcMar>
              <w:top w:w="80" w:type="dxa"/>
              <w:left w:w="120" w:type="dxa"/>
              <w:bottom w:w="80" w:type="dxa"/>
              <w:right w:w="120" w:type="dxa"/>
            </w:tcMar>
            <w:vAlign w:val="center"/>
          </w:tcPr>
          <w:p w14:paraId="1B1C2395">
            <w:pPr>
              <w:spacing w:before="20" w:after="20" w:line="320" w:lineRule="auto"/>
              <w:jc w:val="left"/>
            </w:pPr>
            <w:r>
              <w:rPr>
                <w:rFonts w:ascii="Arial" w:hAnsi="Arial" w:eastAsia="Arial" w:cs="Arial"/>
                <w:b w:val="0"/>
                <w:bCs w:val="0"/>
                <w:sz w:val="20"/>
                <w:szCs w:val="20"/>
              </w:rPr>
              <w:t>MBS 占比从 31% 逐步归零</w:t>
            </w:r>
          </w:p>
        </w:tc>
      </w:tr>
      <w:tr w14:paraId="196E43E3">
        <w:tc>
          <w:tcPr>
            <w:tcW w:w="1600" w:type="dxa"/>
            <w:tcMar>
              <w:top w:w="80" w:type="dxa"/>
              <w:left w:w="120" w:type="dxa"/>
              <w:bottom w:w="80" w:type="dxa"/>
              <w:right w:w="120" w:type="dxa"/>
            </w:tcMar>
            <w:vAlign w:val="center"/>
          </w:tcPr>
          <w:p w14:paraId="6A700D8C">
            <w:pPr>
              <w:spacing w:before="20" w:after="20" w:line="320" w:lineRule="auto"/>
              <w:jc w:val="left"/>
            </w:pPr>
            <w:r>
              <w:rPr>
                <w:rFonts w:ascii="Arial" w:hAnsi="Arial" w:eastAsia="Arial" w:cs="Arial"/>
                <w:b w:val="0"/>
                <w:bCs w:val="0"/>
                <w:sz w:val="20"/>
                <w:szCs w:val="20"/>
              </w:rPr>
              <w:t>节奏</w:t>
            </w:r>
          </w:p>
        </w:tc>
        <w:tc>
          <w:tcPr>
            <w:tcW w:w="4100" w:type="dxa"/>
            <w:tcMar>
              <w:top w:w="80" w:type="dxa"/>
              <w:left w:w="120" w:type="dxa"/>
              <w:bottom w:w="80" w:type="dxa"/>
              <w:right w:w="120" w:type="dxa"/>
            </w:tcMar>
            <w:vAlign w:val="center"/>
          </w:tcPr>
          <w:p w14:paraId="363CCB02">
            <w:pPr>
              <w:spacing w:before="20" w:after="20" w:line="320" w:lineRule="auto"/>
              <w:jc w:val="left"/>
            </w:pPr>
            <w:r>
              <w:rPr>
                <w:rFonts w:ascii="Arial" w:hAnsi="Arial" w:eastAsia="Arial" w:cs="Arial"/>
                <w:b w:val="0"/>
                <w:bCs w:val="0"/>
                <w:sz w:val="20"/>
                <w:szCs w:val="20"/>
              </w:rPr>
              <w:t>渐进、可预期</w:t>
            </w:r>
          </w:p>
        </w:tc>
        <w:tc>
          <w:tcPr>
            <w:tcW w:w="3660" w:type="dxa"/>
            <w:tcMar>
              <w:top w:w="80" w:type="dxa"/>
              <w:left w:w="120" w:type="dxa"/>
              <w:bottom w:w="80" w:type="dxa"/>
              <w:right w:w="120" w:type="dxa"/>
            </w:tcMar>
            <w:vAlign w:val="center"/>
          </w:tcPr>
          <w:p w14:paraId="1207B80F">
            <w:pPr>
              <w:spacing w:before="20" w:after="20" w:line="320" w:lineRule="auto"/>
              <w:jc w:val="left"/>
            </w:pPr>
            <w:r>
              <w:rPr>
                <w:rFonts w:ascii="Arial" w:hAnsi="Arial" w:eastAsia="Arial" w:cs="Arial"/>
                <w:b w:val="0"/>
                <w:bCs w:val="0"/>
                <w:sz w:val="20"/>
                <w:szCs w:val="20"/>
              </w:rPr>
              <w:t>每月缩减规模分阶段提速</w:t>
            </w:r>
          </w:p>
        </w:tc>
      </w:tr>
      <w:tr w14:paraId="34CFA63F">
        <w:tc>
          <w:tcPr>
            <w:tcW w:w="1600" w:type="dxa"/>
            <w:tcMar>
              <w:top w:w="80" w:type="dxa"/>
              <w:left w:w="120" w:type="dxa"/>
              <w:bottom w:w="80" w:type="dxa"/>
              <w:right w:w="120" w:type="dxa"/>
            </w:tcMar>
            <w:vAlign w:val="center"/>
          </w:tcPr>
          <w:p w14:paraId="1C73F57F">
            <w:pPr>
              <w:spacing w:before="20" w:after="20" w:line="320" w:lineRule="auto"/>
              <w:jc w:val="left"/>
            </w:pPr>
            <w:r>
              <w:rPr>
                <w:rFonts w:ascii="Arial" w:hAnsi="Arial" w:eastAsia="Arial" w:cs="Arial"/>
                <w:b w:val="0"/>
                <w:bCs w:val="0"/>
                <w:sz w:val="20"/>
                <w:szCs w:val="20"/>
              </w:rPr>
              <w:t>制度配合</w:t>
            </w:r>
          </w:p>
        </w:tc>
        <w:tc>
          <w:tcPr>
            <w:tcW w:w="4100" w:type="dxa"/>
            <w:tcMar>
              <w:top w:w="80" w:type="dxa"/>
              <w:left w:w="120" w:type="dxa"/>
              <w:bottom w:w="80" w:type="dxa"/>
              <w:right w:w="120" w:type="dxa"/>
            </w:tcMar>
            <w:vAlign w:val="center"/>
          </w:tcPr>
          <w:p w14:paraId="46ECC7B6">
            <w:pPr>
              <w:spacing w:before="20" w:after="20" w:line="320" w:lineRule="auto"/>
              <w:jc w:val="left"/>
            </w:pPr>
            <w:r>
              <w:rPr>
                <w:rFonts w:ascii="Arial" w:hAnsi="Arial" w:eastAsia="Arial" w:cs="Arial"/>
                <w:b w:val="0"/>
                <w:bCs w:val="0"/>
                <w:sz w:val="20"/>
                <w:szCs w:val="20"/>
              </w:rPr>
              <w:t>eSLR 优化 + 回购工具精细化 + 国债发行可预期</w:t>
            </w:r>
          </w:p>
        </w:tc>
        <w:tc>
          <w:tcPr>
            <w:tcW w:w="3660" w:type="dxa"/>
            <w:tcMar>
              <w:top w:w="80" w:type="dxa"/>
              <w:left w:w="120" w:type="dxa"/>
              <w:bottom w:w="80" w:type="dxa"/>
              <w:right w:w="120" w:type="dxa"/>
            </w:tcMar>
            <w:vAlign w:val="center"/>
          </w:tcPr>
          <w:p w14:paraId="04A1558B">
            <w:pPr>
              <w:spacing w:before="20" w:after="20" w:line="320" w:lineRule="auto"/>
              <w:jc w:val="left"/>
            </w:pPr>
            <w:r>
              <w:rPr>
                <w:rFonts w:ascii="Arial" w:hAnsi="Arial" w:eastAsia="Arial" w:cs="Arial"/>
                <w:b w:val="0"/>
                <w:bCs w:val="0"/>
                <w:sz w:val="20"/>
                <w:szCs w:val="20"/>
              </w:rPr>
              <w:t>降低金融市场扰动</w:t>
            </w:r>
          </w:p>
        </w:tc>
      </w:tr>
      <w:tr w14:paraId="3552BE34">
        <w:tc>
          <w:tcPr>
            <w:tcW w:w="1600" w:type="dxa"/>
            <w:tcMar>
              <w:top w:w="80" w:type="dxa"/>
              <w:left w:w="120" w:type="dxa"/>
              <w:bottom w:w="80" w:type="dxa"/>
              <w:right w:w="120" w:type="dxa"/>
            </w:tcMar>
            <w:vAlign w:val="center"/>
          </w:tcPr>
          <w:p w14:paraId="66C1147D">
            <w:pPr>
              <w:spacing w:before="20" w:after="20" w:line="320" w:lineRule="auto"/>
              <w:jc w:val="left"/>
            </w:pPr>
            <w:r>
              <w:rPr>
                <w:rFonts w:ascii="Arial" w:hAnsi="Arial" w:eastAsia="Arial" w:cs="Arial"/>
                <w:b w:val="0"/>
                <w:bCs w:val="0"/>
                <w:sz w:val="20"/>
                <w:szCs w:val="20"/>
              </w:rPr>
              <w:t>与财政协同</w:t>
            </w:r>
          </w:p>
        </w:tc>
        <w:tc>
          <w:tcPr>
            <w:tcW w:w="4100" w:type="dxa"/>
            <w:tcMar>
              <w:top w:w="80" w:type="dxa"/>
              <w:left w:w="120" w:type="dxa"/>
              <w:bottom w:w="80" w:type="dxa"/>
              <w:right w:w="120" w:type="dxa"/>
            </w:tcMar>
            <w:vAlign w:val="center"/>
          </w:tcPr>
          <w:p w14:paraId="04FBAFAE">
            <w:pPr>
              <w:spacing w:before="20" w:after="20" w:line="320" w:lineRule="auto"/>
              <w:jc w:val="left"/>
            </w:pPr>
            <w:r>
              <w:rPr>
                <w:rFonts w:ascii="Arial" w:hAnsi="Arial" w:eastAsia="Arial" w:cs="Arial"/>
                <w:b w:val="0"/>
                <w:bCs w:val="0"/>
                <w:sz w:val="20"/>
                <w:szCs w:val="20"/>
              </w:rPr>
              <w:t>与财政部协调路径，但不妥协于财政支配</w:t>
            </w:r>
          </w:p>
        </w:tc>
        <w:tc>
          <w:tcPr>
            <w:tcW w:w="3660" w:type="dxa"/>
            <w:tcMar>
              <w:top w:w="80" w:type="dxa"/>
              <w:left w:w="120" w:type="dxa"/>
              <w:bottom w:w="80" w:type="dxa"/>
              <w:right w:w="120" w:type="dxa"/>
            </w:tcMar>
            <w:vAlign w:val="center"/>
          </w:tcPr>
          <w:p w14:paraId="072DD2B4">
            <w:pPr>
              <w:spacing w:before="20" w:after="20" w:line="320" w:lineRule="auto"/>
              <w:jc w:val="left"/>
            </w:pPr>
            <w:r>
              <w:rPr>
                <w:rFonts w:ascii="Arial" w:hAnsi="Arial" w:eastAsia="Arial" w:cs="Arial"/>
                <w:b w:val="0"/>
                <w:bCs w:val="0"/>
                <w:sz w:val="20"/>
                <w:szCs w:val="20"/>
              </w:rPr>
              <w:t>间接倒逼财政纪律</w:t>
            </w:r>
          </w:p>
        </w:tc>
      </w:tr>
      <w:tr w14:paraId="1506741B">
        <w:tc>
          <w:tcPr>
            <w:tcW w:w="1600" w:type="dxa"/>
            <w:tcMar>
              <w:top w:w="80" w:type="dxa"/>
              <w:left w:w="120" w:type="dxa"/>
              <w:bottom w:w="80" w:type="dxa"/>
              <w:right w:w="120" w:type="dxa"/>
            </w:tcMar>
            <w:vAlign w:val="center"/>
          </w:tcPr>
          <w:p w14:paraId="28EE2110">
            <w:pPr>
              <w:spacing w:before="20" w:after="20" w:line="320" w:lineRule="auto"/>
              <w:jc w:val="left"/>
            </w:pPr>
            <w:r>
              <w:rPr>
                <w:rFonts w:ascii="Arial" w:hAnsi="Arial" w:eastAsia="Arial" w:cs="Arial"/>
                <w:b w:val="0"/>
                <w:bCs w:val="0"/>
                <w:sz w:val="20"/>
                <w:szCs w:val="20"/>
              </w:rPr>
              <w:t>启动时点</w:t>
            </w:r>
          </w:p>
        </w:tc>
        <w:tc>
          <w:tcPr>
            <w:tcW w:w="4100" w:type="dxa"/>
            <w:tcMar>
              <w:top w:w="80" w:type="dxa"/>
              <w:left w:w="120" w:type="dxa"/>
              <w:bottom w:w="80" w:type="dxa"/>
              <w:right w:w="120" w:type="dxa"/>
            </w:tcMar>
            <w:vAlign w:val="center"/>
          </w:tcPr>
          <w:p w14:paraId="0B09469F">
            <w:pPr>
              <w:spacing w:before="20" w:after="20" w:line="320" w:lineRule="auto"/>
              <w:jc w:val="left"/>
            </w:pPr>
            <w:r>
              <w:rPr>
                <w:rFonts w:ascii="Arial" w:hAnsi="Arial" w:eastAsia="Arial" w:cs="Arial"/>
                <w:b w:val="0"/>
                <w:bCs w:val="0"/>
                <w:sz w:val="20"/>
                <w:szCs w:val="20"/>
              </w:rPr>
              <w:t>预计最快 2027 年初</w:t>
            </w:r>
          </w:p>
        </w:tc>
        <w:tc>
          <w:tcPr>
            <w:tcW w:w="3660" w:type="dxa"/>
            <w:tcMar>
              <w:top w:w="80" w:type="dxa"/>
              <w:left w:w="120" w:type="dxa"/>
              <w:bottom w:w="80" w:type="dxa"/>
              <w:right w:w="120" w:type="dxa"/>
            </w:tcMar>
            <w:vAlign w:val="center"/>
          </w:tcPr>
          <w:p w14:paraId="0F003EE7">
            <w:pPr>
              <w:spacing w:before="20" w:after="20" w:line="320" w:lineRule="auto"/>
              <w:jc w:val="left"/>
            </w:pPr>
            <w:r>
              <w:rPr>
                <w:rFonts w:ascii="Arial" w:hAnsi="Arial" w:eastAsia="Arial" w:cs="Arial"/>
                <w:b w:val="0"/>
                <w:bCs w:val="0"/>
                <w:sz w:val="20"/>
                <w:szCs w:val="20"/>
              </w:rPr>
              <w:t>给市场充分预期窗口</w:t>
            </w:r>
          </w:p>
        </w:tc>
      </w:tr>
    </w:tbl>
    <w:p w14:paraId="22B8E442">
      <w:pPr>
        <w:spacing w:before="120" w:after="0"/>
      </w:pPr>
    </w:p>
    <w:p w14:paraId="5A8193CC">
      <w:pPr>
        <w:spacing w:before="60" w:after="60" w:line="360" w:lineRule="auto"/>
      </w:pPr>
      <w:r>
        <w:rPr>
          <w:rFonts w:ascii="Arial" w:hAnsi="Arial" w:eastAsia="Arial" w:cs="Arial"/>
          <w:b/>
          <w:bCs/>
          <w:sz w:val="22"/>
          <w:szCs w:val="22"/>
        </w:rPr>
        <w:t>关键细节：</w:t>
      </w:r>
      <w:r>
        <w:rPr>
          <w:rFonts w:ascii="Arial" w:hAnsi="Arial" w:eastAsia="Arial" w:cs="Arial"/>
          <w:sz w:val="22"/>
          <w:szCs w:val="22"/>
        </w:rPr>
        <w:t>沃什认为「</w:t>
      </w:r>
      <w:r>
        <w:rPr>
          <w:rFonts w:ascii="Arial" w:hAnsi="Arial" w:eastAsia="Arial" w:cs="Arial"/>
          <w:i/>
          <w:iCs/>
          <w:sz w:val="22"/>
          <w:szCs w:val="22"/>
        </w:rPr>
        <w:t>资产负债表的扩张更多推升了金融资产价格，使资产持有者受益，却未能惠及普通民众</w:t>
      </w:r>
      <w:r>
        <w:rPr>
          <w:rFonts w:ascii="Arial" w:hAnsi="Arial" w:eastAsia="Arial" w:cs="Arial"/>
          <w:sz w:val="22"/>
          <w:szCs w:val="22"/>
        </w:rPr>
        <w:t>」。这一论断是沃什对 Fed Put 的正面否定——QE 的利益分配偏向资本持有者，是美联储信誉问题的经济基础而非技术基础。</w:t>
      </w:r>
    </w:p>
    <w:p w14:paraId="607D163D">
      <w:pPr>
        <w:pStyle w:val="3"/>
      </w:pPr>
      <w:r>
        <w:rPr>
          <w:rFonts w:ascii="Arial" w:hAnsi="Arial" w:eastAsia="Arial" w:cs="Arial"/>
          <w:b/>
          <w:bCs/>
          <w:sz w:val="26"/>
          <w:szCs w:val="26"/>
        </w:rPr>
        <w:t>3.4 支柱四：QE 降级——从常规工具到零利率下限应急</w:t>
      </w:r>
    </w:p>
    <w:p w14:paraId="1E988894">
      <w:pPr>
        <w:spacing w:before="120" w:after="120" w:line="360" w:lineRule="auto"/>
        <w:ind w:left="720" w:right="720"/>
      </w:pPr>
      <w:r>
        <w:rPr>
          <w:rFonts w:ascii="Arial" w:hAnsi="Arial" w:eastAsia="Arial" w:cs="Arial"/>
          <w:i/>
          <w:iCs/>
          <w:color w:val="444444"/>
          <w:sz w:val="22"/>
          <w:szCs w:val="22"/>
        </w:rPr>
        <w:t>沃什原话：「QE 应仅作为零利率下限时的非常规工具，而不应成为常规政策手段。」</w:t>
      </w:r>
    </w:p>
    <w:p w14:paraId="39CDC264">
      <w:pPr>
        <w:spacing w:before="60" w:after="60" w:line="360" w:lineRule="auto"/>
      </w:pPr>
      <w:r>
        <w:rPr>
          <w:rFonts w:ascii="Arial" w:hAnsi="Arial" w:eastAsia="Arial" w:cs="Arial"/>
          <w:sz w:val="22"/>
          <w:szCs w:val="22"/>
        </w:rPr>
        <w:t>解读：这是沃什框架中对市场定价最具破坏性的一条。2009 年以来，QE 不仅是危机工具，更成为市场「Fed Put」预期的基础——每次风险事件，市场假设 Fed 会通过扩表救市。这一预期在资产定价中体现为：</w:t>
      </w:r>
    </w:p>
    <w:p w14:paraId="69B3503A">
      <w:pPr>
        <w:pStyle w:val="16"/>
        <w:numPr>
          <w:ilvl w:val="0"/>
          <w:numId w:val="2"/>
        </w:numPr>
        <w:spacing w:before="40" w:after="40" w:line="340" w:lineRule="auto"/>
      </w:pPr>
      <w:r>
        <w:rPr>
          <w:rFonts w:ascii="Arial" w:hAnsi="Arial" w:eastAsia="Arial" w:cs="Arial"/>
          <w:sz w:val="22"/>
          <w:szCs w:val="22"/>
        </w:rPr>
        <w:t>权益估值的「下行保险」：SPX 10 年滚动 Shiller PE 估值中枢从 20 抬升至 32，其中包含 Fed Put 贴现。</w:t>
      </w:r>
    </w:p>
    <w:p w14:paraId="62921DF6">
      <w:pPr>
        <w:pStyle w:val="16"/>
        <w:numPr>
          <w:ilvl w:val="0"/>
          <w:numId w:val="2"/>
        </w:numPr>
        <w:spacing w:before="40" w:after="40" w:line="340" w:lineRule="auto"/>
      </w:pPr>
      <w:r>
        <w:rPr>
          <w:rFonts w:ascii="Arial" w:hAnsi="Arial" w:eastAsia="Arial" w:cs="Arial"/>
          <w:sz w:val="22"/>
          <w:szCs w:val="22"/>
        </w:rPr>
        <w:t>信用利差的「封顶」：高收益债利差在每次冲击后快速回落，被 QE 预期压制。</w:t>
      </w:r>
    </w:p>
    <w:p w14:paraId="1AD5A265">
      <w:pPr>
        <w:pStyle w:val="16"/>
        <w:numPr>
          <w:ilvl w:val="0"/>
          <w:numId w:val="2"/>
        </w:numPr>
        <w:spacing w:before="40" w:after="40" w:line="340" w:lineRule="auto"/>
      </w:pPr>
      <w:r>
        <w:rPr>
          <w:rFonts w:ascii="Arial" w:hAnsi="Arial" w:eastAsia="Arial" w:cs="Arial"/>
          <w:sz w:val="22"/>
          <w:szCs w:val="22"/>
        </w:rPr>
        <w:t>美元贬值预期：每轮 QE 启动，DXY 中枢下移 5–10%。</w:t>
      </w:r>
    </w:p>
    <w:p w14:paraId="16E0615B">
      <w:pPr>
        <w:spacing w:before="60" w:after="60" w:line="360" w:lineRule="auto"/>
      </w:pPr>
      <w:r>
        <w:rPr>
          <w:rFonts w:ascii="Arial" w:hAnsi="Arial" w:eastAsia="Arial" w:cs="Arial"/>
          <w:sz w:val="22"/>
          <w:szCs w:val="22"/>
        </w:rPr>
        <w:t>沃什框架剥离 QE 的常态期权属性，等于要求市场重新定价这三条结构性支撑。</w:t>
      </w:r>
    </w:p>
    <w:p w14:paraId="7B7EF1C9">
      <w:pPr>
        <w:pStyle w:val="3"/>
      </w:pPr>
      <w:r>
        <w:rPr>
          <w:rFonts w:ascii="Arial" w:hAnsi="Arial" w:eastAsia="Arial" w:cs="Arial"/>
          <w:b/>
          <w:bCs/>
          <w:sz w:val="26"/>
          <w:szCs w:val="26"/>
        </w:rPr>
        <w:t>3.5 支柱五：货币主权回归——逆全球化下的角色转换</w:t>
      </w:r>
    </w:p>
    <w:p w14:paraId="1B0834DD">
      <w:pPr>
        <w:spacing w:before="60" w:after="60" w:line="360" w:lineRule="auto"/>
      </w:pPr>
      <w:r>
        <w:rPr>
          <w:rFonts w:hint="eastAsia" w:eastAsia="宋体" w:cs="Arial"/>
          <w:sz w:val="22"/>
          <w:szCs w:val="22"/>
          <w:lang w:val="en-US" w:eastAsia="zh-CN"/>
        </w:rPr>
        <w:t>中金近期发文对此给出</w:t>
      </w:r>
      <w:r>
        <w:rPr>
          <w:rFonts w:ascii="Arial" w:hAnsi="Arial" w:eastAsia="Arial" w:cs="Arial"/>
          <w:sz w:val="22"/>
          <w:szCs w:val="22"/>
        </w:rPr>
        <w:t>最深刻的论断：</w:t>
      </w:r>
    </w:p>
    <w:p w14:paraId="09CFF39D">
      <w:pPr>
        <w:spacing w:before="120" w:after="120" w:line="360" w:lineRule="auto"/>
        <w:ind w:left="720" w:right="720"/>
      </w:pPr>
      <w:r>
        <w:rPr>
          <w:rFonts w:ascii="Arial" w:hAnsi="Arial" w:eastAsia="Arial" w:cs="Arial"/>
          <w:i/>
          <w:iCs/>
          <w:color w:val="444444"/>
          <w:sz w:val="22"/>
          <w:szCs w:val="22"/>
        </w:rPr>
        <w:t>「全球化时期，美联储承担着全球央行的职能——其货币供给不仅服务于美国国内，也同时向全球输送流动性。美元的投放为全球化提供了润滑剂，美元也成为一种全球公共品。而在逆全球化时代，特朗普的政策重心转向资本回流、服务本土，映射在货币层面，便是货币主权的重新回归。」</w:t>
      </w:r>
    </w:p>
    <w:p w14:paraId="4783C141">
      <w:pPr>
        <w:spacing w:before="60" w:after="60" w:line="360" w:lineRule="auto"/>
      </w:pPr>
      <w:r>
        <w:rPr>
          <w:rFonts w:ascii="Arial" w:hAnsi="Arial" w:eastAsia="Arial" w:cs="Arial"/>
          <w:sz w:val="22"/>
          <w:szCs w:val="22"/>
        </w:rPr>
        <w:t>制度含义：</w:t>
      </w:r>
    </w:p>
    <w:p w14:paraId="186F2086">
      <w:pPr>
        <w:pStyle w:val="16"/>
        <w:numPr>
          <w:ilvl w:val="0"/>
          <w:numId w:val="2"/>
        </w:numPr>
        <w:spacing w:before="40" w:after="40" w:line="340" w:lineRule="auto"/>
      </w:pPr>
      <w:r>
        <w:rPr>
          <w:rFonts w:ascii="Arial" w:hAnsi="Arial" w:eastAsia="Arial" w:cs="Arial"/>
          <w:sz w:val="22"/>
          <w:szCs w:val="22"/>
        </w:rPr>
        <w:t>美联储从内生于全球美元体系的角色，退回到仅服务美国的央行。</w:t>
      </w:r>
    </w:p>
    <w:p w14:paraId="35F709D8">
      <w:pPr>
        <w:pStyle w:val="16"/>
        <w:numPr>
          <w:ilvl w:val="0"/>
          <w:numId w:val="2"/>
        </w:numPr>
        <w:spacing w:before="40" w:after="40" w:line="340" w:lineRule="auto"/>
      </w:pPr>
      <w:r>
        <w:rPr>
          <w:rFonts w:ascii="Arial" w:hAnsi="Arial" w:eastAsia="Arial" w:cs="Arial"/>
          <w:sz w:val="22"/>
          <w:szCs w:val="22"/>
        </w:rPr>
        <w:t>离岸美元流动性（欧洲美元市场、新兴市场美元信贷）将面临结构性收缩。</w:t>
      </w:r>
    </w:p>
    <w:p w14:paraId="459BD8C0">
      <w:pPr>
        <w:pStyle w:val="16"/>
        <w:numPr>
          <w:ilvl w:val="0"/>
          <w:numId w:val="2"/>
        </w:numPr>
        <w:spacing w:before="40" w:after="40" w:line="340" w:lineRule="auto"/>
      </w:pPr>
      <w:r>
        <w:rPr>
          <w:rFonts w:ascii="Arial" w:hAnsi="Arial" w:eastAsia="Arial" w:cs="Arial"/>
          <w:sz w:val="22"/>
          <w:szCs w:val="22"/>
        </w:rPr>
        <w:t>央行间掉期额度（FX swap lines）使用门槛可能被重新评估。</w:t>
      </w:r>
    </w:p>
    <w:p w14:paraId="4D948146">
      <w:pPr>
        <w:pStyle w:val="16"/>
        <w:numPr>
          <w:ilvl w:val="0"/>
          <w:numId w:val="2"/>
        </w:numPr>
        <w:spacing w:before="40" w:after="40" w:line="340" w:lineRule="auto"/>
      </w:pPr>
      <w:r>
        <w:rPr>
          <w:rFonts w:ascii="Arial" w:hAnsi="Arial" w:eastAsia="Arial" w:cs="Arial"/>
          <w:sz w:val="22"/>
          <w:szCs w:val="22"/>
        </w:rPr>
        <w:t>SDR、人民币国际化、金砖支付体系的替代空间被动扩大。</w:t>
      </w:r>
    </w:p>
    <w:p w14:paraId="580B9CAB">
      <w:pPr>
        <w:spacing w:before="60" w:after="60" w:line="360" w:lineRule="auto"/>
      </w:pPr>
      <w:r>
        <w:rPr>
          <w:rFonts w:ascii="Arial" w:hAnsi="Arial" w:eastAsia="Arial" w:cs="Arial"/>
          <w:b/>
          <w:bCs/>
          <w:sz w:val="22"/>
          <w:szCs w:val="22"/>
        </w:rPr>
        <w:t>对资产价格：</w:t>
      </w:r>
      <w:r>
        <w:rPr>
          <w:rFonts w:ascii="Arial" w:hAnsi="Arial" w:eastAsia="Arial" w:cs="Arial"/>
          <w:sz w:val="22"/>
          <w:szCs w:val="22"/>
        </w:rPr>
        <w:t>这是黄金长期多头的最核心叙事——美元从「全球公共品」降级为「主权货币」，全球储备多元化趋势加速。</w:t>
      </w:r>
    </w:p>
    <w:p w14:paraId="292FF9A0">
      <w:pPr>
        <w:pStyle w:val="2"/>
        <w:pageBreakBefore/>
      </w:pPr>
      <w:r>
        <w:rPr>
          <w:rFonts w:ascii="Arial" w:hAnsi="Arial" w:eastAsia="Arial" w:cs="Arial"/>
          <w:b/>
          <w:bCs/>
          <w:sz w:val="32"/>
          <w:szCs w:val="32"/>
        </w:rPr>
        <w:t>4. IPS 因子框架：建立逻辑与方法论</w:t>
      </w:r>
    </w:p>
    <w:p w14:paraId="5CC67DCB">
      <w:pPr>
        <w:spacing w:before="60" w:after="60" w:line="360" w:lineRule="auto"/>
        <w:rPr>
          <w:rFonts w:ascii="Arial" w:hAnsi="Arial" w:eastAsia="Arial" w:cs="Arial"/>
          <w:sz w:val="22"/>
          <w:szCs w:val="22"/>
        </w:rPr>
      </w:pPr>
      <w:r>
        <w:rPr>
          <w:rFonts w:ascii="Arial" w:hAnsi="Arial" w:eastAsia="Arial" w:cs="Arial"/>
          <w:sz w:val="22"/>
          <w:szCs w:val="22"/>
        </w:rPr>
        <w:t>IPS</w:t>
      </w:r>
      <w:r>
        <w:rPr>
          <w:rFonts w:hint="eastAsia" w:eastAsia="宋体" w:cs="Arial"/>
          <w:sz w:val="22"/>
          <w:szCs w:val="22"/>
          <w:lang w:val="en-US" w:eastAsia="zh-CN"/>
        </w:rPr>
        <w:t>(</w:t>
      </w:r>
      <w:r>
        <w:rPr>
          <w:rFonts w:hint="default" w:eastAsia="宋体" w:cs="Arial"/>
          <w:sz w:val="22"/>
          <w:szCs w:val="22"/>
          <w:lang w:val="en-US" w:eastAsia="zh-CN"/>
        </w:rPr>
        <w:t>Inflation P</w:t>
      </w:r>
      <w:r>
        <w:rPr>
          <w:rFonts w:hint="eastAsia" w:eastAsia="宋体" w:cs="Arial"/>
          <w:sz w:val="22"/>
          <w:szCs w:val="22"/>
          <w:lang w:val="en-US" w:eastAsia="zh-CN"/>
        </w:rPr>
        <w:t xml:space="preserve">reassure </w:t>
      </w:r>
      <w:r>
        <w:rPr>
          <w:rFonts w:hint="default" w:eastAsia="宋体" w:cs="Arial"/>
          <w:sz w:val="22"/>
          <w:szCs w:val="22"/>
          <w:lang w:val="en-US" w:eastAsia="zh-CN"/>
        </w:rPr>
        <w:t>S</w:t>
      </w:r>
      <w:r>
        <w:rPr>
          <w:rFonts w:hint="eastAsia" w:eastAsia="宋体" w:cs="Arial"/>
          <w:sz w:val="22"/>
          <w:szCs w:val="22"/>
          <w:lang w:val="en-US" w:eastAsia="zh-CN"/>
        </w:rPr>
        <w:t>core)</w:t>
      </w:r>
      <w:r>
        <w:rPr>
          <w:rFonts w:ascii="Arial" w:hAnsi="Arial" w:eastAsia="Arial" w:cs="Arial"/>
          <w:sz w:val="22"/>
          <w:szCs w:val="22"/>
        </w:rPr>
        <w:t xml:space="preserve"> </w:t>
      </w:r>
      <w:r>
        <w:rPr>
          <w:rFonts w:hint="eastAsia" w:ascii="Arial" w:hAnsi="Arial" w:eastAsia="宋体" w:cs="Arial"/>
          <w:sz w:val="22"/>
          <w:szCs w:val="22"/>
          <w:lang w:val="en-US" w:eastAsia="zh-CN"/>
        </w:rPr>
        <w:t>=</w:t>
      </w:r>
      <w:r>
        <w:rPr>
          <w:rFonts w:ascii="Arial" w:hAnsi="Arial" w:eastAsia="Arial" w:cs="Arial"/>
          <w:sz w:val="22"/>
          <w:szCs w:val="22"/>
        </w:rPr>
        <w:t xml:space="preserve">P </w:t>
      </w:r>
      <w:r>
        <w:rPr>
          <w:rFonts w:hint="eastAsia" w:ascii="Arial" w:hAnsi="Arial" w:eastAsia="宋体" w:cs="Arial"/>
          <w:sz w:val="22"/>
          <w:szCs w:val="22"/>
          <w:lang w:val="en-US" w:eastAsia="zh-CN"/>
        </w:rPr>
        <w:t>(</w:t>
      </w:r>
      <w:r>
        <w:rPr>
          <w:rFonts w:hint="default" w:ascii="Arial" w:hAnsi="Arial" w:eastAsia="宋体" w:cs="Arial"/>
          <w:sz w:val="22"/>
          <w:szCs w:val="22"/>
          <w:lang w:val="en-US" w:eastAsia="zh-CN"/>
        </w:rPr>
        <w:t>P</w:t>
      </w:r>
      <w:r>
        <w:rPr>
          <w:rFonts w:hint="eastAsia" w:ascii="Arial" w:hAnsi="Arial" w:eastAsia="宋体" w:cs="Arial"/>
          <w:sz w:val="22"/>
          <w:szCs w:val="22"/>
          <w:lang w:val="en-US" w:eastAsia="zh-CN"/>
        </w:rPr>
        <w:t>rice)</w:t>
      </w:r>
      <w:r>
        <w:rPr>
          <w:rFonts w:ascii="Arial" w:hAnsi="Arial" w:eastAsia="Arial" w:cs="Arial"/>
          <w:sz w:val="22"/>
          <w:szCs w:val="22"/>
        </w:rPr>
        <w:t>25% + E</w:t>
      </w:r>
      <w:r>
        <w:rPr>
          <w:rFonts w:hint="default" w:ascii="Arial" w:hAnsi="Arial" w:eastAsia="Arial" w:cs="Arial"/>
          <w:sz w:val="22"/>
          <w:szCs w:val="22"/>
          <w:lang w:val="en-US"/>
        </w:rPr>
        <w:t>(E</w:t>
      </w:r>
      <w:r>
        <w:rPr>
          <w:rFonts w:hint="eastAsia" w:ascii="Arial" w:hAnsi="Arial" w:eastAsia="宋体" w:cs="Arial"/>
          <w:sz w:val="22"/>
          <w:szCs w:val="22"/>
          <w:lang w:val="en-US" w:eastAsia="zh-CN"/>
        </w:rPr>
        <w:t>xpectation</w:t>
      </w:r>
      <w:r>
        <w:rPr>
          <w:rFonts w:hint="default" w:ascii="Arial" w:hAnsi="Arial" w:eastAsia="Arial" w:cs="Arial"/>
          <w:sz w:val="22"/>
          <w:szCs w:val="22"/>
          <w:lang w:val="en-US"/>
        </w:rPr>
        <w:t>)</w:t>
      </w:r>
      <w:r>
        <w:rPr>
          <w:rFonts w:ascii="Arial" w:hAnsi="Arial" w:eastAsia="Arial" w:cs="Arial"/>
          <w:sz w:val="22"/>
          <w:szCs w:val="22"/>
        </w:rPr>
        <w:t xml:space="preserve"> 20% + D</w:t>
      </w:r>
      <w:r>
        <w:rPr>
          <w:rFonts w:hint="default" w:ascii="Arial" w:hAnsi="Arial" w:eastAsia="Arial" w:cs="Arial"/>
          <w:sz w:val="22"/>
          <w:szCs w:val="22"/>
          <w:lang w:val="en-US"/>
        </w:rPr>
        <w:t>(d</w:t>
      </w:r>
      <w:r>
        <w:rPr>
          <w:rFonts w:hint="eastAsia" w:ascii="Arial" w:hAnsi="Arial" w:eastAsia="宋体" w:cs="Arial"/>
          <w:sz w:val="22"/>
          <w:szCs w:val="22"/>
          <w:lang w:val="en-US" w:eastAsia="zh-CN"/>
        </w:rPr>
        <w:t>rivers</w:t>
      </w:r>
      <w:r>
        <w:rPr>
          <w:rFonts w:hint="default" w:ascii="Arial" w:hAnsi="Arial" w:eastAsia="Arial" w:cs="Arial"/>
          <w:sz w:val="22"/>
          <w:szCs w:val="22"/>
          <w:lang w:val="en-US"/>
        </w:rPr>
        <w:t>)</w:t>
      </w:r>
      <w:r>
        <w:rPr>
          <w:rFonts w:ascii="Arial" w:hAnsi="Arial" w:eastAsia="Arial" w:cs="Arial"/>
          <w:sz w:val="22"/>
          <w:szCs w:val="22"/>
        </w:rPr>
        <w:t xml:space="preserve"> 20% + F</w:t>
      </w:r>
      <w:r>
        <w:rPr>
          <w:rFonts w:hint="default" w:ascii="Arial" w:hAnsi="Arial" w:eastAsia="Arial" w:cs="Arial"/>
          <w:sz w:val="22"/>
          <w:szCs w:val="22"/>
          <w:lang w:val="en-US"/>
        </w:rPr>
        <w:t>(</w:t>
      </w:r>
      <w:r>
        <w:rPr>
          <w:rFonts w:ascii="Arial" w:hAnsi="Arial" w:eastAsia="Arial" w:cs="Arial"/>
          <w:sz w:val="22"/>
          <w:szCs w:val="22"/>
        </w:rPr>
        <w:t>Fiscal Impulse</w:t>
      </w:r>
      <w:r>
        <w:rPr>
          <w:rFonts w:hint="default" w:ascii="Arial" w:hAnsi="Arial" w:eastAsia="Arial" w:cs="Arial"/>
          <w:sz w:val="22"/>
          <w:szCs w:val="22"/>
          <w:lang w:val="en-US"/>
        </w:rPr>
        <w:t>)</w:t>
      </w:r>
      <w:r>
        <w:rPr>
          <w:rFonts w:ascii="Arial" w:hAnsi="Arial" w:eastAsia="Arial" w:cs="Arial"/>
          <w:sz w:val="22"/>
          <w:szCs w:val="22"/>
        </w:rPr>
        <w:t xml:space="preserve"> 15% + N</w:t>
      </w:r>
      <w:r>
        <w:rPr>
          <w:rFonts w:hint="default" w:ascii="Arial" w:hAnsi="Arial" w:eastAsia="Arial" w:cs="Arial"/>
          <w:sz w:val="22"/>
          <w:szCs w:val="22"/>
          <w:lang w:val="en-US"/>
        </w:rPr>
        <w:t>(</w:t>
      </w:r>
      <w:r>
        <w:rPr>
          <w:rFonts w:ascii="Arial" w:hAnsi="Arial" w:eastAsia="Arial" w:cs="Arial"/>
          <w:sz w:val="22"/>
          <w:szCs w:val="22"/>
        </w:rPr>
        <w:t>Narrative &amp; Policy Reflection</w:t>
      </w:r>
      <w:r>
        <w:rPr>
          <w:rFonts w:hint="default" w:ascii="Arial" w:hAnsi="Arial" w:eastAsia="Arial" w:cs="Arial"/>
          <w:sz w:val="22"/>
          <w:szCs w:val="22"/>
          <w:lang w:val="en-US"/>
        </w:rPr>
        <w:t>)</w:t>
      </w:r>
      <w:r>
        <w:rPr>
          <w:rFonts w:ascii="Arial" w:hAnsi="Arial" w:eastAsia="Arial" w:cs="Arial"/>
          <w:sz w:val="22"/>
          <w:szCs w:val="22"/>
        </w:rPr>
        <w:t xml:space="preserve"> 20%。</w:t>
      </w:r>
    </w:p>
    <w:p w14:paraId="20279DC1">
      <w:pPr>
        <w:spacing w:before="60" w:after="60" w:line="360" w:lineRule="auto"/>
      </w:pPr>
      <w:r>
        <w:rPr>
          <w:rFonts w:hint="default" w:ascii="Arial" w:hAnsi="Arial" w:eastAsia="Arial" w:cs="Arial"/>
          <w:sz w:val="22"/>
          <w:szCs w:val="22"/>
          <w:lang w:val="en-US"/>
        </w:rPr>
        <w:t>IPS</w:t>
      </w:r>
      <w:r>
        <w:rPr>
          <w:rFonts w:hint="eastAsia" w:ascii="Arial" w:hAnsi="Arial" w:eastAsia="宋体" w:cs="Arial"/>
          <w:sz w:val="22"/>
          <w:szCs w:val="22"/>
          <w:lang w:val="en-US" w:eastAsia="zh-CN"/>
        </w:rPr>
        <w:t xml:space="preserve">是我最近建立的一个通胀因子分析框架, </w:t>
      </w:r>
      <w:r>
        <w:rPr>
          <w:rFonts w:ascii="Arial" w:hAnsi="Arial" w:eastAsia="Arial" w:cs="Arial"/>
          <w:sz w:val="22"/>
          <w:szCs w:val="22"/>
        </w:rPr>
        <w:t>在进入「沃什框架如何重塑 IPS」之前，先</w:t>
      </w:r>
      <w:r>
        <w:rPr>
          <w:rFonts w:hint="eastAsia" w:eastAsia="宋体" w:cs="Arial"/>
          <w:sz w:val="22"/>
          <w:szCs w:val="22"/>
          <w:lang w:val="en-US" w:eastAsia="zh-CN"/>
        </w:rPr>
        <w:t>让我们</w:t>
      </w:r>
      <w:r>
        <w:rPr>
          <w:rFonts w:ascii="Arial" w:hAnsi="Arial" w:eastAsia="Arial" w:cs="Arial"/>
          <w:sz w:val="22"/>
          <w:szCs w:val="22"/>
        </w:rPr>
        <w:t>把 IPS这个分析工具本身的建立逻辑、权重机制、数据层设计、以及局限性讲清楚。只有读者能从头独立验证 IPS 的每一个数字，本文对四类资产的判断才具备可审计的基础——否则沃什框架的分析就是架在黑箱之上的叙事。</w:t>
      </w:r>
    </w:p>
    <w:p w14:paraId="5D8F7954">
      <w:pPr>
        <w:pStyle w:val="3"/>
      </w:pPr>
      <w:r>
        <w:rPr>
          <w:rFonts w:ascii="Arial" w:hAnsi="Arial" w:eastAsia="Arial" w:cs="Arial"/>
          <w:b/>
          <w:bCs/>
          <w:sz w:val="26"/>
          <w:szCs w:val="26"/>
        </w:rPr>
        <w:t>4.1 设计目标与三条设计哲学</w:t>
      </w:r>
    </w:p>
    <w:p w14:paraId="036E714B">
      <w:pPr>
        <w:spacing w:before="60" w:after="60" w:line="360" w:lineRule="auto"/>
      </w:pPr>
      <w:r>
        <w:rPr>
          <w:rFonts w:ascii="Arial" w:hAnsi="Arial" w:eastAsia="Arial" w:cs="Arial"/>
          <w:b/>
          <w:bCs/>
          <w:sz w:val="22"/>
          <w:szCs w:val="22"/>
        </w:rPr>
        <w:t>设计目标：</w:t>
      </w:r>
      <w:r>
        <w:rPr>
          <w:rFonts w:ascii="Arial" w:hAnsi="Arial" w:eastAsia="Arial" w:cs="Arial"/>
          <w:sz w:val="22"/>
          <w:szCs w:val="22"/>
        </w:rPr>
        <w:t>在真实世界通胀的复杂多因子结构下，提供一个可量化、可追溯、可监控的单一综合评分，使任意时点的通胀压力读数（IPS）可以被：</w:t>
      </w:r>
    </w:p>
    <w:p w14:paraId="2BBF05E3">
      <w:pPr>
        <w:pStyle w:val="16"/>
        <w:numPr>
          <w:ilvl w:val="0"/>
          <w:numId w:val="2"/>
        </w:numPr>
        <w:spacing w:before="40" w:after="40" w:line="340" w:lineRule="auto"/>
      </w:pPr>
      <w:r>
        <w:rPr>
          <w:rFonts w:ascii="Arial" w:hAnsi="Arial" w:eastAsia="Arial" w:cs="Arial"/>
          <w:sz w:val="22"/>
          <w:szCs w:val="22"/>
        </w:rPr>
        <w:t>分解回 5 个分项、25+ 个子因子；</w:t>
      </w:r>
    </w:p>
    <w:p w14:paraId="2B3BD96F">
      <w:pPr>
        <w:pStyle w:val="16"/>
        <w:numPr>
          <w:ilvl w:val="0"/>
          <w:numId w:val="2"/>
        </w:numPr>
        <w:spacing w:before="40" w:after="40" w:line="340" w:lineRule="auto"/>
      </w:pPr>
      <w:r>
        <w:rPr>
          <w:rFonts w:ascii="Arial" w:hAnsi="Arial" w:eastAsia="Arial" w:cs="Arial"/>
          <w:sz w:val="22"/>
          <w:szCs w:val="22"/>
        </w:rPr>
        <w:t>归因到具体经济机制；</w:t>
      </w:r>
    </w:p>
    <w:p w14:paraId="7D0E875C">
      <w:pPr>
        <w:pStyle w:val="16"/>
        <w:numPr>
          <w:ilvl w:val="0"/>
          <w:numId w:val="2"/>
        </w:numPr>
        <w:spacing w:before="40" w:after="40" w:line="340" w:lineRule="auto"/>
      </w:pPr>
      <w:r>
        <w:rPr>
          <w:rFonts w:ascii="Arial" w:hAnsi="Arial" w:eastAsia="Arial" w:cs="Arial"/>
          <w:sz w:val="22"/>
          <w:szCs w:val="22"/>
        </w:rPr>
        <w:t>挑战：每个权重、每个归一化边界都是公开可辩论的参数，而非模型黑箱。</w:t>
      </w:r>
    </w:p>
    <w:p w14:paraId="296C4C43">
      <w:pPr>
        <w:spacing w:before="60" w:after="60" w:line="360" w:lineRule="auto"/>
      </w:pPr>
      <w:r>
        <w:rPr>
          <w:rFonts w:ascii="Arial" w:hAnsi="Arial" w:eastAsia="Arial" w:cs="Arial"/>
          <w:sz w:val="22"/>
          <w:szCs w:val="22"/>
        </w:rPr>
        <w:t>IPS 不追求预测精度最大化（那是 XGBoost/LSTM 的任务），而是追求结构透明度最大化——这与 GoldMonitor 采用的机器学习预测模型形成方法论上的互补：一个是「解释器」，一个是「预测器」。</w:t>
      </w:r>
    </w:p>
    <w:p w14:paraId="652ABD0A">
      <w:pPr>
        <w:spacing w:before="60" w:after="60" w:line="360" w:lineRule="auto"/>
      </w:pPr>
      <w:r>
        <w:rPr>
          <w:rFonts w:ascii="Arial" w:hAnsi="Arial" w:eastAsia="Arial" w:cs="Arial"/>
          <w:b/>
          <w:bCs/>
          <w:sz w:val="22"/>
          <w:szCs w:val="22"/>
        </w:rPr>
        <w:t>三条设计哲学：</w:t>
      </w:r>
    </w:p>
    <w:p w14:paraId="3BB1C4D5">
      <w:pPr>
        <w:pStyle w:val="16"/>
        <w:numPr>
          <w:ilvl w:val="0"/>
          <w:numId w:val="1"/>
        </w:numPr>
        <w:spacing w:before="40" w:after="40" w:line="340" w:lineRule="auto"/>
      </w:pPr>
      <w:r>
        <w:rPr>
          <w:rFonts w:ascii="Arial" w:hAnsi="Arial" w:eastAsia="Arial" w:cs="Arial"/>
          <w:sz w:val="22"/>
          <w:szCs w:val="22"/>
        </w:rPr>
        <w:t>可分解性（Decomposability）：任何 IPS 数值变化都可以被逐层追溯。若本月 IPS 从 57 升至 62，必须能准确说出是哪个分项（如 D +5、N +2）、哪个子因子（如 WTI YoY 从 +8% 升至 +18%）导致的。模型的每一层都是「玻璃盒」。</w:t>
      </w:r>
    </w:p>
    <w:p w14:paraId="14DA3D6E">
      <w:pPr>
        <w:pStyle w:val="16"/>
        <w:numPr>
          <w:ilvl w:val="0"/>
          <w:numId w:val="1"/>
        </w:numPr>
        <w:spacing w:before="40" w:after="40" w:line="340" w:lineRule="auto"/>
      </w:pPr>
      <w:r>
        <w:rPr>
          <w:rFonts w:ascii="Arial" w:hAnsi="Arial" w:eastAsia="Arial" w:cs="Arial"/>
          <w:sz w:val="22"/>
          <w:szCs w:val="22"/>
        </w:rPr>
        <w:t>对称性（Symmetry）：IPS 的五档体制分布（再加速 / 粘性 / 温和 / 回落 / 通缩）在数值上对称设计，不偏向特定政策结论。这与 AIT 的「非对称容忍」形成对照——AIT 容忍过冲但不容忍低谷，IPS 则对上下同样敏感。</w:t>
      </w:r>
    </w:p>
    <w:p w14:paraId="2EA6374E">
      <w:pPr>
        <w:pStyle w:val="16"/>
        <w:numPr>
          <w:ilvl w:val="0"/>
          <w:numId w:val="1"/>
        </w:numPr>
        <w:spacing w:before="40" w:after="40" w:line="340" w:lineRule="auto"/>
      </w:pPr>
      <w:r>
        <w:rPr>
          <w:rFonts w:ascii="Arial" w:hAnsi="Arial" w:eastAsia="Arial" w:cs="Arial"/>
          <w:sz w:val="22"/>
          <w:szCs w:val="22"/>
        </w:rPr>
        <w:t>前瞻-后视平衡（Forward-Backward Balance）：IPS 同时包含已实现数据（P、部分 D）和前瞻数据（E、部分 N），避免单纯后视偏差。比值约为 45:55（前瞻略重），反映央行政策必须基于预期、而非历史。</w:t>
      </w:r>
    </w:p>
    <w:p w14:paraId="127F7E56">
      <w:pPr>
        <w:pStyle w:val="3"/>
      </w:pPr>
      <w:r>
        <w:rPr>
          <w:rFonts w:ascii="Arial" w:hAnsi="Arial" w:eastAsia="Arial" w:cs="Arial"/>
          <w:b/>
          <w:bCs/>
          <w:sz w:val="26"/>
          <w:szCs w:val="26"/>
        </w:rPr>
        <w:t>4.2 五分项的划分逻辑：为什么是 P·E·D·F·N？</w:t>
      </w:r>
    </w:p>
    <w:p w14:paraId="5CE4114D">
      <w:pPr>
        <w:spacing w:before="60" w:after="60" w:line="360" w:lineRule="auto"/>
      </w:pPr>
      <w:r>
        <w:rPr>
          <w:rFonts w:ascii="Arial" w:hAnsi="Arial" w:eastAsia="Arial" w:cs="Arial"/>
          <w:sz w:val="22"/>
          <w:szCs w:val="22"/>
        </w:rPr>
        <w:t>五分项对应通胀形成的五个独立环节，基于一条清晰的宏观传导链——驱动 D → 预期 E → 价格 P 构成主链，财政 F 和叙事 N 分别从需求侧和心智侧并联接入，最后通过已实现价格 P 回馈强化预期 E（自我实现循环）。每个分项的定位：</w:t>
      </w:r>
    </w:p>
    <w:p w14:paraId="203CF4B2">
      <w:pPr>
        <w:pStyle w:val="16"/>
        <w:numPr>
          <w:ilvl w:val="0"/>
          <w:numId w:val="2"/>
        </w:numPr>
        <w:spacing w:before="40" w:after="40" w:line="340" w:lineRule="auto"/>
      </w:pPr>
      <w:r>
        <w:rPr>
          <w:rFonts w:ascii="Arial" w:hAnsi="Arial" w:eastAsia="Arial" w:cs="Arial"/>
          <w:sz w:val="22"/>
          <w:szCs w:val="22"/>
        </w:rPr>
        <w:t>P（Price）= 已实现通胀。最「硬」的证据，也最滞后。CPI / PCE / PPI / Truflation 等。</w:t>
      </w:r>
    </w:p>
    <w:p w14:paraId="26377BCF">
      <w:pPr>
        <w:pStyle w:val="16"/>
        <w:numPr>
          <w:ilvl w:val="0"/>
          <w:numId w:val="2"/>
        </w:numPr>
        <w:spacing w:before="40" w:after="40" w:line="340" w:lineRule="auto"/>
      </w:pPr>
      <w:r>
        <w:rPr>
          <w:rFonts w:ascii="Arial" w:hAnsi="Arial" w:eastAsia="Arial" w:cs="Arial"/>
          <w:sz w:val="22"/>
          <w:szCs w:val="22"/>
        </w:rPr>
        <w:t>E（Expectations）= 通胀预期。最前瞻的变量，是央行锚定的直接对象。BEI / Michigan / SPF 等。</w:t>
      </w:r>
    </w:p>
    <w:p w14:paraId="60B47F3E">
      <w:pPr>
        <w:pStyle w:val="16"/>
        <w:numPr>
          <w:ilvl w:val="0"/>
          <w:numId w:val="2"/>
        </w:numPr>
        <w:spacing w:before="40" w:after="40" w:line="340" w:lineRule="auto"/>
      </w:pPr>
      <w:r>
        <w:rPr>
          <w:rFonts w:ascii="Arial" w:hAnsi="Arial" w:eastAsia="Arial" w:cs="Arial"/>
          <w:sz w:val="22"/>
          <w:szCs w:val="22"/>
        </w:rPr>
        <w:t>D（Drivers）= 供给侧 + 需求侧的共同源头。油价 / 大宗 / 薪资 / 房租 / 供应链等。</w:t>
      </w:r>
    </w:p>
    <w:p w14:paraId="11D5087F">
      <w:pPr>
        <w:pStyle w:val="16"/>
        <w:numPr>
          <w:ilvl w:val="0"/>
          <w:numId w:val="2"/>
        </w:numPr>
        <w:spacing w:before="40" w:after="40" w:line="340" w:lineRule="auto"/>
      </w:pPr>
      <w:r>
        <w:rPr>
          <w:rFonts w:ascii="Arial" w:hAnsi="Arial" w:eastAsia="Arial" w:cs="Arial"/>
          <w:sz w:val="22"/>
          <w:szCs w:val="22"/>
        </w:rPr>
        <w:t>F（Fiscal Impulse）= 财政刺激的独立通胀通道。2020 年后被重新识别的关键源头。赤字/GDP / TGA / 净发债等。</w:t>
      </w:r>
    </w:p>
    <w:p w14:paraId="2A8F1F84">
      <w:pPr>
        <w:pStyle w:val="16"/>
        <w:numPr>
          <w:ilvl w:val="0"/>
          <w:numId w:val="2"/>
        </w:numPr>
        <w:spacing w:before="40" w:after="40" w:line="340" w:lineRule="auto"/>
      </w:pPr>
      <w:r>
        <w:rPr>
          <w:rFonts w:ascii="Arial" w:hAnsi="Arial" w:eastAsia="Arial" w:cs="Arial"/>
          <w:sz w:val="22"/>
          <w:szCs w:val="22"/>
        </w:rPr>
        <w:t>N（Narrative &amp; Policy Reflection）= 央行与市场的「心智状态」。FOMC 鹰鸽 / 市场隐含降息 / 媒体叙事等。</w:t>
      </w:r>
    </w:p>
    <w:p w14:paraId="14B81080">
      <w:pPr>
        <w:spacing w:before="60" w:after="60" w:line="360" w:lineRule="auto"/>
      </w:pPr>
      <w:r>
        <w:rPr>
          <w:rFonts w:ascii="Arial" w:hAnsi="Arial" w:eastAsia="Arial" w:cs="Arial"/>
          <w:b/>
          <w:bCs/>
          <w:sz w:val="22"/>
          <w:szCs w:val="22"/>
        </w:rPr>
        <w:t>为什么不单独设货币（M）分项？</w:t>
      </w:r>
      <w:r>
        <w:rPr>
          <w:rFonts w:ascii="Arial" w:hAnsi="Arial" w:eastAsia="Arial" w:cs="Arial"/>
          <w:sz w:val="22"/>
          <w:szCs w:val="22"/>
        </w:rPr>
        <w:t xml:space="preserve"> 这是方法论上最关键的一次取舍。货币供应量（M2）与通胀的关系在 2020 年后严重失效——2020-2021 年 M2 飙升 40% 未立刻引发同等幅度通胀，后续 M2 下降也未导致通胀快速回落。IPS 选择不直接测 M，而是通过 F（财政脉冲、真正的流动性源头）和 N（政策反射、预期通道）间接捕捉货币因素。这一取舍基于过去 15 年货币传导机制的结构性变化，也呼应了沃什「货币主权回归」论断中对「货币总闸门」的强调。</w:t>
      </w:r>
    </w:p>
    <w:p w14:paraId="15345744">
      <w:pPr>
        <w:pStyle w:val="3"/>
      </w:pPr>
      <w:r>
        <w:rPr>
          <w:rFonts w:ascii="Arial" w:hAnsi="Arial" w:eastAsia="Arial" w:cs="Arial"/>
          <w:b/>
          <w:bCs/>
          <w:sz w:val="26"/>
          <w:szCs w:val="26"/>
        </w:rPr>
        <w:t>4.3 权重设计：从等权基线到 Bayesian 动态调整</w:t>
      </w:r>
    </w:p>
    <w:p w14:paraId="31EAACE3">
      <w:pPr>
        <w:spacing w:before="60" w:after="60" w:line="360" w:lineRule="auto"/>
      </w:pPr>
      <w:r>
        <w:rPr>
          <w:rFonts w:ascii="Arial" w:hAnsi="Arial" w:eastAsia="Arial" w:cs="Arial"/>
          <w:b/>
          <w:bCs/>
          <w:sz w:val="22"/>
          <w:szCs w:val="22"/>
        </w:rPr>
        <w:t>初始权重：</w:t>
      </w:r>
      <w:r>
        <w:rPr>
          <w:rFonts w:ascii="Arial" w:hAnsi="Arial" w:eastAsia="Arial" w:cs="Arial"/>
          <w:sz w:val="22"/>
          <w:szCs w:val="22"/>
        </w:rPr>
        <w:t>P 25% + E 20% + D 20% + F 15% + N 20%。权重设计的四层逻辑：</w:t>
      </w:r>
    </w:p>
    <w:tbl>
      <w:tblPr>
        <w:tblStyle w:val="11"/>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600"/>
        <w:gridCol w:w="1200"/>
        <w:gridCol w:w="6560"/>
      </w:tblGrid>
      <w:tr w14:paraId="6772C2AF">
        <w:trPr>
          <w:tblHeader/>
        </w:trPr>
        <w:tc>
          <w:tcPr>
            <w:tcW w:w="1600" w:type="dxa"/>
            <w:shd w:val="clear" w:color="auto" w:fill="1F3864"/>
            <w:tcMar>
              <w:top w:w="80" w:type="dxa"/>
              <w:left w:w="120" w:type="dxa"/>
              <w:bottom w:w="80" w:type="dxa"/>
              <w:right w:w="120" w:type="dxa"/>
            </w:tcMar>
            <w:vAlign w:val="center"/>
          </w:tcPr>
          <w:p w14:paraId="220CE571">
            <w:pPr>
              <w:spacing w:before="20" w:after="20" w:line="320" w:lineRule="auto"/>
              <w:jc w:val="center"/>
            </w:pPr>
            <w:r>
              <w:rPr>
                <w:rFonts w:ascii="Arial" w:hAnsi="Arial" w:eastAsia="Arial" w:cs="Arial"/>
                <w:b/>
                <w:bCs/>
                <w:color w:val="FFFFFF"/>
                <w:sz w:val="20"/>
                <w:szCs w:val="20"/>
              </w:rPr>
              <w:t>分项</w:t>
            </w:r>
          </w:p>
        </w:tc>
        <w:tc>
          <w:tcPr>
            <w:tcW w:w="1200" w:type="dxa"/>
            <w:shd w:val="clear" w:color="auto" w:fill="1F3864"/>
            <w:tcMar>
              <w:top w:w="80" w:type="dxa"/>
              <w:left w:w="120" w:type="dxa"/>
              <w:bottom w:w="80" w:type="dxa"/>
              <w:right w:w="120" w:type="dxa"/>
            </w:tcMar>
            <w:vAlign w:val="center"/>
          </w:tcPr>
          <w:p w14:paraId="3D550088">
            <w:pPr>
              <w:spacing w:before="20" w:after="20" w:line="320" w:lineRule="auto"/>
              <w:jc w:val="center"/>
            </w:pPr>
            <w:r>
              <w:rPr>
                <w:rFonts w:ascii="Arial" w:hAnsi="Arial" w:eastAsia="Arial" w:cs="Arial"/>
                <w:b/>
                <w:bCs/>
                <w:color w:val="FFFFFF"/>
                <w:sz w:val="20"/>
                <w:szCs w:val="20"/>
              </w:rPr>
              <w:t>权重</w:t>
            </w:r>
          </w:p>
        </w:tc>
        <w:tc>
          <w:tcPr>
            <w:tcW w:w="6560" w:type="dxa"/>
            <w:shd w:val="clear" w:color="auto" w:fill="1F3864"/>
            <w:tcMar>
              <w:top w:w="80" w:type="dxa"/>
              <w:left w:w="120" w:type="dxa"/>
              <w:bottom w:w="80" w:type="dxa"/>
              <w:right w:w="120" w:type="dxa"/>
            </w:tcMar>
            <w:vAlign w:val="center"/>
          </w:tcPr>
          <w:p w14:paraId="0B08CEC0">
            <w:pPr>
              <w:spacing w:before="20" w:after="20" w:line="320" w:lineRule="auto"/>
              <w:jc w:val="center"/>
            </w:pPr>
            <w:r>
              <w:rPr>
                <w:rFonts w:ascii="Arial" w:hAnsi="Arial" w:eastAsia="Arial" w:cs="Arial"/>
                <w:b/>
                <w:bCs/>
                <w:color w:val="FFFFFF"/>
                <w:sz w:val="20"/>
                <w:szCs w:val="20"/>
              </w:rPr>
              <w:t>设计依据</w:t>
            </w:r>
          </w:p>
        </w:tc>
      </w:tr>
      <w:tr w14:paraId="65472601">
        <w:tc>
          <w:tcPr>
            <w:tcW w:w="1600" w:type="dxa"/>
            <w:tcMar>
              <w:top w:w="80" w:type="dxa"/>
              <w:left w:w="120" w:type="dxa"/>
              <w:bottom w:w="80" w:type="dxa"/>
              <w:right w:w="120" w:type="dxa"/>
            </w:tcMar>
            <w:vAlign w:val="center"/>
          </w:tcPr>
          <w:p w14:paraId="2B5DDAEF">
            <w:pPr>
              <w:spacing w:before="20" w:after="20" w:line="320" w:lineRule="auto"/>
              <w:jc w:val="left"/>
            </w:pPr>
            <w:r>
              <w:rPr>
                <w:rFonts w:ascii="Arial" w:hAnsi="Arial" w:eastAsia="Arial" w:cs="Arial"/>
                <w:b w:val="0"/>
                <w:bCs w:val="0"/>
                <w:sz w:val="20"/>
                <w:szCs w:val="20"/>
              </w:rPr>
              <w:t>P 价格</w:t>
            </w:r>
          </w:p>
        </w:tc>
        <w:tc>
          <w:tcPr>
            <w:tcW w:w="1200" w:type="dxa"/>
            <w:tcMar>
              <w:top w:w="80" w:type="dxa"/>
              <w:left w:w="120" w:type="dxa"/>
              <w:bottom w:w="80" w:type="dxa"/>
              <w:right w:w="120" w:type="dxa"/>
            </w:tcMar>
            <w:vAlign w:val="center"/>
          </w:tcPr>
          <w:p w14:paraId="272C7702">
            <w:pPr>
              <w:spacing w:before="20" w:after="20" w:line="320" w:lineRule="auto"/>
              <w:jc w:val="left"/>
            </w:pPr>
            <w:r>
              <w:rPr>
                <w:rFonts w:ascii="Arial" w:hAnsi="Arial" w:eastAsia="Arial" w:cs="Arial"/>
                <w:b w:val="0"/>
                <w:bCs w:val="0"/>
                <w:sz w:val="20"/>
                <w:szCs w:val="20"/>
              </w:rPr>
              <w:t>25%</w:t>
            </w:r>
          </w:p>
        </w:tc>
        <w:tc>
          <w:tcPr>
            <w:tcW w:w="6560" w:type="dxa"/>
            <w:tcMar>
              <w:top w:w="80" w:type="dxa"/>
              <w:left w:w="120" w:type="dxa"/>
              <w:bottom w:w="80" w:type="dxa"/>
              <w:right w:w="120" w:type="dxa"/>
            </w:tcMar>
            <w:vAlign w:val="center"/>
          </w:tcPr>
          <w:p w14:paraId="5E8D6AA1">
            <w:pPr>
              <w:spacing w:before="20" w:after="20" w:line="320" w:lineRule="auto"/>
              <w:jc w:val="left"/>
            </w:pPr>
            <w:r>
              <w:rPr>
                <w:rFonts w:ascii="Arial" w:hAnsi="Arial" w:eastAsia="Arial" w:cs="Arial"/>
                <w:b w:val="0"/>
                <w:bCs w:val="0"/>
                <w:sz w:val="20"/>
                <w:szCs w:val="20"/>
              </w:rPr>
              <w:t>已实现、不可否认的事实——权重最高</w:t>
            </w:r>
          </w:p>
        </w:tc>
      </w:tr>
      <w:tr w14:paraId="622A9CD6">
        <w:tc>
          <w:tcPr>
            <w:tcW w:w="1600" w:type="dxa"/>
            <w:tcMar>
              <w:top w:w="80" w:type="dxa"/>
              <w:left w:w="120" w:type="dxa"/>
              <w:bottom w:w="80" w:type="dxa"/>
              <w:right w:w="120" w:type="dxa"/>
            </w:tcMar>
            <w:vAlign w:val="center"/>
          </w:tcPr>
          <w:p w14:paraId="00C7AC3C">
            <w:pPr>
              <w:spacing w:before="20" w:after="20" w:line="320" w:lineRule="auto"/>
              <w:jc w:val="left"/>
            </w:pPr>
            <w:r>
              <w:rPr>
                <w:rFonts w:ascii="Arial" w:hAnsi="Arial" w:eastAsia="Arial" w:cs="Arial"/>
                <w:b w:val="0"/>
                <w:bCs w:val="0"/>
                <w:sz w:val="20"/>
                <w:szCs w:val="20"/>
              </w:rPr>
              <w:t>E 预期</w:t>
            </w:r>
          </w:p>
        </w:tc>
        <w:tc>
          <w:tcPr>
            <w:tcW w:w="1200" w:type="dxa"/>
            <w:tcMar>
              <w:top w:w="80" w:type="dxa"/>
              <w:left w:w="120" w:type="dxa"/>
              <w:bottom w:w="80" w:type="dxa"/>
              <w:right w:w="120" w:type="dxa"/>
            </w:tcMar>
            <w:vAlign w:val="center"/>
          </w:tcPr>
          <w:p w14:paraId="7DD547BB">
            <w:pPr>
              <w:spacing w:before="20" w:after="20" w:line="320" w:lineRule="auto"/>
              <w:jc w:val="left"/>
            </w:pPr>
            <w:r>
              <w:rPr>
                <w:rFonts w:ascii="Arial" w:hAnsi="Arial" w:eastAsia="Arial" w:cs="Arial"/>
                <w:b w:val="0"/>
                <w:bCs w:val="0"/>
                <w:sz w:val="20"/>
                <w:szCs w:val="20"/>
              </w:rPr>
              <w:t>20%</w:t>
            </w:r>
          </w:p>
        </w:tc>
        <w:tc>
          <w:tcPr>
            <w:tcW w:w="6560" w:type="dxa"/>
            <w:tcMar>
              <w:top w:w="80" w:type="dxa"/>
              <w:left w:w="120" w:type="dxa"/>
              <w:bottom w:w="80" w:type="dxa"/>
              <w:right w:w="120" w:type="dxa"/>
            </w:tcMar>
            <w:vAlign w:val="center"/>
          </w:tcPr>
          <w:p w14:paraId="73A0D9E9">
            <w:pPr>
              <w:spacing w:before="20" w:after="20" w:line="320" w:lineRule="auto"/>
              <w:jc w:val="left"/>
            </w:pPr>
            <w:r>
              <w:rPr>
                <w:rFonts w:ascii="Arial" w:hAnsi="Arial" w:eastAsia="Arial" w:cs="Arial"/>
                <w:b w:val="0"/>
                <w:bCs w:val="0"/>
                <w:sz w:val="20"/>
                <w:szCs w:val="20"/>
              </w:rPr>
              <w:t>央行锚定的直接对象——与 P 近同量级</w:t>
            </w:r>
          </w:p>
        </w:tc>
      </w:tr>
      <w:tr w14:paraId="0BB9CAC3">
        <w:tc>
          <w:tcPr>
            <w:tcW w:w="1600" w:type="dxa"/>
            <w:tcMar>
              <w:top w:w="80" w:type="dxa"/>
              <w:left w:w="120" w:type="dxa"/>
              <w:bottom w:w="80" w:type="dxa"/>
              <w:right w:w="120" w:type="dxa"/>
            </w:tcMar>
            <w:vAlign w:val="center"/>
          </w:tcPr>
          <w:p w14:paraId="333B75CD">
            <w:pPr>
              <w:spacing w:before="20" w:after="20" w:line="320" w:lineRule="auto"/>
              <w:jc w:val="left"/>
            </w:pPr>
            <w:r>
              <w:rPr>
                <w:rFonts w:ascii="Arial" w:hAnsi="Arial" w:eastAsia="Arial" w:cs="Arial"/>
                <w:b w:val="0"/>
                <w:bCs w:val="0"/>
                <w:sz w:val="20"/>
                <w:szCs w:val="20"/>
              </w:rPr>
              <w:t>D 驱动</w:t>
            </w:r>
          </w:p>
        </w:tc>
        <w:tc>
          <w:tcPr>
            <w:tcW w:w="1200" w:type="dxa"/>
            <w:tcMar>
              <w:top w:w="80" w:type="dxa"/>
              <w:left w:w="120" w:type="dxa"/>
              <w:bottom w:w="80" w:type="dxa"/>
              <w:right w:w="120" w:type="dxa"/>
            </w:tcMar>
            <w:vAlign w:val="center"/>
          </w:tcPr>
          <w:p w14:paraId="67E891FE">
            <w:pPr>
              <w:spacing w:before="20" w:after="20" w:line="320" w:lineRule="auto"/>
              <w:jc w:val="left"/>
            </w:pPr>
            <w:r>
              <w:rPr>
                <w:rFonts w:ascii="Arial" w:hAnsi="Arial" w:eastAsia="Arial" w:cs="Arial"/>
                <w:b w:val="0"/>
                <w:bCs w:val="0"/>
                <w:sz w:val="20"/>
                <w:szCs w:val="20"/>
              </w:rPr>
              <w:t>20%</w:t>
            </w:r>
          </w:p>
        </w:tc>
        <w:tc>
          <w:tcPr>
            <w:tcW w:w="6560" w:type="dxa"/>
            <w:tcMar>
              <w:top w:w="80" w:type="dxa"/>
              <w:left w:w="120" w:type="dxa"/>
              <w:bottom w:w="80" w:type="dxa"/>
              <w:right w:w="120" w:type="dxa"/>
            </w:tcMar>
            <w:vAlign w:val="center"/>
          </w:tcPr>
          <w:p w14:paraId="5E56F782">
            <w:pPr>
              <w:spacing w:before="20" w:after="20" w:line="320" w:lineRule="auto"/>
              <w:jc w:val="left"/>
            </w:pPr>
            <w:r>
              <w:rPr>
                <w:rFonts w:ascii="Arial" w:hAnsi="Arial" w:eastAsia="Arial" w:cs="Arial"/>
                <w:b w:val="0"/>
                <w:bCs w:val="0"/>
                <w:sz w:val="20"/>
                <w:szCs w:val="20"/>
              </w:rPr>
              <w:t>供给 + 需求的源头——与 E 并列</w:t>
            </w:r>
          </w:p>
        </w:tc>
      </w:tr>
      <w:tr w14:paraId="343C5F8D">
        <w:tc>
          <w:tcPr>
            <w:tcW w:w="1600" w:type="dxa"/>
            <w:tcMar>
              <w:top w:w="80" w:type="dxa"/>
              <w:left w:w="120" w:type="dxa"/>
              <w:bottom w:w="80" w:type="dxa"/>
              <w:right w:w="120" w:type="dxa"/>
            </w:tcMar>
            <w:vAlign w:val="center"/>
          </w:tcPr>
          <w:p w14:paraId="5DC3675F">
            <w:pPr>
              <w:spacing w:before="20" w:after="20" w:line="320" w:lineRule="auto"/>
              <w:jc w:val="left"/>
            </w:pPr>
            <w:r>
              <w:rPr>
                <w:rFonts w:ascii="Arial" w:hAnsi="Arial" w:eastAsia="Arial" w:cs="Arial"/>
                <w:b w:val="0"/>
                <w:bCs w:val="0"/>
                <w:sz w:val="20"/>
                <w:szCs w:val="20"/>
              </w:rPr>
              <w:t>N 叙事</w:t>
            </w:r>
          </w:p>
        </w:tc>
        <w:tc>
          <w:tcPr>
            <w:tcW w:w="1200" w:type="dxa"/>
            <w:tcMar>
              <w:top w:w="80" w:type="dxa"/>
              <w:left w:w="120" w:type="dxa"/>
              <w:bottom w:w="80" w:type="dxa"/>
              <w:right w:w="120" w:type="dxa"/>
            </w:tcMar>
            <w:vAlign w:val="center"/>
          </w:tcPr>
          <w:p w14:paraId="10710F97">
            <w:pPr>
              <w:spacing w:before="20" w:after="20" w:line="320" w:lineRule="auto"/>
              <w:jc w:val="left"/>
            </w:pPr>
            <w:r>
              <w:rPr>
                <w:rFonts w:ascii="Arial" w:hAnsi="Arial" w:eastAsia="Arial" w:cs="Arial"/>
                <w:b w:val="0"/>
                <w:bCs w:val="0"/>
                <w:sz w:val="20"/>
                <w:szCs w:val="20"/>
              </w:rPr>
              <w:t>20%</w:t>
            </w:r>
          </w:p>
        </w:tc>
        <w:tc>
          <w:tcPr>
            <w:tcW w:w="6560" w:type="dxa"/>
            <w:tcMar>
              <w:top w:w="80" w:type="dxa"/>
              <w:left w:w="120" w:type="dxa"/>
              <w:bottom w:w="80" w:type="dxa"/>
              <w:right w:w="120" w:type="dxa"/>
            </w:tcMar>
            <w:vAlign w:val="center"/>
          </w:tcPr>
          <w:p w14:paraId="5F92B8DE">
            <w:pPr>
              <w:spacing w:before="20" w:after="20" w:line="320" w:lineRule="auto"/>
              <w:jc w:val="left"/>
            </w:pPr>
            <w:r>
              <w:rPr>
                <w:rFonts w:ascii="Arial" w:hAnsi="Arial" w:eastAsia="Arial" w:cs="Arial"/>
                <w:b w:val="0"/>
                <w:bCs w:val="0"/>
                <w:sz w:val="20"/>
                <w:szCs w:val="20"/>
              </w:rPr>
              <w:t>政策传导通道——与 D 并列</w:t>
            </w:r>
          </w:p>
        </w:tc>
      </w:tr>
      <w:tr w14:paraId="6076DDE9">
        <w:tc>
          <w:tcPr>
            <w:tcW w:w="1600" w:type="dxa"/>
            <w:tcMar>
              <w:top w:w="80" w:type="dxa"/>
              <w:left w:w="120" w:type="dxa"/>
              <w:bottom w:w="80" w:type="dxa"/>
              <w:right w:w="120" w:type="dxa"/>
            </w:tcMar>
            <w:vAlign w:val="center"/>
          </w:tcPr>
          <w:p w14:paraId="0DF65E15">
            <w:pPr>
              <w:spacing w:before="20" w:after="20" w:line="320" w:lineRule="auto"/>
              <w:jc w:val="left"/>
            </w:pPr>
            <w:r>
              <w:rPr>
                <w:rFonts w:ascii="Arial" w:hAnsi="Arial" w:eastAsia="Arial" w:cs="Arial"/>
                <w:b w:val="0"/>
                <w:bCs w:val="0"/>
                <w:sz w:val="20"/>
                <w:szCs w:val="20"/>
              </w:rPr>
              <w:t>F 财政</w:t>
            </w:r>
          </w:p>
        </w:tc>
        <w:tc>
          <w:tcPr>
            <w:tcW w:w="1200" w:type="dxa"/>
            <w:tcMar>
              <w:top w:w="80" w:type="dxa"/>
              <w:left w:w="120" w:type="dxa"/>
              <w:bottom w:w="80" w:type="dxa"/>
              <w:right w:w="120" w:type="dxa"/>
            </w:tcMar>
            <w:vAlign w:val="center"/>
          </w:tcPr>
          <w:p w14:paraId="4EBE79DB">
            <w:pPr>
              <w:spacing w:before="20" w:after="20" w:line="320" w:lineRule="auto"/>
              <w:jc w:val="left"/>
            </w:pPr>
            <w:r>
              <w:rPr>
                <w:rFonts w:ascii="Arial" w:hAnsi="Arial" w:eastAsia="Arial" w:cs="Arial"/>
                <w:b w:val="0"/>
                <w:bCs w:val="0"/>
                <w:sz w:val="20"/>
                <w:szCs w:val="20"/>
              </w:rPr>
              <w:t>15%</w:t>
            </w:r>
          </w:p>
        </w:tc>
        <w:tc>
          <w:tcPr>
            <w:tcW w:w="6560" w:type="dxa"/>
            <w:tcMar>
              <w:top w:w="80" w:type="dxa"/>
              <w:left w:w="120" w:type="dxa"/>
              <w:bottom w:w="80" w:type="dxa"/>
              <w:right w:w="120" w:type="dxa"/>
            </w:tcMar>
            <w:vAlign w:val="center"/>
          </w:tcPr>
          <w:p w14:paraId="6CAC220C">
            <w:pPr>
              <w:spacing w:before="20" w:after="20" w:line="320" w:lineRule="auto"/>
              <w:jc w:val="left"/>
            </w:pPr>
            <w:r>
              <w:rPr>
                <w:rFonts w:ascii="Arial" w:hAnsi="Arial" w:eastAsia="Arial" w:cs="Arial"/>
                <w:b w:val="0"/>
                <w:bCs w:val="0"/>
                <w:sz w:val="20"/>
                <w:szCs w:val="20"/>
              </w:rPr>
              <w:t>定量上最难精确测（MTS 月度数据）——权重最低</w:t>
            </w:r>
          </w:p>
        </w:tc>
      </w:tr>
    </w:tbl>
    <w:p w14:paraId="1FCF2618">
      <w:pPr>
        <w:spacing w:before="120" w:after="0"/>
      </w:pPr>
    </w:p>
    <w:p w14:paraId="22C452CD">
      <w:pPr>
        <w:spacing w:before="60" w:after="60" w:line="360" w:lineRule="auto"/>
      </w:pPr>
      <w:r>
        <w:rPr>
          <w:rFonts w:ascii="Arial" w:hAnsi="Arial" w:eastAsia="Arial" w:cs="Arial"/>
          <w:b/>
          <w:bCs/>
          <w:sz w:val="22"/>
          <w:szCs w:val="22"/>
        </w:rPr>
        <w:t>权重不固定：</w:t>
      </w:r>
      <w:r>
        <w:rPr>
          <w:rFonts w:ascii="Arial" w:hAnsi="Arial" w:eastAsia="Arial" w:cs="Arial"/>
          <w:sz w:val="22"/>
          <w:szCs w:val="22"/>
        </w:rPr>
        <w:t>不同通胀体制下权重会动态调整：</w:t>
      </w:r>
    </w:p>
    <w:p w14:paraId="1EC7B199">
      <w:pPr>
        <w:pStyle w:val="16"/>
        <w:numPr>
          <w:ilvl w:val="0"/>
          <w:numId w:val="2"/>
        </w:numPr>
        <w:spacing w:before="40" w:after="40" w:line="340" w:lineRule="auto"/>
      </w:pPr>
      <w:r>
        <w:rPr>
          <w:rFonts w:ascii="Arial" w:hAnsi="Arial" w:eastAsia="Arial" w:cs="Arial"/>
          <w:sz w:val="22"/>
          <w:szCs w:val="22"/>
        </w:rPr>
        <w:t>再加速体制：D 权重上调（供给冲击显著）、P 权重下调（已实现数据滞后无法反映最新动能）。</w:t>
      </w:r>
    </w:p>
    <w:p w14:paraId="64004D78">
      <w:pPr>
        <w:pStyle w:val="16"/>
        <w:numPr>
          <w:ilvl w:val="0"/>
          <w:numId w:val="2"/>
        </w:numPr>
        <w:spacing w:before="40" w:after="40" w:line="340" w:lineRule="auto"/>
      </w:pPr>
      <w:r>
        <w:rPr>
          <w:rFonts w:ascii="Arial" w:hAnsi="Arial" w:eastAsia="Arial" w:cs="Arial"/>
          <w:sz w:val="22"/>
          <w:szCs w:val="22"/>
        </w:rPr>
        <w:t>粘性通胀体制（当前）：P 和 N 权重上调（粘性由事实 + 叙事共同维持，E 已 partial 脱锚）。</w:t>
      </w:r>
    </w:p>
    <w:p w14:paraId="6A23DC20">
      <w:pPr>
        <w:pStyle w:val="16"/>
        <w:numPr>
          <w:ilvl w:val="0"/>
          <w:numId w:val="2"/>
        </w:numPr>
        <w:spacing w:before="40" w:after="40" w:line="340" w:lineRule="auto"/>
      </w:pPr>
      <w:r>
        <w:rPr>
          <w:rFonts w:ascii="Arial" w:hAnsi="Arial" w:eastAsia="Arial" w:cs="Arial"/>
          <w:sz w:val="22"/>
          <w:szCs w:val="22"/>
        </w:rPr>
        <w:t>通缩体制：E 权重大幅上调（预期拐点是最核心信号，实际通胀只是滞后确认）。</w:t>
      </w:r>
    </w:p>
    <w:p w14:paraId="591BF97B">
      <w:pPr>
        <w:spacing w:before="60" w:after="60" w:line="360" w:lineRule="auto"/>
      </w:pPr>
      <w:r>
        <w:rPr>
          <w:rFonts w:ascii="Arial" w:hAnsi="Arial" w:eastAsia="Arial" w:cs="Arial"/>
          <w:sz w:val="22"/>
          <w:szCs w:val="22"/>
        </w:rPr>
        <w:t>这是一个准-Bayesian 权重系统：先验是固定基线，后验根据体制观测动态更新。具体更新通过每月回归 IC（信息系数）完成。</w:t>
      </w:r>
    </w:p>
    <w:p w14:paraId="70CD567D">
      <w:pPr>
        <w:pStyle w:val="3"/>
      </w:pPr>
      <w:r>
        <w:rPr>
          <w:rFonts w:ascii="Arial" w:hAnsi="Arial" w:eastAsia="Arial" w:cs="Arial"/>
          <w:b/>
          <w:bCs/>
          <w:sz w:val="26"/>
          <w:szCs w:val="26"/>
        </w:rPr>
        <w:t>4.4 子因子选择：数据源与领先-滞后谱系</w:t>
      </w:r>
    </w:p>
    <w:p w14:paraId="1C189BB1">
      <w:pPr>
        <w:spacing w:before="60" w:after="60" w:line="360" w:lineRule="auto"/>
      </w:pPr>
      <w:r>
        <w:rPr>
          <w:rFonts w:ascii="Arial" w:hAnsi="Arial" w:eastAsia="Arial" w:cs="Arial"/>
          <w:sz w:val="22"/>
          <w:szCs w:val="22"/>
        </w:rPr>
        <w:t>每个分项下的子因子按领先-同步-滞后三层分层。以 P 分项为例：</w:t>
      </w:r>
    </w:p>
    <w:tbl>
      <w:tblPr>
        <w:tblStyle w:val="11"/>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800"/>
        <w:gridCol w:w="1200"/>
        <w:gridCol w:w="2000"/>
        <w:gridCol w:w="900"/>
        <w:gridCol w:w="3460"/>
      </w:tblGrid>
      <w:tr w14:paraId="5F535491">
        <w:trPr>
          <w:tblHeader/>
        </w:trPr>
        <w:tc>
          <w:tcPr>
            <w:tcW w:w="1800" w:type="dxa"/>
            <w:shd w:val="clear" w:color="auto" w:fill="1F3864"/>
            <w:tcMar>
              <w:top w:w="80" w:type="dxa"/>
              <w:left w:w="120" w:type="dxa"/>
              <w:bottom w:w="80" w:type="dxa"/>
              <w:right w:w="120" w:type="dxa"/>
            </w:tcMar>
            <w:vAlign w:val="center"/>
          </w:tcPr>
          <w:p w14:paraId="2A9055AA">
            <w:pPr>
              <w:spacing w:before="20" w:after="20" w:line="320" w:lineRule="auto"/>
              <w:jc w:val="center"/>
            </w:pPr>
            <w:r>
              <w:rPr>
                <w:rFonts w:ascii="Arial" w:hAnsi="Arial" w:eastAsia="Arial" w:cs="Arial"/>
                <w:b/>
                <w:bCs/>
                <w:color w:val="FFFFFF"/>
                <w:sz w:val="20"/>
                <w:szCs w:val="20"/>
              </w:rPr>
              <w:t>子因子</w:t>
            </w:r>
          </w:p>
        </w:tc>
        <w:tc>
          <w:tcPr>
            <w:tcW w:w="1200" w:type="dxa"/>
            <w:shd w:val="clear" w:color="auto" w:fill="1F3864"/>
            <w:tcMar>
              <w:top w:w="80" w:type="dxa"/>
              <w:left w:w="120" w:type="dxa"/>
              <w:bottom w:w="80" w:type="dxa"/>
              <w:right w:w="120" w:type="dxa"/>
            </w:tcMar>
            <w:vAlign w:val="center"/>
          </w:tcPr>
          <w:p w14:paraId="32D1C012">
            <w:pPr>
              <w:spacing w:before="20" w:after="20" w:line="320" w:lineRule="auto"/>
              <w:jc w:val="center"/>
            </w:pPr>
            <w:r>
              <w:rPr>
                <w:rFonts w:ascii="Arial" w:hAnsi="Arial" w:eastAsia="Arial" w:cs="Arial"/>
                <w:b/>
                <w:bCs/>
                <w:color w:val="FFFFFF"/>
                <w:sz w:val="20"/>
                <w:szCs w:val="20"/>
              </w:rPr>
              <w:t>数据源</w:t>
            </w:r>
          </w:p>
        </w:tc>
        <w:tc>
          <w:tcPr>
            <w:tcW w:w="2000" w:type="dxa"/>
            <w:shd w:val="clear" w:color="auto" w:fill="1F3864"/>
            <w:tcMar>
              <w:top w:w="80" w:type="dxa"/>
              <w:left w:w="120" w:type="dxa"/>
              <w:bottom w:w="80" w:type="dxa"/>
              <w:right w:w="120" w:type="dxa"/>
            </w:tcMar>
            <w:vAlign w:val="center"/>
          </w:tcPr>
          <w:p w14:paraId="70FCBDBE">
            <w:pPr>
              <w:spacing w:before="20" w:after="20" w:line="320" w:lineRule="auto"/>
              <w:jc w:val="center"/>
            </w:pPr>
            <w:r>
              <w:rPr>
                <w:rFonts w:ascii="Arial" w:hAnsi="Arial" w:eastAsia="Arial" w:cs="Arial"/>
                <w:b/>
                <w:bCs/>
                <w:color w:val="FFFFFF"/>
                <w:sz w:val="20"/>
                <w:szCs w:val="20"/>
              </w:rPr>
              <w:t>分层</w:t>
            </w:r>
          </w:p>
        </w:tc>
        <w:tc>
          <w:tcPr>
            <w:tcW w:w="900" w:type="dxa"/>
            <w:shd w:val="clear" w:color="auto" w:fill="1F3864"/>
            <w:tcMar>
              <w:top w:w="80" w:type="dxa"/>
              <w:left w:w="120" w:type="dxa"/>
              <w:bottom w:w="80" w:type="dxa"/>
              <w:right w:w="120" w:type="dxa"/>
            </w:tcMar>
            <w:vAlign w:val="center"/>
          </w:tcPr>
          <w:p w14:paraId="7F61C870">
            <w:pPr>
              <w:spacing w:before="20" w:after="20" w:line="320" w:lineRule="auto"/>
              <w:jc w:val="center"/>
            </w:pPr>
            <w:r>
              <w:rPr>
                <w:rFonts w:ascii="Arial" w:hAnsi="Arial" w:eastAsia="Arial" w:cs="Arial"/>
                <w:b/>
                <w:bCs/>
                <w:color w:val="FFFFFF"/>
                <w:sz w:val="20"/>
                <w:szCs w:val="20"/>
              </w:rPr>
              <w:t>权重</w:t>
            </w:r>
          </w:p>
        </w:tc>
        <w:tc>
          <w:tcPr>
            <w:tcW w:w="3460" w:type="dxa"/>
            <w:shd w:val="clear" w:color="auto" w:fill="1F3864"/>
            <w:tcMar>
              <w:top w:w="80" w:type="dxa"/>
              <w:left w:w="120" w:type="dxa"/>
              <w:bottom w:w="80" w:type="dxa"/>
              <w:right w:w="120" w:type="dxa"/>
            </w:tcMar>
            <w:vAlign w:val="center"/>
          </w:tcPr>
          <w:p w14:paraId="2054ED6F">
            <w:pPr>
              <w:spacing w:before="20" w:after="20" w:line="320" w:lineRule="auto"/>
              <w:jc w:val="center"/>
            </w:pPr>
            <w:r>
              <w:rPr>
                <w:rFonts w:ascii="Arial" w:hAnsi="Arial" w:eastAsia="Arial" w:cs="Arial"/>
                <w:b/>
                <w:bCs/>
                <w:color w:val="FFFFFF"/>
                <w:sz w:val="20"/>
                <w:szCs w:val="20"/>
              </w:rPr>
              <w:t>说明</w:t>
            </w:r>
          </w:p>
        </w:tc>
      </w:tr>
      <w:tr w14:paraId="4E69C351">
        <w:tc>
          <w:tcPr>
            <w:tcW w:w="1800" w:type="dxa"/>
            <w:tcMar>
              <w:top w:w="80" w:type="dxa"/>
              <w:left w:w="120" w:type="dxa"/>
              <w:bottom w:w="80" w:type="dxa"/>
              <w:right w:w="120" w:type="dxa"/>
            </w:tcMar>
            <w:vAlign w:val="center"/>
          </w:tcPr>
          <w:p w14:paraId="3D0005EE">
            <w:pPr>
              <w:spacing w:before="20" w:after="20" w:line="320" w:lineRule="auto"/>
              <w:jc w:val="left"/>
            </w:pPr>
            <w:r>
              <w:rPr>
                <w:rFonts w:ascii="Arial" w:hAnsi="Arial" w:eastAsia="Arial" w:cs="Arial"/>
                <w:b w:val="0"/>
                <w:bCs w:val="0"/>
                <w:sz w:val="20"/>
                <w:szCs w:val="20"/>
              </w:rPr>
              <w:t>CPI YoY</w:t>
            </w:r>
          </w:p>
        </w:tc>
        <w:tc>
          <w:tcPr>
            <w:tcW w:w="1200" w:type="dxa"/>
            <w:tcMar>
              <w:top w:w="80" w:type="dxa"/>
              <w:left w:w="120" w:type="dxa"/>
              <w:bottom w:w="80" w:type="dxa"/>
              <w:right w:w="120" w:type="dxa"/>
            </w:tcMar>
            <w:vAlign w:val="center"/>
          </w:tcPr>
          <w:p w14:paraId="34D110A0">
            <w:pPr>
              <w:spacing w:before="20" w:after="20" w:line="320" w:lineRule="auto"/>
              <w:jc w:val="left"/>
            </w:pPr>
            <w:r>
              <w:rPr>
                <w:rFonts w:ascii="Arial" w:hAnsi="Arial" w:eastAsia="Arial" w:cs="Arial"/>
                <w:b w:val="0"/>
                <w:bCs w:val="0"/>
                <w:sz w:val="20"/>
                <w:szCs w:val="20"/>
              </w:rPr>
              <w:t>BLS</w:t>
            </w:r>
          </w:p>
        </w:tc>
        <w:tc>
          <w:tcPr>
            <w:tcW w:w="2000" w:type="dxa"/>
            <w:tcMar>
              <w:top w:w="80" w:type="dxa"/>
              <w:left w:w="120" w:type="dxa"/>
              <w:bottom w:w="80" w:type="dxa"/>
              <w:right w:w="120" w:type="dxa"/>
            </w:tcMar>
            <w:vAlign w:val="center"/>
          </w:tcPr>
          <w:p w14:paraId="1F1E1722">
            <w:pPr>
              <w:spacing w:before="20" w:after="20" w:line="320" w:lineRule="auto"/>
              <w:jc w:val="left"/>
            </w:pPr>
            <w:r>
              <w:rPr>
                <w:rFonts w:ascii="Arial" w:hAnsi="Arial" w:eastAsia="Arial" w:cs="Arial"/>
                <w:b w:val="0"/>
                <w:bCs w:val="0"/>
                <w:sz w:val="20"/>
                <w:szCs w:val="20"/>
              </w:rPr>
              <w:t>同步</w:t>
            </w:r>
          </w:p>
        </w:tc>
        <w:tc>
          <w:tcPr>
            <w:tcW w:w="900" w:type="dxa"/>
            <w:tcMar>
              <w:top w:w="80" w:type="dxa"/>
              <w:left w:w="120" w:type="dxa"/>
              <w:bottom w:w="80" w:type="dxa"/>
              <w:right w:w="120" w:type="dxa"/>
            </w:tcMar>
            <w:vAlign w:val="center"/>
          </w:tcPr>
          <w:p w14:paraId="190333B8">
            <w:pPr>
              <w:spacing w:before="20" w:after="20" w:line="320" w:lineRule="auto"/>
              <w:jc w:val="left"/>
            </w:pPr>
            <w:r>
              <w:rPr>
                <w:rFonts w:ascii="Arial" w:hAnsi="Arial" w:eastAsia="Arial" w:cs="Arial"/>
                <w:b w:val="0"/>
                <w:bCs w:val="0"/>
                <w:sz w:val="20"/>
                <w:szCs w:val="20"/>
              </w:rPr>
              <w:t>20%</w:t>
            </w:r>
          </w:p>
        </w:tc>
        <w:tc>
          <w:tcPr>
            <w:tcW w:w="3460" w:type="dxa"/>
            <w:tcMar>
              <w:top w:w="80" w:type="dxa"/>
              <w:left w:w="120" w:type="dxa"/>
              <w:bottom w:w="80" w:type="dxa"/>
              <w:right w:w="120" w:type="dxa"/>
            </w:tcMar>
            <w:vAlign w:val="center"/>
          </w:tcPr>
          <w:p w14:paraId="1571BCF1">
            <w:pPr>
              <w:spacing w:before="20" w:after="20" w:line="320" w:lineRule="auto"/>
              <w:jc w:val="left"/>
            </w:pPr>
            <w:r>
              <w:rPr>
                <w:rFonts w:ascii="Arial" w:hAnsi="Arial" w:eastAsia="Arial" w:cs="Arial"/>
                <w:b w:val="0"/>
                <w:bCs w:val="0"/>
                <w:sz w:val="20"/>
                <w:szCs w:val="20"/>
              </w:rPr>
              <w:t>市场最关注，但被住房滞后污染</w:t>
            </w:r>
          </w:p>
        </w:tc>
      </w:tr>
      <w:tr w14:paraId="327EDF1A">
        <w:tc>
          <w:tcPr>
            <w:tcW w:w="1800" w:type="dxa"/>
            <w:tcMar>
              <w:top w:w="80" w:type="dxa"/>
              <w:left w:w="120" w:type="dxa"/>
              <w:bottom w:w="80" w:type="dxa"/>
              <w:right w:w="120" w:type="dxa"/>
            </w:tcMar>
            <w:vAlign w:val="center"/>
          </w:tcPr>
          <w:p w14:paraId="02AE25D0">
            <w:pPr>
              <w:spacing w:before="20" w:after="20" w:line="320" w:lineRule="auto"/>
              <w:jc w:val="left"/>
            </w:pPr>
            <w:r>
              <w:rPr>
                <w:rFonts w:ascii="Arial" w:hAnsi="Arial" w:eastAsia="Arial" w:cs="Arial"/>
                <w:b w:val="0"/>
                <w:bCs w:val="0"/>
                <w:sz w:val="20"/>
                <w:szCs w:val="20"/>
              </w:rPr>
              <w:t>Core CPI YoY</w:t>
            </w:r>
          </w:p>
        </w:tc>
        <w:tc>
          <w:tcPr>
            <w:tcW w:w="1200" w:type="dxa"/>
            <w:tcMar>
              <w:top w:w="80" w:type="dxa"/>
              <w:left w:w="120" w:type="dxa"/>
              <w:bottom w:w="80" w:type="dxa"/>
              <w:right w:w="120" w:type="dxa"/>
            </w:tcMar>
            <w:vAlign w:val="center"/>
          </w:tcPr>
          <w:p w14:paraId="234E65C5">
            <w:pPr>
              <w:spacing w:before="20" w:after="20" w:line="320" w:lineRule="auto"/>
              <w:jc w:val="left"/>
            </w:pPr>
            <w:r>
              <w:rPr>
                <w:rFonts w:ascii="Arial" w:hAnsi="Arial" w:eastAsia="Arial" w:cs="Arial"/>
                <w:b w:val="0"/>
                <w:bCs w:val="0"/>
                <w:sz w:val="20"/>
                <w:szCs w:val="20"/>
              </w:rPr>
              <w:t>BLS</w:t>
            </w:r>
          </w:p>
        </w:tc>
        <w:tc>
          <w:tcPr>
            <w:tcW w:w="2000" w:type="dxa"/>
            <w:tcMar>
              <w:top w:w="80" w:type="dxa"/>
              <w:left w:w="120" w:type="dxa"/>
              <w:bottom w:w="80" w:type="dxa"/>
              <w:right w:w="120" w:type="dxa"/>
            </w:tcMar>
            <w:vAlign w:val="center"/>
          </w:tcPr>
          <w:p w14:paraId="4FAFC841">
            <w:pPr>
              <w:spacing w:before="20" w:after="20" w:line="320" w:lineRule="auto"/>
              <w:jc w:val="left"/>
            </w:pPr>
            <w:r>
              <w:rPr>
                <w:rFonts w:ascii="Arial" w:hAnsi="Arial" w:eastAsia="Arial" w:cs="Arial"/>
                <w:b w:val="0"/>
                <w:bCs w:val="0"/>
                <w:sz w:val="20"/>
                <w:szCs w:val="20"/>
              </w:rPr>
              <w:t>同步 + 粘性</w:t>
            </w:r>
          </w:p>
        </w:tc>
        <w:tc>
          <w:tcPr>
            <w:tcW w:w="900" w:type="dxa"/>
            <w:tcMar>
              <w:top w:w="80" w:type="dxa"/>
              <w:left w:w="120" w:type="dxa"/>
              <w:bottom w:w="80" w:type="dxa"/>
              <w:right w:w="120" w:type="dxa"/>
            </w:tcMar>
            <w:vAlign w:val="center"/>
          </w:tcPr>
          <w:p w14:paraId="53108426">
            <w:pPr>
              <w:spacing w:before="20" w:after="20" w:line="320" w:lineRule="auto"/>
              <w:jc w:val="left"/>
            </w:pPr>
            <w:r>
              <w:rPr>
                <w:rFonts w:ascii="Arial" w:hAnsi="Arial" w:eastAsia="Arial" w:cs="Arial"/>
                <w:b w:val="0"/>
                <w:bCs w:val="0"/>
                <w:sz w:val="20"/>
                <w:szCs w:val="20"/>
              </w:rPr>
              <w:t>25%</w:t>
            </w:r>
          </w:p>
        </w:tc>
        <w:tc>
          <w:tcPr>
            <w:tcW w:w="3460" w:type="dxa"/>
            <w:tcMar>
              <w:top w:w="80" w:type="dxa"/>
              <w:left w:w="120" w:type="dxa"/>
              <w:bottom w:w="80" w:type="dxa"/>
              <w:right w:w="120" w:type="dxa"/>
            </w:tcMar>
            <w:vAlign w:val="center"/>
          </w:tcPr>
          <w:p w14:paraId="5107922C">
            <w:pPr>
              <w:spacing w:before="20" w:after="20" w:line="320" w:lineRule="auto"/>
              <w:jc w:val="left"/>
            </w:pPr>
            <w:r>
              <w:rPr>
                <w:rFonts w:ascii="Arial" w:hAnsi="Arial" w:eastAsia="Arial" w:cs="Arial"/>
                <w:b w:val="0"/>
                <w:bCs w:val="0"/>
                <w:sz w:val="20"/>
                <w:szCs w:val="20"/>
              </w:rPr>
              <w:t>剔除能源和食品，更接近长期趋势</w:t>
            </w:r>
          </w:p>
        </w:tc>
      </w:tr>
      <w:tr w14:paraId="2B038944">
        <w:tc>
          <w:tcPr>
            <w:tcW w:w="1800" w:type="dxa"/>
            <w:tcMar>
              <w:top w:w="80" w:type="dxa"/>
              <w:left w:w="120" w:type="dxa"/>
              <w:bottom w:w="80" w:type="dxa"/>
              <w:right w:w="120" w:type="dxa"/>
            </w:tcMar>
            <w:vAlign w:val="center"/>
          </w:tcPr>
          <w:p w14:paraId="2EAFD855">
            <w:pPr>
              <w:spacing w:before="20" w:after="20" w:line="320" w:lineRule="auto"/>
              <w:jc w:val="left"/>
            </w:pPr>
            <w:r>
              <w:rPr>
                <w:rFonts w:ascii="Arial" w:hAnsi="Arial" w:eastAsia="Arial" w:cs="Arial"/>
                <w:b w:val="0"/>
                <w:bCs w:val="0"/>
                <w:sz w:val="20"/>
                <w:szCs w:val="20"/>
              </w:rPr>
              <w:t>PCE YoY</w:t>
            </w:r>
          </w:p>
        </w:tc>
        <w:tc>
          <w:tcPr>
            <w:tcW w:w="1200" w:type="dxa"/>
            <w:tcMar>
              <w:top w:w="80" w:type="dxa"/>
              <w:left w:w="120" w:type="dxa"/>
              <w:bottom w:w="80" w:type="dxa"/>
              <w:right w:w="120" w:type="dxa"/>
            </w:tcMar>
            <w:vAlign w:val="center"/>
          </w:tcPr>
          <w:p w14:paraId="6FEC3ED8">
            <w:pPr>
              <w:spacing w:before="20" w:after="20" w:line="320" w:lineRule="auto"/>
              <w:jc w:val="left"/>
            </w:pPr>
            <w:r>
              <w:rPr>
                <w:rFonts w:ascii="Arial" w:hAnsi="Arial" w:eastAsia="Arial" w:cs="Arial"/>
                <w:b w:val="0"/>
                <w:bCs w:val="0"/>
                <w:sz w:val="20"/>
                <w:szCs w:val="20"/>
              </w:rPr>
              <w:t>BEA</w:t>
            </w:r>
          </w:p>
        </w:tc>
        <w:tc>
          <w:tcPr>
            <w:tcW w:w="2000" w:type="dxa"/>
            <w:tcMar>
              <w:top w:w="80" w:type="dxa"/>
              <w:left w:w="120" w:type="dxa"/>
              <w:bottom w:w="80" w:type="dxa"/>
              <w:right w:w="120" w:type="dxa"/>
            </w:tcMar>
            <w:vAlign w:val="center"/>
          </w:tcPr>
          <w:p w14:paraId="5008402A">
            <w:pPr>
              <w:spacing w:before="20" w:after="20" w:line="320" w:lineRule="auto"/>
              <w:jc w:val="left"/>
            </w:pPr>
            <w:r>
              <w:rPr>
                <w:rFonts w:ascii="Arial" w:hAnsi="Arial" w:eastAsia="Arial" w:cs="Arial"/>
                <w:b w:val="0"/>
                <w:bCs w:val="0"/>
                <w:sz w:val="20"/>
                <w:szCs w:val="20"/>
              </w:rPr>
              <w:t>同步</w:t>
            </w:r>
          </w:p>
        </w:tc>
        <w:tc>
          <w:tcPr>
            <w:tcW w:w="900" w:type="dxa"/>
            <w:tcMar>
              <w:top w:w="80" w:type="dxa"/>
              <w:left w:w="120" w:type="dxa"/>
              <w:bottom w:w="80" w:type="dxa"/>
              <w:right w:w="120" w:type="dxa"/>
            </w:tcMar>
            <w:vAlign w:val="center"/>
          </w:tcPr>
          <w:p w14:paraId="57287ABA">
            <w:pPr>
              <w:spacing w:before="20" w:after="20" w:line="320" w:lineRule="auto"/>
              <w:jc w:val="left"/>
            </w:pPr>
            <w:r>
              <w:rPr>
                <w:rFonts w:ascii="Arial" w:hAnsi="Arial" w:eastAsia="Arial" w:cs="Arial"/>
                <w:b w:val="0"/>
                <w:bCs w:val="0"/>
                <w:sz w:val="20"/>
                <w:szCs w:val="20"/>
              </w:rPr>
              <w:t>15%</w:t>
            </w:r>
          </w:p>
        </w:tc>
        <w:tc>
          <w:tcPr>
            <w:tcW w:w="3460" w:type="dxa"/>
            <w:tcMar>
              <w:top w:w="80" w:type="dxa"/>
              <w:left w:w="120" w:type="dxa"/>
              <w:bottom w:w="80" w:type="dxa"/>
              <w:right w:w="120" w:type="dxa"/>
            </w:tcMar>
            <w:vAlign w:val="center"/>
          </w:tcPr>
          <w:p w14:paraId="52575748">
            <w:pPr>
              <w:spacing w:before="20" w:after="20" w:line="320" w:lineRule="auto"/>
              <w:jc w:val="left"/>
            </w:pPr>
            <w:r>
              <w:rPr>
                <w:rFonts w:ascii="Arial" w:hAnsi="Arial" w:eastAsia="Arial" w:cs="Arial"/>
                <w:b w:val="0"/>
                <w:bCs w:val="0"/>
                <w:sz w:val="20"/>
                <w:szCs w:val="20"/>
              </w:rPr>
              <w:t>Fed 首选指标</w:t>
            </w:r>
          </w:p>
        </w:tc>
      </w:tr>
      <w:tr w14:paraId="5FAD43C5">
        <w:tc>
          <w:tcPr>
            <w:tcW w:w="1800" w:type="dxa"/>
            <w:tcMar>
              <w:top w:w="80" w:type="dxa"/>
              <w:left w:w="120" w:type="dxa"/>
              <w:bottom w:w="80" w:type="dxa"/>
              <w:right w:w="120" w:type="dxa"/>
            </w:tcMar>
            <w:vAlign w:val="center"/>
          </w:tcPr>
          <w:p w14:paraId="3AEA5008">
            <w:pPr>
              <w:spacing w:before="20" w:after="20" w:line="320" w:lineRule="auto"/>
              <w:jc w:val="left"/>
            </w:pPr>
            <w:r>
              <w:rPr>
                <w:rFonts w:ascii="Arial" w:hAnsi="Arial" w:eastAsia="Arial" w:cs="Arial"/>
                <w:b w:val="0"/>
                <w:bCs w:val="0"/>
                <w:sz w:val="20"/>
                <w:szCs w:val="20"/>
              </w:rPr>
              <w:t>Core PCE YoY</w:t>
            </w:r>
          </w:p>
        </w:tc>
        <w:tc>
          <w:tcPr>
            <w:tcW w:w="1200" w:type="dxa"/>
            <w:tcMar>
              <w:top w:w="80" w:type="dxa"/>
              <w:left w:w="120" w:type="dxa"/>
              <w:bottom w:w="80" w:type="dxa"/>
              <w:right w:w="120" w:type="dxa"/>
            </w:tcMar>
            <w:vAlign w:val="center"/>
          </w:tcPr>
          <w:p w14:paraId="6DAA77B7">
            <w:pPr>
              <w:spacing w:before="20" w:after="20" w:line="320" w:lineRule="auto"/>
              <w:jc w:val="left"/>
            </w:pPr>
            <w:r>
              <w:rPr>
                <w:rFonts w:ascii="Arial" w:hAnsi="Arial" w:eastAsia="Arial" w:cs="Arial"/>
                <w:b w:val="0"/>
                <w:bCs w:val="0"/>
                <w:sz w:val="20"/>
                <w:szCs w:val="20"/>
              </w:rPr>
              <w:t>BEA</w:t>
            </w:r>
          </w:p>
        </w:tc>
        <w:tc>
          <w:tcPr>
            <w:tcW w:w="2000" w:type="dxa"/>
            <w:tcMar>
              <w:top w:w="80" w:type="dxa"/>
              <w:left w:w="120" w:type="dxa"/>
              <w:bottom w:w="80" w:type="dxa"/>
              <w:right w:w="120" w:type="dxa"/>
            </w:tcMar>
            <w:vAlign w:val="center"/>
          </w:tcPr>
          <w:p w14:paraId="3E30A7F6">
            <w:pPr>
              <w:spacing w:before="20" w:after="20" w:line="320" w:lineRule="auto"/>
              <w:jc w:val="left"/>
            </w:pPr>
            <w:r>
              <w:rPr>
                <w:rFonts w:ascii="Arial" w:hAnsi="Arial" w:eastAsia="Arial" w:cs="Arial"/>
                <w:b w:val="0"/>
                <w:bCs w:val="0"/>
                <w:sz w:val="20"/>
                <w:szCs w:val="20"/>
              </w:rPr>
              <w:t>同步 + 粘性 + 政策锚定</w:t>
            </w:r>
          </w:p>
        </w:tc>
        <w:tc>
          <w:tcPr>
            <w:tcW w:w="900" w:type="dxa"/>
            <w:tcMar>
              <w:top w:w="80" w:type="dxa"/>
              <w:left w:w="120" w:type="dxa"/>
              <w:bottom w:w="80" w:type="dxa"/>
              <w:right w:w="120" w:type="dxa"/>
            </w:tcMar>
            <w:vAlign w:val="center"/>
          </w:tcPr>
          <w:p w14:paraId="04CA686E">
            <w:pPr>
              <w:spacing w:before="20" w:after="20" w:line="320" w:lineRule="auto"/>
              <w:jc w:val="left"/>
            </w:pPr>
            <w:r>
              <w:rPr>
                <w:rFonts w:ascii="Arial" w:hAnsi="Arial" w:eastAsia="Arial" w:cs="Arial"/>
                <w:b w:val="0"/>
                <w:bCs w:val="0"/>
                <w:sz w:val="20"/>
                <w:szCs w:val="20"/>
              </w:rPr>
              <w:t>20%</w:t>
            </w:r>
          </w:p>
        </w:tc>
        <w:tc>
          <w:tcPr>
            <w:tcW w:w="3460" w:type="dxa"/>
            <w:tcMar>
              <w:top w:w="80" w:type="dxa"/>
              <w:left w:w="120" w:type="dxa"/>
              <w:bottom w:w="80" w:type="dxa"/>
              <w:right w:w="120" w:type="dxa"/>
            </w:tcMar>
            <w:vAlign w:val="center"/>
          </w:tcPr>
          <w:p w14:paraId="4794012E">
            <w:pPr>
              <w:spacing w:before="20" w:after="20" w:line="320" w:lineRule="auto"/>
              <w:jc w:val="left"/>
            </w:pPr>
            <w:r>
              <w:rPr>
                <w:rFonts w:ascii="Arial" w:hAnsi="Arial" w:eastAsia="Arial" w:cs="Arial"/>
                <w:b w:val="0"/>
                <w:bCs w:val="0"/>
                <w:sz w:val="20"/>
                <w:szCs w:val="20"/>
              </w:rPr>
              <w:t>直接对应 Fed 2% 目标</w:t>
            </w:r>
          </w:p>
        </w:tc>
      </w:tr>
      <w:tr w14:paraId="0D9EE02E">
        <w:tc>
          <w:tcPr>
            <w:tcW w:w="1800" w:type="dxa"/>
            <w:tcMar>
              <w:top w:w="80" w:type="dxa"/>
              <w:left w:w="120" w:type="dxa"/>
              <w:bottom w:w="80" w:type="dxa"/>
              <w:right w:w="120" w:type="dxa"/>
            </w:tcMar>
            <w:vAlign w:val="center"/>
          </w:tcPr>
          <w:p w14:paraId="3F67AD0F">
            <w:pPr>
              <w:spacing w:before="20" w:after="20" w:line="320" w:lineRule="auto"/>
              <w:jc w:val="left"/>
            </w:pPr>
            <w:r>
              <w:rPr>
                <w:rFonts w:ascii="Arial" w:hAnsi="Arial" w:eastAsia="Arial" w:cs="Arial"/>
                <w:b w:val="0"/>
                <w:bCs w:val="0"/>
                <w:sz w:val="20"/>
                <w:szCs w:val="20"/>
              </w:rPr>
              <w:t>PPI YoY</w:t>
            </w:r>
          </w:p>
        </w:tc>
        <w:tc>
          <w:tcPr>
            <w:tcW w:w="1200" w:type="dxa"/>
            <w:tcMar>
              <w:top w:w="80" w:type="dxa"/>
              <w:left w:w="120" w:type="dxa"/>
              <w:bottom w:w="80" w:type="dxa"/>
              <w:right w:w="120" w:type="dxa"/>
            </w:tcMar>
            <w:vAlign w:val="center"/>
          </w:tcPr>
          <w:p w14:paraId="52C62483">
            <w:pPr>
              <w:spacing w:before="20" w:after="20" w:line="320" w:lineRule="auto"/>
              <w:jc w:val="left"/>
            </w:pPr>
            <w:r>
              <w:rPr>
                <w:rFonts w:ascii="Arial" w:hAnsi="Arial" w:eastAsia="Arial" w:cs="Arial"/>
                <w:b w:val="0"/>
                <w:bCs w:val="0"/>
                <w:sz w:val="20"/>
                <w:szCs w:val="20"/>
              </w:rPr>
              <w:t>BLS</w:t>
            </w:r>
          </w:p>
        </w:tc>
        <w:tc>
          <w:tcPr>
            <w:tcW w:w="2000" w:type="dxa"/>
            <w:tcMar>
              <w:top w:w="80" w:type="dxa"/>
              <w:left w:w="120" w:type="dxa"/>
              <w:bottom w:w="80" w:type="dxa"/>
              <w:right w:w="120" w:type="dxa"/>
            </w:tcMar>
            <w:vAlign w:val="center"/>
          </w:tcPr>
          <w:p w14:paraId="0933F577">
            <w:pPr>
              <w:spacing w:before="20" w:after="20" w:line="320" w:lineRule="auto"/>
              <w:jc w:val="left"/>
            </w:pPr>
            <w:r>
              <w:rPr>
                <w:rFonts w:ascii="Arial" w:hAnsi="Arial" w:eastAsia="Arial" w:cs="Arial"/>
                <w:b w:val="0"/>
                <w:bCs w:val="0"/>
                <w:sz w:val="20"/>
                <w:szCs w:val="20"/>
              </w:rPr>
              <w:t>领先 1–3 月</w:t>
            </w:r>
          </w:p>
        </w:tc>
        <w:tc>
          <w:tcPr>
            <w:tcW w:w="900" w:type="dxa"/>
            <w:tcMar>
              <w:top w:w="80" w:type="dxa"/>
              <w:left w:w="120" w:type="dxa"/>
              <w:bottom w:w="80" w:type="dxa"/>
              <w:right w:w="120" w:type="dxa"/>
            </w:tcMar>
            <w:vAlign w:val="center"/>
          </w:tcPr>
          <w:p w14:paraId="755B2AC2">
            <w:pPr>
              <w:spacing w:before="20" w:after="20" w:line="320" w:lineRule="auto"/>
              <w:jc w:val="left"/>
            </w:pPr>
            <w:r>
              <w:rPr>
                <w:rFonts w:ascii="Arial" w:hAnsi="Arial" w:eastAsia="Arial" w:cs="Arial"/>
                <w:b w:val="0"/>
                <w:bCs w:val="0"/>
                <w:sz w:val="20"/>
                <w:szCs w:val="20"/>
              </w:rPr>
              <w:t>10%</w:t>
            </w:r>
          </w:p>
        </w:tc>
        <w:tc>
          <w:tcPr>
            <w:tcW w:w="3460" w:type="dxa"/>
            <w:tcMar>
              <w:top w:w="80" w:type="dxa"/>
              <w:left w:w="120" w:type="dxa"/>
              <w:bottom w:w="80" w:type="dxa"/>
              <w:right w:w="120" w:type="dxa"/>
            </w:tcMar>
            <w:vAlign w:val="center"/>
          </w:tcPr>
          <w:p w14:paraId="6526303A">
            <w:pPr>
              <w:spacing w:before="20" w:after="20" w:line="320" w:lineRule="auto"/>
              <w:jc w:val="left"/>
            </w:pPr>
            <w:r>
              <w:rPr>
                <w:rFonts w:ascii="Arial" w:hAnsi="Arial" w:eastAsia="Arial" w:cs="Arial"/>
                <w:b w:val="0"/>
                <w:bCs w:val="0"/>
                <w:sz w:val="20"/>
                <w:szCs w:val="20"/>
              </w:rPr>
              <w:t>生产端压力传导</w:t>
            </w:r>
          </w:p>
        </w:tc>
      </w:tr>
      <w:tr w14:paraId="6B12CA86">
        <w:tc>
          <w:tcPr>
            <w:tcW w:w="1800" w:type="dxa"/>
            <w:tcMar>
              <w:top w:w="80" w:type="dxa"/>
              <w:left w:w="120" w:type="dxa"/>
              <w:bottom w:w="80" w:type="dxa"/>
              <w:right w:w="120" w:type="dxa"/>
            </w:tcMar>
            <w:vAlign w:val="center"/>
          </w:tcPr>
          <w:p w14:paraId="1FCFDEF4">
            <w:pPr>
              <w:spacing w:before="20" w:after="20" w:line="320" w:lineRule="auto"/>
              <w:jc w:val="left"/>
            </w:pPr>
            <w:r>
              <w:rPr>
                <w:rFonts w:ascii="Arial" w:hAnsi="Arial" w:eastAsia="Arial" w:cs="Arial"/>
                <w:b w:val="0"/>
                <w:bCs w:val="0"/>
                <w:sz w:val="20"/>
                <w:szCs w:val="20"/>
              </w:rPr>
              <w:t>Truflation</w:t>
            </w:r>
          </w:p>
        </w:tc>
        <w:tc>
          <w:tcPr>
            <w:tcW w:w="1200" w:type="dxa"/>
            <w:tcMar>
              <w:top w:w="80" w:type="dxa"/>
              <w:left w:w="120" w:type="dxa"/>
              <w:bottom w:w="80" w:type="dxa"/>
              <w:right w:w="120" w:type="dxa"/>
            </w:tcMar>
            <w:vAlign w:val="center"/>
          </w:tcPr>
          <w:p w14:paraId="17B8AD7F">
            <w:pPr>
              <w:spacing w:before="20" w:after="20" w:line="320" w:lineRule="auto"/>
              <w:jc w:val="left"/>
            </w:pPr>
            <w:r>
              <w:rPr>
                <w:rFonts w:ascii="Arial" w:hAnsi="Arial" w:eastAsia="Arial" w:cs="Arial"/>
                <w:b w:val="0"/>
                <w:bCs w:val="0"/>
                <w:sz w:val="20"/>
                <w:szCs w:val="20"/>
              </w:rPr>
              <w:t>爬虫实时</w:t>
            </w:r>
          </w:p>
        </w:tc>
        <w:tc>
          <w:tcPr>
            <w:tcW w:w="2000" w:type="dxa"/>
            <w:tcMar>
              <w:top w:w="80" w:type="dxa"/>
              <w:left w:w="120" w:type="dxa"/>
              <w:bottom w:w="80" w:type="dxa"/>
              <w:right w:w="120" w:type="dxa"/>
            </w:tcMar>
            <w:vAlign w:val="center"/>
          </w:tcPr>
          <w:p w14:paraId="0A4419DD">
            <w:pPr>
              <w:spacing w:before="20" w:after="20" w:line="320" w:lineRule="auto"/>
              <w:jc w:val="left"/>
            </w:pPr>
            <w:r>
              <w:rPr>
                <w:rFonts w:ascii="Arial" w:hAnsi="Arial" w:eastAsia="Arial" w:cs="Arial"/>
                <w:b w:val="0"/>
                <w:bCs w:val="0"/>
                <w:sz w:val="20"/>
                <w:szCs w:val="20"/>
              </w:rPr>
              <w:t>领先 + 实时</w:t>
            </w:r>
          </w:p>
        </w:tc>
        <w:tc>
          <w:tcPr>
            <w:tcW w:w="900" w:type="dxa"/>
            <w:tcMar>
              <w:top w:w="80" w:type="dxa"/>
              <w:left w:w="120" w:type="dxa"/>
              <w:bottom w:w="80" w:type="dxa"/>
              <w:right w:w="120" w:type="dxa"/>
            </w:tcMar>
            <w:vAlign w:val="center"/>
          </w:tcPr>
          <w:p w14:paraId="623A1AF7">
            <w:pPr>
              <w:spacing w:before="20" w:after="20" w:line="320" w:lineRule="auto"/>
              <w:jc w:val="left"/>
            </w:pPr>
            <w:r>
              <w:rPr>
                <w:rFonts w:ascii="Arial" w:hAnsi="Arial" w:eastAsia="Arial" w:cs="Arial"/>
                <w:b w:val="0"/>
                <w:bCs w:val="0"/>
                <w:sz w:val="20"/>
                <w:szCs w:val="20"/>
              </w:rPr>
              <w:t>10%</w:t>
            </w:r>
          </w:p>
        </w:tc>
        <w:tc>
          <w:tcPr>
            <w:tcW w:w="3460" w:type="dxa"/>
            <w:tcMar>
              <w:top w:w="80" w:type="dxa"/>
              <w:left w:w="120" w:type="dxa"/>
              <w:bottom w:w="80" w:type="dxa"/>
              <w:right w:w="120" w:type="dxa"/>
            </w:tcMar>
            <w:vAlign w:val="center"/>
          </w:tcPr>
          <w:p w14:paraId="66F6D159">
            <w:pPr>
              <w:spacing w:before="20" w:after="20" w:line="320" w:lineRule="auto"/>
              <w:jc w:val="left"/>
            </w:pPr>
            <w:r>
              <w:rPr>
                <w:rFonts w:ascii="Arial" w:hAnsi="Arial" w:eastAsia="Arial" w:cs="Arial"/>
                <w:b w:val="0"/>
                <w:bCs w:val="0"/>
                <w:sz w:val="20"/>
                <w:szCs w:val="20"/>
              </w:rPr>
              <w:t>日度更新，预判月度 CPI</w:t>
            </w:r>
          </w:p>
        </w:tc>
      </w:tr>
    </w:tbl>
    <w:p w14:paraId="0C2C5951">
      <w:pPr>
        <w:spacing w:before="120" w:after="0"/>
      </w:pPr>
    </w:p>
    <w:p w14:paraId="4FC717BE">
      <w:pPr>
        <w:spacing w:before="60" w:after="60" w:line="360" w:lineRule="auto"/>
      </w:pPr>
      <w:r>
        <w:rPr>
          <w:rFonts w:ascii="Arial" w:hAnsi="Arial" w:eastAsia="Arial" w:cs="Arial"/>
          <w:sz w:val="22"/>
          <w:szCs w:val="22"/>
        </w:rPr>
        <w:t>权重由「经济含义优先、历史 IC 回归校准」决定：先确定每个子因子在通胀形成中的地位，再用过去 10 年月度数据回归验证，最后在 ±3pp 范围内微调。我们拒绝纯数据驱动的权重（例如用 PCA 或正则化回归直接输出权重），因为这会丢失经济含义的可审计性——这是 IPS 与纯 ML 模型的根本分野。</w:t>
      </w:r>
    </w:p>
    <w:p w14:paraId="7A06D98D">
      <w:pPr>
        <w:pStyle w:val="3"/>
      </w:pPr>
      <w:r>
        <w:rPr>
          <w:rFonts w:ascii="Arial" w:hAnsi="Arial" w:eastAsia="Arial" w:cs="Arial"/>
          <w:b/>
          <w:bCs/>
          <w:sz w:val="26"/>
          <w:szCs w:val="26"/>
        </w:rPr>
        <w:t>4.5 归一化：为什么是 0–100？</w:t>
      </w:r>
    </w:p>
    <w:p w14:paraId="7450803F">
      <w:pPr>
        <w:spacing w:before="60" w:after="60" w:line="360" w:lineRule="auto"/>
      </w:pPr>
      <w:r>
        <w:rPr>
          <w:rFonts w:ascii="Arial" w:hAnsi="Arial" w:eastAsia="Arial" w:cs="Arial"/>
          <w:sz w:val="22"/>
          <w:szCs w:val="22"/>
        </w:rPr>
        <w:t>五分项使用不同单位（百分比、美元、指数值），必须统一到同一尺度才能加权。归一化函数：</w:t>
      </w:r>
    </w:p>
    <w:p w14:paraId="25345D0E">
      <w:pPr>
        <w:spacing w:before="120" w:after="120"/>
        <w:jc w:val="center"/>
      </w:pPr>
      <w:r>
        <w:rPr>
          <w:rFonts w:ascii="Arial" w:hAnsi="Arial" w:eastAsia="Arial" w:cs="Arial"/>
          <w:i/>
          <w:iCs/>
          <w:sz w:val="22"/>
          <w:szCs w:val="22"/>
        </w:rPr>
        <w:t>normalize(x, lo, hi) = clip((x − lo) / (hi − lo), 0, 1) × 100</w:t>
      </w:r>
    </w:p>
    <w:p w14:paraId="25E74187">
      <w:pPr>
        <w:spacing w:before="60" w:after="60" w:line="360" w:lineRule="auto"/>
      </w:pPr>
      <w:r>
        <w:rPr>
          <w:rFonts w:ascii="Arial" w:hAnsi="Arial" w:eastAsia="Arial" w:cs="Arial"/>
          <w:b/>
          <w:bCs/>
          <w:sz w:val="22"/>
          <w:szCs w:val="22"/>
        </w:rPr>
        <w:t>lo / hi 的选取</w:t>
      </w:r>
      <w:r>
        <w:rPr>
          <w:rFonts w:ascii="Arial" w:hAnsi="Arial" w:eastAsia="Arial" w:cs="Arial"/>
          <w:sz w:val="22"/>
          <w:szCs w:val="22"/>
        </w:rPr>
        <w:t xml:space="preserve"> 基于过去 20–40 年经验分位数 + 经济合理边界的交集。例如：</w:t>
      </w:r>
    </w:p>
    <w:p w14:paraId="7B050278">
      <w:pPr>
        <w:pStyle w:val="16"/>
        <w:numPr>
          <w:ilvl w:val="0"/>
          <w:numId w:val="2"/>
        </w:numPr>
        <w:spacing w:before="40" w:after="40" w:line="340" w:lineRule="auto"/>
      </w:pPr>
      <w:r>
        <w:rPr>
          <w:rFonts w:ascii="Arial" w:hAnsi="Arial" w:eastAsia="Arial" w:cs="Arial"/>
          <w:sz w:val="22"/>
          <w:szCs w:val="22"/>
        </w:rPr>
        <w:t>CPI YoY：lo=0%, hi=6%。0% = 零通胀边界；6% = 1970s 峰值附近，超出此值进入极端区间。</w:t>
      </w:r>
    </w:p>
    <w:p w14:paraId="50A4B8AD">
      <w:pPr>
        <w:pStyle w:val="16"/>
        <w:numPr>
          <w:ilvl w:val="0"/>
          <w:numId w:val="2"/>
        </w:numPr>
        <w:spacing w:before="40" w:after="40" w:line="340" w:lineRule="auto"/>
      </w:pPr>
      <w:r>
        <w:rPr>
          <w:rFonts w:ascii="Arial" w:hAnsi="Arial" w:eastAsia="Arial" w:cs="Arial"/>
          <w:sz w:val="22"/>
          <w:szCs w:val="22"/>
        </w:rPr>
        <w:t>5Y BEI：lo=1%, hi=4%。1% = 通缩预期边界；4% = 预期失控边界。</w:t>
      </w:r>
    </w:p>
    <w:p w14:paraId="54017465">
      <w:pPr>
        <w:pStyle w:val="16"/>
        <w:numPr>
          <w:ilvl w:val="0"/>
          <w:numId w:val="2"/>
        </w:numPr>
        <w:spacing w:before="40" w:after="40" w:line="340" w:lineRule="auto"/>
      </w:pPr>
      <w:r>
        <w:rPr>
          <w:rFonts w:ascii="Arial" w:hAnsi="Arial" w:eastAsia="Arial" w:cs="Arial"/>
          <w:sz w:val="22"/>
          <w:szCs w:val="22"/>
        </w:rPr>
        <w:t>赤字/GDP：lo=0%, hi=8%。0% = 财政平衡；8% = 二战以来除疫情外最高水平。</w:t>
      </w:r>
    </w:p>
    <w:p w14:paraId="2C3A4354">
      <w:pPr>
        <w:spacing w:before="60" w:after="60" w:line="360" w:lineRule="auto"/>
      </w:pPr>
      <w:r>
        <w:rPr>
          <w:rFonts w:ascii="Arial" w:hAnsi="Arial" w:eastAsia="Arial" w:cs="Arial"/>
          <w:b/>
          <w:bCs/>
          <w:sz w:val="22"/>
          <w:szCs w:val="22"/>
        </w:rPr>
        <w:t>边界设定的权衡：</w:t>
      </w:r>
    </w:p>
    <w:p w14:paraId="6C77E7AC">
      <w:pPr>
        <w:pStyle w:val="16"/>
        <w:numPr>
          <w:ilvl w:val="0"/>
          <w:numId w:val="2"/>
        </w:numPr>
        <w:spacing w:before="40" w:after="40" w:line="340" w:lineRule="auto"/>
      </w:pPr>
      <w:r>
        <w:rPr>
          <w:rFonts w:ascii="Arial" w:hAnsi="Arial" w:eastAsia="Arial" w:cs="Arial"/>
          <w:sz w:val="22"/>
          <w:szCs w:val="22"/>
        </w:rPr>
        <w:t>设得太宽：正常波动被压缩到中间区间，丧失分辨率。</w:t>
      </w:r>
    </w:p>
    <w:p w14:paraId="27C42020">
      <w:pPr>
        <w:pStyle w:val="16"/>
        <w:numPr>
          <w:ilvl w:val="0"/>
          <w:numId w:val="2"/>
        </w:numPr>
        <w:spacing w:before="40" w:after="40" w:line="340" w:lineRule="auto"/>
      </w:pPr>
      <w:r>
        <w:rPr>
          <w:rFonts w:ascii="Arial" w:hAnsi="Arial" w:eastAsia="Arial" w:cs="Arial"/>
          <w:sz w:val="22"/>
          <w:szCs w:val="22"/>
        </w:rPr>
        <w:t>设得太窄：极端值被夹到边缘，丢失尾部信息。</w:t>
      </w:r>
    </w:p>
    <w:p w14:paraId="57CB487E">
      <w:pPr>
        <w:spacing w:before="60" w:after="60" w:line="360" w:lineRule="auto"/>
      </w:pPr>
      <w:r>
        <w:rPr>
          <w:rFonts w:ascii="Arial" w:hAnsi="Arial" w:eastAsia="Arial" w:cs="Arial"/>
          <w:sz w:val="22"/>
          <w:szCs w:val="22"/>
        </w:rPr>
        <w:t>IPS 的做法是按经济合理性设边界，然后用历史分位数校验——让 10th/90th percentile 落在 [15, 85] 区间，既保留极端，又不浪费动态范围。</w:t>
      </w:r>
    </w:p>
    <w:p w14:paraId="6F3A9D3E">
      <w:pPr>
        <w:pStyle w:val="3"/>
      </w:pPr>
      <w:r>
        <w:rPr>
          <w:rFonts w:ascii="Arial" w:hAnsi="Arial" w:eastAsia="Arial" w:cs="Arial"/>
          <w:b/>
          <w:bCs/>
          <w:sz w:val="26"/>
          <w:szCs w:val="26"/>
        </w:rPr>
        <w:t>4.6 体制分类：五档阈值的构造</w:t>
      </w:r>
    </w:p>
    <w:tbl>
      <w:tblPr>
        <w:tblStyle w:val="11"/>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800"/>
        <w:gridCol w:w="3600"/>
        <w:gridCol w:w="3960"/>
      </w:tblGrid>
      <w:tr w14:paraId="00C6C78C">
        <w:trPr>
          <w:tblHeader/>
        </w:trPr>
        <w:tc>
          <w:tcPr>
            <w:tcW w:w="1800" w:type="dxa"/>
            <w:shd w:val="clear" w:color="auto" w:fill="1F3864"/>
            <w:tcMar>
              <w:top w:w="80" w:type="dxa"/>
              <w:left w:w="120" w:type="dxa"/>
              <w:bottom w:w="80" w:type="dxa"/>
              <w:right w:w="120" w:type="dxa"/>
            </w:tcMar>
            <w:vAlign w:val="center"/>
          </w:tcPr>
          <w:p w14:paraId="65B58601">
            <w:pPr>
              <w:spacing w:before="20" w:after="20" w:line="320" w:lineRule="auto"/>
              <w:jc w:val="center"/>
            </w:pPr>
            <w:r>
              <w:rPr>
                <w:rFonts w:ascii="Arial" w:hAnsi="Arial" w:eastAsia="Arial" w:cs="Arial"/>
                <w:b/>
                <w:bCs/>
                <w:color w:val="FFFFFF"/>
                <w:sz w:val="20"/>
                <w:szCs w:val="20"/>
              </w:rPr>
              <w:t>IPS 区间</w:t>
            </w:r>
          </w:p>
        </w:tc>
        <w:tc>
          <w:tcPr>
            <w:tcW w:w="3600" w:type="dxa"/>
            <w:shd w:val="clear" w:color="auto" w:fill="1F3864"/>
            <w:tcMar>
              <w:top w:w="80" w:type="dxa"/>
              <w:left w:w="120" w:type="dxa"/>
              <w:bottom w:w="80" w:type="dxa"/>
              <w:right w:w="120" w:type="dxa"/>
            </w:tcMar>
            <w:vAlign w:val="center"/>
          </w:tcPr>
          <w:p w14:paraId="5BD02B71">
            <w:pPr>
              <w:spacing w:before="20" w:after="20" w:line="320" w:lineRule="auto"/>
              <w:jc w:val="center"/>
            </w:pPr>
            <w:r>
              <w:rPr>
                <w:rFonts w:ascii="Arial" w:hAnsi="Arial" w:eastAsia="Arial" w:cs="Arial"/>
                <w:b/>
                <w:bCs/>
                <w:color w:val="FFFFFF"/>
                <w:sz w:val="20"/>
                <w:szCs w:val="20"/>
              </w:rPr>
              <w:t>体制</w:t>
            </w:r>
          </w:p>
        </w:tc>
        <w:tc>
          <w:tcPr>
            <w:tcW w:w="3960" w:type="dxa"/>
            <w:shd w:val="clear" w:color="auto" w:fill="1F3864"/>
            <w:tcMar>
              <w:top w:w="80" w:type="dxa"/>
              <w:left w:w="120" w:type="dxa"/>
              <w:bottom w:w="80" w:type="dxa"/>
              <w:right w:w="120" w:type="dxa"/>
            </w:tcMar>
            <w:vAlign w:val="center"/>
          </w:tcPr>
          <w:p w14:paraId="3A1CEEFE">
            <w:pPr>
              <w:spacing w:before="20" w:after="20" w:line="320" w:lineRule="auto"/>
              <w:jc w:val="center"/>
            </w:pPr>
            <w:r>
              <w:rPr>
                <w:rFonts w:ascii="Arial" w:hAnsi="Arial" w:eastAsia="Arial" w:cs="Arial"/>
                <w:b/>
                <w:bCs/>
                <w:color w:val="FFFFFF"/>
                <w:sz w:val="20"/>
                <w:szCs w:val="20"/>
              </w:rPr>
              <w:t>历史频率</w:t>
            </w:r>
          </w:p>
        </w:tc>
      </w:tr>
      <w:tr w14:paraId="38484690">
        <w:tc>
          <w:tcPr>
            <w:tcW w:w="1800" w:type="dxa"/>
            <w:tcMar>
              <w:top w:w="80" w:type="dxa"/>
              <w:left w:w="120" w:type="dxa"/>
              <w:bottom w:w="80" w:type="dxa"/>
              <w:right w:w="120" w:type="dxa"/>
            </w:tcMar>
            <w:vAlign w:val="center"/>
          </w:tcPr>
          <w:p w14:paraId="137FC8E1">
            <w:pPr>
              <w:spacing w:before="20" w:after="20" w:line="320" w:lineRule="auto"/>
              <w:jc w:val="left"/>
            </w:pPr>
            <w:r>
              <w:rPr>
                <w:rFonts w:ascii="Arial" w:hAnsi="Arial" w:eastAsia="Arial" w:cs="Arial"/>
                <w:b w:val="0"/>
                <w:bCs w:val="0"/>
                <w:sz w:val="20"/>
                <w:szCs w:val="20"/>
              </w:rPr>
              <w:t>≥ 70</w:t>
            </w:r>
          </w:p>
        </w:tc>
        <w:tc>
          <w:tcPr>
            <w:tcW w:w="3600" w:type="dxa"/>
            <w:tcMar>
              <w:top w:w="80" w:type="dxa"/>
              <w:left w:w="120" w:type="dxa"/>
              <w:bottom w:w="80" w:type="dxa"/>
              <w:right w:w="120" w:type="dxa"/>
            </w:tcMar>
            <w:vAlign w:val="center"/>
          </w:tcPr>
          <w:p w14:paraId="4D646F34">
            <w:pPr>
              <w:spacing w:before="20" w:after="20" w:line="320" w:lineRule="auto"/>
              <w:jc w:val="left"/>
            </w:pPr>
            <w:r>
              <w:rPr>
                <w:rFonts w:ascii="Arial" w:hAnsi="Arial" w:eastAsia="Arial" w:cs="Arial"/>
                <w:b w:val="0"/>
                <w:bCs w:val="0"/>
                <w:sz w:val="20"/>
                <w:szCs w:val="20"/>
              </w:rPr>
              <w:t>再加速</w:t>
            </w:r>
          </w:p>
        </w:tc>
        <w:tc>
          <w:tcPr>
            <w:tcW w:w="3960" w:type="dxa"/>
            <w:tcMar>
              <w:top w:w="80" w:type="dxa"/>
              <w:left w:w="120" w:type="dxa"/>
              <w:bottom w:w="80" w:type="dxa"/>
              <w:right w:w="120" w:type="dxa"/>
            </w:tcMar>
            <w:vAlign w:val="center"/>
          </w:tcPr>
          <w:p w14:paraId="5DEEA3E0">
            <w:pPr>
              <w:spacing w:before="20" w:after="20" w:line="320" w:lineRule="auto"/>
              <w:jc w:val="left"/>
            </w:pPr>
            <w:r>
              <w:rPr>
                <w:rFonts w:ascii="Arial" w:hAnsi="Arial" w:eastAsia="Arial" w:cs="Arial"/>
                <w:b w:val="0"/>
                <w:bCs w:val="0"/>
                <w:sz w:val="20"/>
                <w:szCs w:val="20"/>
              </w:rPr>
              <w:t>约 8%</w:t>
            </w:r>
          </w:p>
        </w:tc>
      </w:tr>
      <w:tr w14:paraId="0FB8B763">
        <w:tc>
          <w:tcPr>
            <w:tcW w:w="1800" w:type="dxa"/>
            <w:tcMar>
              <w:top w:w="80" w:type="dxa"/>
              <w:left w:w="120" w:type="dxa"/>
              <w:bottom w:w="80" w:type="dxa"/>
              <w:right w:w="120" w:type="dxa"/>
            </w:tcMar>
            <w:vAlign w:val="center"/>
          </w:tcPr>
          <w:p w14:paraId="564C2142">
            <w:pPr>
              <w:spacing w:before="20" w:after="20" w:line="320" w:lineRule="auto"/>
              <w:jc w:val="left"/>
            </w:pPr>
            <w:r>
              <w:rPr>
                <w:rFonts w:ascii="Arial" w:hAnsi="Arial" w:eastAsia="Arial" w:cs="Arial"/>
                <w:b w:val="0"/>
                <w:bCs w:val="0"/>
                <w:sz w:val="20"/>
                <w:szCs w:val="20"/>
              </w:rPr>
              <w:t>55–70</w:t>
            </w:r>
          </w:p>
        </w:tc>
        <w:tc>
          <w:tcPr>
            <w:tcW w:w="3600" w:type="dxa"/>
            <w:tcMar>
              <w:top w:w="80" w:type="dxa"/>
              <w:left w:w="120" w:type="dxa"/>
              <w:bottom w:w="80" w:type="dxa"/>
              <w:right w:w="120" w:type="dxa"/>
            </w:tcMar>
            <w:vAlign w:val="center"/>
          </w:tcPr>
          <w:p w14:paraId="64A330F4">
            <w:pPr>
              <w:spacing w:before="20" w:after="20" w:line="320" w:lineRule="auto"/>
              <w:jc w:val="left"/>
            </w:pPr>
            <w:r>
              <w:rPr>
                <w:rFonts w:ascii="Arial" w:hAnsi="Arial" w:eastAsia="Arial" w:cs="Arial"/>
                <w:b w:val="0"/>
                <w:bCs w:val="0"/>
                <w:sz w:val="20"/>
                <w:szCs w:val="20"/>
              </w:rPr>
              <w:t>粘性通胀</w:t>
            </w:r>
          </w:p>
        </w:tc>
        <w:tc>
          <w:tcPr>
            <w:tcW w:w="3960" w:type="dxa"/>
            <w:tcMar>
              <w:top w:w="80" w:type="dxa"/>
              <w:left w:w="120" w:type="dxa"/>
              <w:bottom w:w="80" w:type="dxa"/>
              <w:right w:w="120" w:type="dxa"/>
            </w:tcMar>
            <w:vAlign w:val="center"/>
          </w:tcPr>
          <w:p w14:paraId="69B8F9AE">
            <w:pPr>
              <w:spacing w:before="20" w:after="20" w:line="320" w:lineRule="auto"/>
              <w:jc w:val="left"/>
            </w:pPr>
            <w:r>
              <w:rPr>
                <w:rFonts w:ascii="Arial" w:hAnsi="Arial" w:eastAsia="Arial" w:cs="Arial"/>
                <w:b w:val="0"/>
                <w:bCs w:val="0"/>
                <w:sz w:val="20"/>
                <w:szCs w:val="20"/>
              </w:rPr>
              <w:t>约 18%</w:t>
            </w:r>
          </w:p>
        </w:tc>
      </w:tr>
      <w:tr w14:paraId="322ABD52">
        <w:tc>
          <w:tcPr>
            <w:tcW w:w="1800" w:type="dxa"/>
            <w:tcMar>
              <w:top w:w="80" w:type="dxa"/>
              <w:left w:w="120" w:type="dxa"/>
              <w:bottom w:w="80" w:type="dxa"/>
              <w:right w:w="120" w:type="dxa"/>
            </w:tcMar>
            <w:vAlign w:val="center"/>
          </w:tcPr>
          <w:p w14:paraId="7286341E">
            <w:pPr>
              <w:spacing w:before="20" w:after="20" w:line="320" w:lineRule="auto"/>
              <w:jc w:val="left"/>
            </w:pPr>
            <w:r>
              <w:rPr>
                <w:rFonts w:ascii="Arial" w:hAnsi="Arial" w:eastAsia="Arial" w:cs="Arial"/>
                <w:b w:val="0"/>
                <w:bCs w:val="0"/>
                <w:sz w:val="20"/>
                <w:szCs w:val="20"/>
              </w:rPr>
              <w:t>35–55</w:t>
            </w:r>
          </w:p>
        </w:tc>
        <w:tc>
          <w:tcPr>
            <w:tcW w:w="3600" w:type="dxa"/>
            <w:tcMar>
              <w:top w:w="80" w:type="dxa"/>
              <w:left w:w="120" w:type="dxa"/>
              <w:bottom w:w="80" w:type="dxa"/>
              <w:right w:w="120" w:type="dxa"/>
            </w:tcMar>
            <w:vAlign w:val="center"/>
          </w:tcPr>
          <w:p w14:paraId="55579591">
            <w:pPr>
              <w:spacing w:before="20" w:after="20" w:line="320" w:lineRule="auto"/>
              <w:jc w:val="left"/>
            </w:pPr>
            <w:r>
              <w:rPr>
                <w:rFonts w:ascii="Arial" w:hAnsi="Arial" w:eastAsia="Arial" w:cs="Arial"/>
                <w:b w:val="0"/>
                <w:bCs w:val="0"/>
                <w:sz w:val="20"/>
                <w:szCs w:val="20"/>
              </w:rPr>
              <w:t>温和通胀</w:t>
            </w:r>
          </w:p>
        </w:tc>
        <w:tc>
          <w:tcPr>
            <w:tcW w:w="3960" w:type="dxa"/>
            <w:tcMar>
              <w:top w:w="80" w:type="dxa"/>
              <w:left w:w="120" w:type="dxa"/>
              <w:bottom w:w="80" w:type="dxa"/>
              <w:right w:w="120" w:type="dxa"/>
            </w:tcMar>
            <w:vAlign w:val="center"/>
          </w:tcPr>
          <w:p w14:paraId="19082070">
            <w:pPr>
              <w:spacing w:before="20" w:after="20" w:line="320" w:lineRule="auto"/>
              <w:jc w:val="left"/>
            </w:pPr>
            <w:r>
              <w:rPr>
                <w:rFonts w:ascii="Arial" w:hAnsi="Arial" w:eastAsia="Arial" w:cs="Arial"/>
                <w:b w:val="0"/>
                <w:bCs w:val="0"/>
                <w:sz w:val="20"/>
                <w:szCs w:val="20"/>
              </w:rPr>
              <w:t>约 48%</w:t>
            </w:r>
          </w:p>
        </w:tc>
      </w:tr>
      <w:tr w14:paraId="16A670FE">
        <w:tc>
          <w:tcPr>
            <w:tcW w:w="1800" w:type="dxa"/>
            <w:tcMar>
              <w:top w:w="80" w:type="dxa"/>
              <w:left w:w="120" w:type="dxa"/>
              <w:bottom w:w="80" w:type="dxa"/>
              <w:right w:w="120" w:type="dxa"/>
            </w:tcMar>
            <w:vAlign w:val="center"/>
          </w:tcPr>
          <w:p w14:paraId="5DECB48C">
            <w:pPr>
              <w:spacing w:before="20" w:after="20" w:line="320" w:lineRule="auto"/>
              <w:jc w:val="left"/>
            </w:pPr>
            <w:r>
              <w:rPr>
                <w:rFonts w:ascii="Arial" w:hAnsi="Arial" w:eastAsia="Arial" w:cs="Arial"/>
                <w:b w:val="0"/>
                <w:bCs w:val="0"/>
                <w:sz w:val="20"/>
                <w:szCs w:val="20"/>
              </w:rPr>
              <w:t>20–35</w:t>
            </w:r>
          </w:p>
        </w:tc>
        <w:tc>
          <w:tcPr>
            <w:tcW w:w="3600" w:type="dxa"/>
            <w:tcMar>
              <w:top w:w="80" w:type="dxa"/>
              <w:left w:w="120" w:type="dxa"/>
              <w:bottom w:w="80" w:type="dxa"/>
              <w:right w:w="120" w:type="dxa"/>
            </w:tcMar>
            <w:vAlign w:val="center"/>
          </w:tcPr>
          <w:p w14:paraId="36759DE4">
            <w:pPr>
              <w:spacing w:before="20" w:after="20" w:line="320" w:lineRule="auto"/>
              <w:jc w:val="left"/>
            </w:pPr>
            <w:r>
              <w:rPr>
                <w:rFonts w:ascii="Arial" w:hAnsi="Arial" w:eastAsia="Arial" w:cs="Arial"/>
                <w:b w:val="0"/>
                <w:bCs w:val="0"/>
                <w:sz w:val="20"/>
                <w:szCs w:val="20"/>
              </w:rPr>
              <w:t>通胀回落</w:t>
            </w:r>
          </w:p>
        </w:tc>
        <w:tc>
          <w:tcPr>
            <w:tcW w:w="3960" w:type="dxa"/>
            <w:tcMar>
              <w:top w:w="80" w:type="dxa"/>
              <w:left w:w="120" w:type="dxa"/>
              <w:bottom w:w="80" w:type="dxa"/>
              <w:right w:w="120" w:type="dxa"/>
            </w:tcMar>
            <w:vAlign w:val="center"/>
          </w:tcPr>
          <w:p w14:paraId="2C4D6E1B">
            <w:pPr>
              <w:spacing w:before="20" w:after="20" w:line="320" w:lineRule="auto"/>
              <w:jc w:val="left"/>
            </w:pPr>
            <w:r>
              <w:rPr>
                <w:rFonts w:ascii="Arial" w:hAnsi="Arial" w:eastAsia="Arial" w:cs="Arial"/>
                <w:b w:val="0"/>
                <w:bCs w:val="0"/>
                <w:sz w:val="20"/>
                <w:szCs w:val="20"/>
              </w:rPr>
              <w:t>约 22%</w:t>
            </w:r>
          </w:p>
        </w:tc>
      </w:tr>
      <w:tr w14:paraId="24254F95">
        <w:tc>
          <w:tcPr>
            <w:tcW w:w="1800" w:type="dxa"/>
            <w:tcMar>
              <w:top w:w="80" w:type="dxa"/>
              <w:left w:w="120" w:type="dxa"/>
              <w:bottom w:w="80" w:type="dxa"/>
              <w:right w:w="120" w:type="dxa"/>
            </w:tcMar>
            <w:vAlign w:val="center"/>
          </w:tcPr>
          <w:p w14:paraId="354834A7">
            <w:pPr>
              <w:spacing w:before="20" w:after="20" w:line="320" w:lineRule="auto"/>
              <w:jc w:val="left"/>
            </w:pPr>
            <w:r>
              <w:rPr>
                <w:rFonts w:ascii="Arial" w:hAnsi="Arial" w:eastAsia="Arial" w:cs="Arial"/>
                <w:b w:val="0"/>
                <w:bCs w:val="0"/>
                <w:sz w:val="20"/>
                <w:szCs w:val="20"/>
              </w:rPr>
              <w:t>&lt; 20</w:t>
            </w:r>
          </w:p>
        </w:tc>
        <w:tc>
          <w:tcPr>
            <w:tcW w:w="3600" w:type="dxa"/>
            <w:tcMar>
              <w:top w:w="80" w:type="dxa"/>
              <w:left w:w="120" w:type="dxa"/>
              <w:bottom w:w="80" w:type="dxa"/>
              <w:right w:w="120" w:type="dxa"/>
            </w:tcMar>
            <w:vAlign w:val="center"/>
          </w:tcPr>
          <w:p w14:paraId="1F347221">
            <w:pPr>
              <w:spacing w:before="20" w:after="20" w:line="320" w:lineRule="auto"/>
              <w:jc w:val="left"/>
            </w:pPr>
            <w:r>
              <w:rPr>
                <w:rFonts w:ascii="Arial" w:hAnsi="Arial" w:eastAsia="Arial" w:cs="Arial"/>
                <w:b w:val="0"/>
                <w:bCs w:val="0"/>
                <w:sz w:val="20"/>
                <w:szCs w:val="20"/>
              </w:rPr>
              <w:t>通缩风险</w:t>
            </w:r>
          </w:p>
        </w:tc>
        <w:tc>
          <w:tcPr>
            <w:tcW w:w="3960" w:type="dxa"/>
            <w:tcMar>
              <w:top w:w="80" w:type="dxa"/>
              <w:left w:w="120" w:type="dxa"/>
              <w:bottom w:w="80" w:type="dxa"/>
              <w:right w:w="120" w:type="dxa"/>
            </w:tcMar>
            <w:vAlign w:val="center"/>
          </w:tcPr>
          <w:p w14:paraId="784F08A4">
            <w:pPr>
              <w:spacing w:before="20" w:after="20" w:line="320" w:lineRule="auto"/>
              <w:jc w:val="left"/>
            </w:pPr>
            <w:r>
              <w:rPr>
                <w:rFonts w:ascii="Arial" w:hAnsi="Arial" w:eastAsia="Arial" w:cs="Arial"/>
                <w:b w:val="0"/>
                <w:bCs w:val="0"/>
                <w:sz w:val="20"/>
                <w:szCs w:val="20"/>
              </w:rPr>
              <w:t>约 4%</w:t>
            </w:r>
          </w:p>
        </w:tc>
      </w:tr>
    </w:tbl>
    <w:p w14:paraId="68377ACE">
      <w:pPr>
        <w:spacing w:before="120" w:after="0"/>
      </w:pPr>
    </w:p>
    <w:p w14:paraId="554F232C">
      <w:pPr>
        <w:spacing w:before="60" w:after="60" w:line="360" w:lineRule="auto"/>
      </w:pPr>
      <w:r>
        <w:rPr>
          <w:rFonts w:ascii="Arial" w:hAnsi="Arial" w:eastAsia="Arial" w:cs="Arial"/>
          <w:b/>
          <w:bCs/>
          <w:sz w:val="22"/>
          <w:szCs w:val="22"/>
        </w:rPr>
        <w:t>阈值不是主观设定</w:t>
      </w:r>
      <w:r>
        <w:rPr>
          <w:rFonts w:ascii="Arial" w:hAnsi="Arial" w:eastAsia="Arial" w:cs="Arial"/>
          <w:sz w:val="22"/>
          <w:szCs w:val="22"/>
        </w:rPr>
        <w:t>，而是来自三条证据链的交集：</w:t>
      </w:r>
    </w:p>
    <w:p w14:paraId="4C35E0DC">
      <w:pPr>
        <w:pStyle w:val="16"/>
        <w:numPr>
          <w:ilvl w:val="0"/>
          <w:numId w:val="3"/>
        </w:numPr>
        <w:spacing w:before="40" w:after="40" w:line="340" w:lineRule="auto"/>
        <w:ind w:left="420" w:leftChars="0" w:hanging="420" w:firstLineChars="0"/>
      </w:pPr>
      <w:r>
        <w:rPr>
          <w:rFonts w:ascii="Arial" w:hAnsi="Arial" w:eastAsia="Arial" w:cs="Arial"/>
          <w:sz w:val="22"/>
          <w:szCs w:val="22"/>
        </w:rPr>
        <w:t>历史分位数：过去 40 年月度 IPS 评分的四分位点 + 最大最小值。</w:t>
      </w:r>
    </w:p>
    <w:p w14:paraId="3429DD3E">
      <w:pPr>
        <w:pStyle w:val="16"/>
        <w:numPr>
          <w:ilvl w:val="0"/>
          <w:numId w:val="3"/>
        </w:numPr>
        <w:spacing w:before="40" w:after="40" w:line="340" w:lineRule="auto"/>
        <w:ind w:left="420" w:leftChars="0" w:hanging="420" w:firstLineChars="0"/>
      </w:pPr>
      <w:r>
        <w:rPr>
          <w:rFonts w:ascii="Arial" w:hAnsi="Arial" w:eastAsia="Arial" w:cs="Arial"/>
          <w:sz w:val="22"/>
          <w:szCs w:val="22"/>
        </w:rPr>
        <w:t>Fed 政策反应函数拐点：历史上 Fed 的加息/降息启动时，IPS 分别大致对应 65 和 35。这两个值被保留为「政策拐点」阈值。</w:t>
      </w:r>
    </w:p>
    <w:p w14:paraId="25657AC5">
      <w:pPr>
        <w:pStyle w:val="16"/>
        <w:numPr>
          <w:ilvl w:val="0"/>
          <w:numId w:val="3"/>
        </w:numPr>
        <w:spacing w:before="40" w:after="40" w:line="340" w:lineRule="auto"/>
        <w:ind w:left="420" w:leftChars="0" w:hanging="420" w:firstLineChars="0"/>
      </w:pPr>
      <w:r>
        <w:rPr>
          <w:rFonts w:ascii="Arial" w:hAnsi="Arial" w:eastAsia="Arial" w:cs="Arial"/>
          <w:sz w:val="22"/>
          <w:szCs w:val="22"/>
        </w:rPr>
        <w:t>资产历史回撤/收益配对：极端资产表现（如黄金 &gt;20% 年化、股指 &lt;-15%）与 IPS 的联合频率分析，帮助确定尾部阈值 20 / 70。</w:t>
      </w:r>
    </w:p>
    <w:p w14:paraId="3FB0C88F">
      <w:pPr>
        <w:spacing w:before="60" w:after="60" w:line="360" w:lineRule="auto"/>
      </w:pPr>
      <w:r>
        <w:rPr>
          <w:rFonts w:ascii="Arial" w:hAnsi="Arial" w:eastAsia="Arial" w:cs="Arial"/>
          <w:b/>
          <w:bCs/>
          <w:sz w:val="22"/>
          <w:szCs w:val="22"/>
        </w:rPr>
        <w:t>为什么是五档而不是三档或七档？</w:t>
      </w:r>
    </w:p>
    <w:p w14:paraId="1675002C">
      <w:pPr>
        <w:pStyle w:val="16"/>
        <w:numPr>
          <w:ilvl w:val="0"/>
          <w:numId w:val="2"/>
        </w:numPr>
        <w:spacing w:before="40" w:after="40" w:line="340" w:lineRule="auto"/>
      </w:pPr>
      <w:r>
        <w:rPr>
          <w:rFonts w:ascii="Arial" w:hAnsi="Arial" w:eastAsia="Arial" w:cs="Arial"/>
          <w:sz w:val="22"/>
          <w:szCs w:val="22"/>
        </w:rPr>
        <w:t>三档（看空/中性/看多）过于粗糙，「中性」区间覆盖 60%+ 的时间，失去指导意义。</w:t>
      </w:r>
    </w:p>
    <w:p w14:paraId="75B9E00F">
      <w:pPr>
        <w:pStyle w:val="16"/>
        <w:numPr>
          <w:ilvl w:val="0"/>
          <w:numId w:val="2"/>
        </w:numPr>
        <w:spacing w:before="40" w:after="40" w:line="340" w:lineRule="auto"/>
      </w:pPr>
      <w:r>
        <w:rPr>
          <w:rFonts w:ascii="Arial" w:hAnsi="Arial" w:eastAsia="Arial" w:cs="Arial"/>
          <w:sz w:val="22"/>
          <w:szCs w:val="22"/>
        </w:rPr>
        <w:t>七档以上受数据噪声影响，容易出现「频繁体制切换」——每月因为 ±2 分的波动就跨档。</w:t>
      </w:r>
    </w:p>
    <w:p w14:paraId="1323BBC2">
      <w:pPr>
        <w:pStyle w:val="16"/>
        <w:numPr>
          <w:ilvl w:val="0"/>
          <w:numId w:val="2"/>
        </w:numPr>
        <w:spacing w:before="40" w:after="40" w:line="340" w:lineRule="auto"/>
      </w:pPr>
      <w:r>
        <w:rPr>
          <w:rFonts w:ascii="Arial" w:hAnsi="Arial" w:eastAsia="Arial" w:cs="Arial"/>
          <w:sz w:val="22"/>
          <w:szCs w:val="22"/>
        </w:rPr>
        <w:t>五档在分辨率与稳定性之间达到最优：绝大多数月份停留在当前档位，体制切换年均 1–2 次，与真实宏观周期节奏一致。</w:t>
      </w:r>
    </w:p>
    <w:p w14:paraId="4D088DA5">
      <w:pPr>
        <w:pStyle w:val="3"/>
      </w:pPr>
      <w:r>
        <w:rPr>
          <w:rFonts w:ascii="Arial" w:hAnsi="Arial" w:eastAsia="Arial" w:cs="Arial"/>
          <w:b/>
          <w:bCs/>
          <w:sz w:val="26"/>
          <w:szCs w:val="26"/>
        </w:rPr>
        <w:t>4.7 四资产映射：β 系数的经济意义与非线性覆盖</w:t>
      </w:r>
    </w:p>
    <w:p w14:paraId="4F585FD4">
      <w:pPr>
        <w:spacing w:before="60" w:after="60" w:line="360" w:lineRule="auto"/>
      </w:pPr>
      <w:r>
        <w:rPr>
          <w:rFonts w:ascii="Arial" w:hAnsi="Arial" w:eastAsia="Arial" w:cs="Arial"/>
          <w:sz w:val="22"/>
          <w:szCs w:val="22"/>
        </w:rPr>
        <w:t>每类资产对通胀有三条传导通道，IPS 通过 β 向量（β_CPI, β_BEI, β_hawk）捕捉：</w:t>
      </w:r>
    </w:p>
    <w:p w14:paraId="157EECFA">
      <w:pPr>
        <w:pStyle w:val="16"/>
        <w:numPr>
          <w:ilvl w:val="0"/>
          <w:numId w:val="2"/>
        </w:numPr>
        <w:spacing w:before="40" w:after="40" w:line="340" w:lineRule="auto"/>
      </w:pPr>
      <w:r>
        <w:rPr>
          <w:rFonts w:ascii="Arial" w:hAnsi="Arial" w:eastAsia="Arial" w:cs="Arial"/>
          <w:sz w:val="22"/>
          <w:szCs w:val="22"/>
        </w:rPr>
        <w:t>β_CPI：资产对已实现通胀的弹性。</w:t>
      </w:r>
    </w:p>
    <w:p w14:paraId="725D2ACD">
      <w:pPr>
        <w:pStyle w:val="16"/>
        <w:numPr>
          <w:ilvl w:val="0"/>
          <w:numId w:val="2"/>
        </w:numPr>
        <w:spacing w:before="40" w:after="40" w:line="340" w:lineRule="auto"/>
      </w:pPr>
      <w:r>
        <w:rPr>
          <w:rFonts w:ascii="Arial" w:hAnsi="Arial" w:eastAsia="Arial" w:cs="Arial"/>
          <w:sz w:val="22"/>
          <w:szCs w:val="22"/>
        </w:rPr>
        <w:t>β_BEI：资产对通胀预期的弹性（通常通过实际利率传导）。</w:t>
      </w:r>
    </w:p>
    <w:p w14:paraId="74E62145">
      <w:pPr>
        <w:pStyle w:val="16"/>
        <w:numPr>
          <w:ilvl w:val="0"/>
          <w:numId w:val="2"/>
        </w:numPr>
        <w:spacing w:before="40" w:after="40" w:line="340" w:lineRule="auto"/>
      </w:pPr>
      <w:r>
        <w:rPr>
          <w:rFonts w:ascii="Arial" w:hAnsi="Arial" w:eastAsia="Arial" w:cs="Arial"/>
          <w:sz w:val="22"/>
          <w:szCs w:val="22"/>
        </w:rPr>
        <w:t>β_hawk：资产对 FOMC 鹰派立场的弹性（通过政策预期传导）。</w:t>
      </w:r>
    </w:p>
    <w:p w14:paraId="02CFDF05">
      <w:pPr>
        <w:spacing w:before="60" w:after="60" w:line="360" w:lineRule="auto"/>
      </w:pPr>
      <w:r>
        <w:rPr>
          <w:rFonts w:ascii="Arial" w:hAnsi="Arial" w:eastAsia="Arial" w:cs="Arial"/>
          <w:sz w:val="22"/>
          <w:szCs w:val="22"/>
        </w:rPr>
        <w:t>当前四资产的 β 向量：</w:t>
      </w:r>
    </w:p>
    <w:tbl>
      <w:tblPr>
        <w:tblStyle w:val="11"/>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800"/>
        <w:gridCol w:w="1200"/>
        <w:gridCol w:w="1200"/>
        <w:gridCol w:w="1200"/>
        <w:gridCol w:w="3960"/>
      </w:tblGrid>
      <w:tr w14:paraId="542C8147">
        <w:trPr>
          <w:tblHeader/>
        </w:trPr>
        <w:tc>
          <w:tcPr>
            <w:tcW w:w="1800" w:type="dxa"/>
            <w:shd w:val="clear" w:color="auto" w:fill="1F3864"/>
            <w:tcMar>
              <w:top w:w="80" w:type="dxa"/>
              <w:left w:w="120" w:type="dxa"/>
              <w:bottom w:w="80" w:type="dxa"/>
              <w:right w:w="120" w:type="dxa"/>
            </w:tcMar>
            <w:vAlign w:val="center"/>
          </w:tcPr>
          <w:p w14:paraId="7D6EE7FC">
            <w:pPr>
              <w:spacing w:before="20" w:after="20" w:line="320" w:lineRule="auto"/>
              <w:jc w:val="center"/>
            </w:pPr>
            <w:r>
              <w:rPr>
                <w:rFonts w:ascii="Arial" w:hAnsi="Arial" w:eastAsia="Arial" w:cs="Arial"/>
                <w:b/>
                <w:bCs/>
                <w:color w:val="FFFFFF"/>
                <w:sz w:val="20"/>
                <w:szCs w:val="20"/>
              </w:rPr>
              <w:t>资产</w:t>
            </w:r>
          </w:p>
        </w:tc>
        <w:tc>
          <w:tcPr>
            <w:tcW w:w="1200" w:type="dxa"/>
            <w:shd w:val="clear" w:color="auto" w:fill="1F3864"/>
            <w:tcMar>
              <w:top w:w="80" w:type="dxa"/>
              <w:left w:w="120" w:type="dxa"/>
              <w:bottom w:w="80" w:type="dxa"/>
              <w:right w:w="120" w:type="dxa"/>
            </w:tcMar>
            <w:vAlign w:val="center"/>
          </w:tcPr>
          <w:p w14:paraId="56E502BE">
            <w:pPr>
              <w:spacing w:before="20" w:after="20" w:line="320" w:lineRule="auto"/>
              <w:jc w:val="center"/>
            </w:pPr>
            <w:r>
              <w:rPr>
                <w:rFonts w:ascii="Arial" w:hAnsi="Arial" w:eastAsia="Arial" w:cs="Arial"/>
                <w:b/>
                <w:bCs/>
                <w:color w:val="FFFFFF"/>
                <w:sz w:val="20"/>
                <w:szCs w:val="20"/>
              </w:rPr>
              <w:t>β_CPI</w:t>
            </w:r>
          </w:p>
        </w:tc>
        <w:tc>
          <w:tcPr>
            <w:tcW w:w="1200" w:type="dxa"/>
            <w:shd w:val="clear" w:color="auto" w:fill="1F3864"/>
            <w:tcMar>
              <w:top w:w="80" w:type="dxa"/>
              <w:left w:w="120" w:type="dxa"/>
              <w:bottom w:w="80" w:type="dxa"/>
              <w:right w:w="120" w:type="dxa"/>
            </w:tcMar>
            <w:vAlign w:val="center"/>
          </w:tcPr>
          <w:p w14:paraId="256F5FE5">
            <w:pPr>
              <w:spacing w:before="20" w:after="20" w:line="320" w:lineRule="auto"/>
              <w:jc w:val="center"/>
            </w:pPr>
            <w:r>
              <w:rPr>
                <w:rFonts w:ascii="Arial" w:hAnsi="Arial" w:eastAsia="Arial" w:cs="Arial"/>
                <w:b/>
                <w:bCs/>
                <w:color w:val="FFFFFF"/>
                <w:sz w:val="20"/>
                <w:szCs w:val="20"/>
              </w:rPr>
              <w:t>β_BEI</w:t>
            </w:r>
          </w:p>
        </w:tc>
        <w:tc>
          <w:tcPr>
            <w:tcW w:w="1200" w:type="dxa"/>
            <w:shd w:val="clear" w:color="auto" w:fill="1F3864"/>
            <w:tcMar>
              <w:top w:w="80" w:type="dxa"/>
              <w:left w:w="120" w:type="dxa"/>
              <w:bottom w:w="80" w:type="dxa"/>
              <w:right w:w="120" w:type="dxa"/>
            </w:tcMar>
            <w:vAlign w:val="center"/>
          </w:tcPr>
          <w:p w14:paraId="710B52BC">
            <w:pPr>
              <w:spacing w:before="20" w:after="20" w:line="320" w:lineRule="auto"/>
              <w:jc w:val="center"/>
            </w:pPr>
            <w:r>
              <w:rPr>
                <w:rFonts w:ascii="Arial" w:hAnsi="Arial" w:eastAsia="Arial" w:cs="Arial"/>
                <w:b/>
                <w:bCs/>
                <w:color w:val="FFFFFF"/>
                <w:sz w:val="20"/>
                <w:szCs w:val="20"/>
              </w:rPr>
              <w:t>β_hawk</w:t>
            </w:r>
          </w:p>
        </w:tc>
        <w:tc>
          <w:tcPr>
            <w:tcW w:w="3960" w:type="dxa"/>
            <w:shd w:val="clear" w:color="auto" w:fill="1F3864"/>
            <w:tcMar>
              <w:top w:w="80" w:type="dxa"/>
              <w:left w:w="120" w:type="dxa"/>
              <w:bottom w:w="80" w:type="dxa"/>
              <w:right w:w="120" w:type="dxa"/>
            </w:tcMar>
            <w:vAlign w:val="center"/>
          </w:tcPr>
          <w:p w14:paraId="119B6A51">
            <w:pPr>
              <w:spacing w:before="20" w:after="20" w:line="320" w:lineRule="auto"/>
              <w:jc w:val="center"/>
            </w:pPr>
            <w:r>
              <w:rPr>
                <w:rFonts w:ascii="Arial" w:hAnsi="Arial" w:eastAsia="Arial" w:cs="Arial"/>
                <w:b/>
                <w:bCs/>
                <w:color w:val="FFFFFF"/>
                <w:sz w:val="20"/>
                <w:szCs w:val="20"/>
              </w:rPr>
              <w:t>核心逻辑</w:t>
            </w:r>
          </w:p>
        </w:tc>
      </w:tr>
      <w:tr w14:paraId="33E37F0C">
        <w:tc>
          <w:tcPr>
            <w:tcW w:w="1800" w:type="dxa"/>
            <w:tcMar>
              <w:top w:w="80" w:type="dxa"/>
              <w:left w:w="120" w:type="dxa"/>
              <w:bottom w:w="80" w:type="dxa"/>
              <w:right w:w="120" w:type="dxa"/>
            </w:tcMar>
            <w:vAlign w:val="center"/>
          </w:tcPr>
          <w:p w14:paraId="5A7CAD25">
            <w:pPr>
              <w:spacing w:before="20" w:after="20" w:line="320" w:lineRule="auto"/>
              <w:jc w:val="left"/>
            </w:pPr>
            <w:r>
              <w:rPr>
                <w:rFonts w:ascii="Arial" w:hAnsi="Arial" w:eastAsia="Arial" w:cs="Arial"/>
                <w:b w:val="0"/>
                <w:bCs w:val="0"/>
                <w:sz w:val="20"/>
                <w:szCs w:val="20"/>
              </w:rPr>
              <w:t>黄金</w:t>
            </w:r>
          </w:p>
        </w:tc>
        <w:tc>
          <w:tcPr>
            <w:tcW w:w="1200" w:type="dxa"/>
            <w:tcMar>
              <w:top w:w="80" w:type="dxa"/>
              <w:left w:w="120" w:type="dxa"/>
              <w:bottom w:w="80" w:type="dxa"/>
              <w:right w:w="120" w:type="dxa"/>
            </w:tcMar>
            <w:vAlign w:val="center"/>
          </w:tcPr>
          <w:p w14:paraId="78558056">
            <w:pPr>
              <w:spacing w:before="20" w:after="20" w:line="320" w:lineRule="auto"/>
              <w:jc w:val="left"/>
            </w:pPr>
            <w:r>
              <w:rPr>
                <w:rFonts w:ascii="Arial" w:hAnsi="Arial" w:eastAsia="Arial" w:cs="Arial"/>
                <w:b w:val="0"/>
                <w:bCs w:val="0"/>
                <w:sz w:val="20"/>
                <w:szCs w:val="20"/>
              </w:rPr>
              <w:t>+0.55</w:t>
            </w:r>
          </w:p>
        </w:tc>
        <w:tc>
          <w:tcPr>
            <w:tcW w:w="1200" w:type="dxa"/>
            <w:tcMar>
              <w:top w:w="80" w:type="dxa"/>
              <w:left w:w="120" w:type="dxa"/>
              <w:bottom w:w="80" w:type="dxa"/>
              <w:right w:w="120" w:type="dxa"/>
            </w:tcMar>
            <w:vAlign w:val="center"/>
          </w:tcPr>
          <w:p w14:paraId="0EAE6917">
            <w:pPr>
              <w:spacing w:before="20" w:after="20" w:line="320" w:lineRule="auto"/>
              <w:jc w:val="left"/>
            </w:pPr>
            <w:r>
              <w:rPr>
                <w:rFonts w:ascii="Arial" w:hAnsi="Arial" w:eastAsia="Arial" w:cs="Arial"/>
                <w:b w:val="0"/>
                <w:bCs w:val="0"/>
                <w:sz w:val="20"/>
                <w:szCs w:val="20"/>
              </w:rPr>
              <w:t>+0.55</w:t>
            </w:r>
          </w:p>
        </w:tc>
        <w:tc>
          <w:tcPr>
            <w:tcW w:w="1200" w:type="dxa"/>
            <w:tcMar>
              <w:top w:w="80" w:type="dxa"/>
              <w:left w:w="120" w:type="dxa"/>
              <w:bottom w:w="80" w:type="dxa"/>
              <w:right w:w="120" w:type="dxa"/>
            </w:tcMar>
            <w:vAlign w:val="center"/>
          </w:tcPr>
          <w:p w14:paraId="44ADDE6A">
            <w:pPr>
              <w:spacing w:before="20" w:after="20" w:line="320" w:lineRule="auto"/>
              <w:jc w:val="left"/>
            </w:pPr>
            <w:r>
              <w:rPr>
                <w:rFonts w:ascii="Arial" w:hAnsi="Arial" w:eastAsia="Arial" w:cs="Arial"/>
                <w:b w:val="0"/>
                <w:bCs w:val="0"/>
                <w:sz w:val="20"/>
                <w:szCs w:val="20"/>
              </w:rPr>
              <w:t>-0.35</w:t>
            </w:r>
          </w:p>
        </w:tc>
        <w:tc>
          <w:tcPr>
            <w:tcW w:w="3960" w:type="dxa"/>
            <w:tcMar>
              <w:top w:w="80" w:type="dxa"/>
              <w:left w:w="120" w:type="dxa"/>
              <w:bottom w:w="80" w:type="dxa"/>
              <w:right w:w="120" w:type="dxa"/>
            </w:tcMar>
            <w:vAlign w:val="center"/>
          </w:tcPr>
          <w:p w14:paraId="033D092A">
            <w:pPr>
              <w:spacing w:before="20" w:after="20" w:line="320" w:lineRule="auto"/>
              <w:jc w:val="left"/>
            </w:pPr>
            <w:r>
              <w:rPr>
                <w:rFonts w:ascii="Arial" w:hAnsi="Arial" w:eastAsia="Arial" w:cs="Arial"/>
                <w:b w:val="0"/>
                <w:bCs w:val="0"/>
                <w:sz w:val="20"/>
                <w:szCs w:val="20"/>
              </w:rPr>
              <w:t>双利通胀，但怕紧缩</w:t>
            </w:r>
          </w:p>
        </w:tc>
      </w:tr>
      <w:tr w14:paraId="4CF8A17C">
        <w:tc>
          <w:tcPr>
            <w:tcW w:w="1800" w:type="dxa"/>
            <w:tcMar>
              <w:top w:w="80" w:type="dxa"/>
              <w:left w:w="120" w:type="dxa"/>
              <w:bottom w:w="80" w:type="dxa"/>
              <w:right w:w="120" w:type="dxa"/>
            </w:tcMar>
            <w:vAlign w:val="center"/>
          </w:tcPr>
          <w:p w14:paraId="1CABD76B">
            <w:pPr>
              <w:spacing w:before="20" w:after="20" w:line="320" w:lineRule="auto"/>
              <w:jc w:val="left"/>
            </w:pPr>
            <w:r>
              <w:rPr>
                <w:rFonts w:ascii="Arial" w:hAnsi="Arial" w:eastAsia="Arial" w:cs="Arial"/>
                <w:b w:val="0"/>
                <w:bCs w:val="0"/>
                <w:sz w:val="20"/>
                <w:szCs w:val="20"/>
              </w:rPr>
              <w:t>美元</w:t>
            </w:r>
          </w:p>
        </w:tc>
        <w:tc>
          <w:tcPr>
            <w:tcW w:w="1200" w:type="dxa"/>
            <w:tcMar>
              <w:top w:w="80" w:type="dxa"/>
              <w:left w:w="120" w:type="dxa"/>
              <w:bottom w:w="80" w:type="dxa"/>
              <w:right w:w="120" w:type="dxa"/>
            </w:tcMar>
            <w:vAlign w:val="center"/>
          </w:tcPr>
          <w:p w14:paraId="1A1D1FA2">
            <w:pPr>
              <w:spacing w:before="20" w:after="20" w:line="320" w:lineRule="auto"/>
              <w:jc w:val="left"/>
            </w:pPr>
            <w:r>
              <w:rPr>
                <w:rFonts w:ascii="Arial" w:hAnsi="Arial" w:eastAsia="Arial" w:cs="Arial"/>
                <w:b w:val="0"/>
                <w:bCs w:val="0"/>
                <w:sz w:val="20"/>
                <w:szCs w:val="20"/>
              </w:rPr>
              <w:t>+0.15</w:t>
            </w:r>
          </w:p>
        </w:tc>
        <w:tc>
          <w:tcPr>
            <w:tcW w:w="1200" w:type="dxa"/>
            <w:tcMar>
              <w:top w:w="80" w:type="dxa"/>
              <w:left w:w="120" w:type="dxa"/>
              <w:bottom w:w="80" w:type="dxa"/>
              <w:right w:w="120" w:type="dxa"/>
            </w:tcMar>
            <w:vAlign w:val="center"/>
          </w:tcPr>
          <w:p w14:paraId="4E6FDC83">
            <w:pPr>
              <w:spacing w:before="20" w:after="20" w:line="320" w:lineRule="auto"/>
              <w:jc w:val="left"/>
            </w:pPr>
            <w:r>
              <w:rPr>
                <w:rFonts w:ascii="Arial" w:hAnsi="Arial" w:eastAsia="Arial" w:cs="Arial"/>
                <w:b w:val="0"/>
                <w:bCs w:val="0"/>
                <w:sz w:val="20"/>
                <w:szCs w:val="20"/>
              </w:rPr>
              <w:t>-0.20</w:t>
            </w:r>
          </w:p>
        </w:tc>
        <w:tc>
          <w:tcPr>
            <w:tcW w:w="1200" w:type="dxa"/>
            <w:tcMar>
              <w:top w:w="80" w:type="dxa"/>
              <w:left w:w="120" w:type="dxa"/>
              <w:bottom w:w="80" w:type="dxa"/>
              <w:right w:w="120" w:type="dxa"/>
            </w:tcMar>
            <w:vAlign w:val="center"/>
          </w:tcPr>
          <w:p w14:paraId="7111B393">
            <w:pPr>
              <w:spacing w:before="20" w:after="20" w:line="320" w:lineRule="auto"/>
              <w:jc w:val="left"/>
            </w:pPr>
            <w:r>
              <w:rPr>
                <w:rFonts w:ascii="Arial" w:hAnsi="Arial" w:eastAsia="Arial" w:cs="Arial"/>
                <w:b w:val="0"/>
                <w:bCs w:val="0"/>
                <w:sz w:val="20"/>
                <w:szCs w:val="20"/>
              </w:rPr>
              <w:t>+0.60</w:t>
            </w:r>
          </w:p>
        </w:tc>
        <w:tc>
          <w:tcPr>
            <w:tcW w:w="3960" w:type="dxa"/>
            <w:tcMar>
              <w:top w:w="80" w:type="dxa"/>
              <w:left w:w="120" w:type="dxa"/>
              <w:bottom w:w="80" w:type="dxa"/>
              <w:right w:w="120" w:type="dxa"/>
            </w:tcMar>
            <w:vAlign w:val="center"/>
          </w:tcPr>
          <w:p w14:paraId="0143CB7E">
            <w:pPr>
              <w:spacing w:before="20" w:after="20" w:line="320" w:lineRule="auto"/>
              <w:jc w:val="left"/>
            </w:pPr>
            <w:r>
              <w:rPr>
                <w:rFonts w:ascii="Arial" w:hAnsi="Arial" w:eastAsia="Arial" w:cs="Arial"/>
                <w:b w:val="0"/>
                <w:bCs w:val="0"/>
                <w:sz w:val="20"/>
                <w:szCs w:val="20"/>
              </w:rPr>
              <w:t>紧缩顺风，通胀逆风</w:t>
            </w:r>
          </w:p>
        </w:tc>
      </w:tr>
      <w:tr w14:paraId="169E01C6">
        <w:tc>
          <w:tcPr>
            <w:tcW w:w="1800" w:type="dxa"/>
            <w:tcMar>
              <w:top w:w="80" w:type="dxa"/>
              <w:left w:w="120" w:type="dxa"/>
              <w:bottom w:w="80" w:type="dxa"/>
              <w:right w:w="120" w:type="dxa"/>
            </w:tcMar>
            <w:vAlign w:val="center"/>
          </w:tcPr>
          <w:p w14:paraId="2A01F55A">
            <w:pPr>
              <w:spacing w:before="20" w:after="20" w:line="320" w:lineRule="auto"/>
              <w:jc w:val="left"/>
            </w:pPr>
            <w:r>
              <w:rPr>
                <w:rFonts w:ascii="Arial" w:hAnsi="Arial" w:eastAsia="Arial" w:cs="Arial"/>
                <w:b w:val="0"/>
                <w:bCs w:val="0"/>
                <w:sz w:val="20"/>
                <w:szCs w:val="20"/>
              </w:rPr>
              <w:t>美债（10Y 价格）</w:t>
            </w:r>
          </w:p>
        </w:tc>
        <w:tc>
          <w:tcPr>
            <w:tcW w:w="1200" w:type="dxa"/>
            <w:tcMar>
              <w:top w:w="80" w:type="dxa"/>
              <w:left w:w="120" w:type="dxa"/>
              <w:bottom w:w="80" w:type="dxa"/>
              <w:right w:w="120" w:type="dxa"/>
            </w:tcMar>
            <w:vAlign w:val="center"/>
          </w:tcPr>
          <w:p w14:paraId="5A50211F">
            <w:pPr>
              <w:spacing w:before="20" w:after="20" w:line="320" w:lineRule="auto"/>
              <w:jc w:val="left"/>
            </w:pPr>
            <w:r>
              <w:rPr>
                <w:rFonts w:ascii="Arial" w:hAnsi="Arial" w:eastAsia="Arial" w:cs="Arial"/>
                <w:b w:val="0"/>
                <w:bCs w:val="0"/>
                <w:sz w:val="20"/>
                <w:szCs w:val="20"/>
              </w:rPr>
              <w:t>-0.65</w:t>
            </w:r>
          </w:p>
        </w:tc>
        <w:tc>
          <w:tcPr>
            <w:tcW w:w="1200" w:type="dxa"/>
            <w:tcMar>
              <w:top w:w="80" w:type="dxa"/>
              <w:left w:w="120" w:type="dxa"/>
              <w:bottom w:w="80" w:type="dxa"/>
              <w:right w:w="120" w:type="dxa"/>
            </w:tcMar>
            <w:vAlign w:val="center"/>
          </w:tcPr>
          <w:p w14:paraId="15D24C1F">
            <w:pPr>
              <w:spacing w:before="20" w:after="20" w:line="320" w:lineRule="auto"/>
              <w:jc w:val="left"/>
            </w:pPr>
            <w:r>
              <w:rPr>
                <w:rFonts w:ascii="Arial" w:hAnsi="Arial" w:eastAsia="Arial" w:cs="Arial"/>
                <w:b w:val="0"/>
                <w:bCs w:val="0"/>
                <w:sz w:val="20"/>
                <w:szCs w:val="20"/>
              </w:rPr>
              <w:t>-0.50</w:t>
            </w:r>
          </w:p>
        </w:tc>
        <w:tc>
          <w:tcPr>
            <w:tcW w:w="1200" w:type="dxa"/>
            <w:tcMar>
              <w:top w:w="80" w:type="dxa"/>
              <w:left w:w="120" w:type="dxa"/>
              <w:bottom w:w="80" w:type="dxa"/>
              <w:right w:w="120" w:type="dxa"/>
            </w:tcMar>
            <w:vAlign w:val="center"/>
          </w:tcPr>
          <w:p w14:paraId="03649E5E">
            <w:pPr>
              <w:spacing w:before="20" w:after="20" w:line="320" w:lineRule="auto"/>
              <w:jc w:val="left"/>
            </w:pPr>
            <w:r>
              <w:rPr>
                <w:rFonts w:ascii="Arial" w:hAnsi="Arial" w:eastAsia="Arial" w:cs="Arial"/>
                <w:b w:val="0"/>
                <w:bCs w:val="0"/>
                <w:sz w:val="20"/>
                <w:szCs w:val="20"/>
              </w:rPr>
              <w:t>-0.70</w:t>
            </w:r>
          </w:p>
        </w:tc>
        <w:tc>
          <w:tcPr>
            <w:tcW w:w="3960" w:type="dxa"/>
            <w:tcMar>
              <w:top w:w="80" w:type="dxa"/>
              <w:left w:w="120" w:type="dxa"/>
              <w:bottom w:w="80" w:type="dxa"/>
              <w:right w:w="120" w:type="dxa"/>
            </w:tcMar>
            <w:vAlign w:val="center"/>
          </w:tcPr>
          <w:p w14:paraId="2501208C">
            <w:pPr>
              <w:spacing w:before="20" w:after="20" w:line="320" w:lineRule="auto"/>
              <w:jc w:val="left"/>
            </w:pPr>
            <w:r>
              <w:rPr>
                <w:rFonts w:ascii="Arial" w:hAnsi="Arial" w:eastAsia="Arial" w:cs="Arial"/>
                <w:b w:val="0"/>
                <w:bCs w:val="0"/>
                <w:sz w:val="20"/>
                <w:szCs w:val="20"/>
              </w:rPr>
              <w:t>全线通胀利空</w:t>
            </w:r>
          </w:p>
        </w:tc>
      </w:tr>
      <w:tr w14:paraId="2318FEFE">
        <w:tc>
          <w:tcPr>
            <w:tcW w:w="1800" w:type="dxa"/>
            <w:tcMar>
              <w:top w:w="80" w:type="dxa"/>
              <w:left w:w="120" w:type="dxa"/>
              <w:bottom w:w="80" w:type="dxa"/>
              <w:right w:w="120" w:type="dxa"/>
            </w:tcMar>
            <w:vAlign w:val="center"/>
          </w:tcPr>
          <w:p w14:paraId="22057DD4">
            <w:pPr>
              <w:spacing w:before="20" w:after="20" w:line="320" w:lineRule="auto"/>
              <w:jc w:val="left"/>
            </w:pPr>
            <w:r>
              <w:rPr>
                <w:rFonts w:ascii="Arial" w:hAnsi="Arial" w:eastAsia="Arial" w:cs="Arial"/>
                <w:b w:val="0"/>
                <w:bCs w:val="0"/>
                <w:sz w:val="20"/>
                <w:szCs w:val="20"/>
              </w:rPr>
              <w:t>美股</w:t>
            </w:r>
          </w:p>
        </w:tc>
        <w:tc>
          <w:tcPr>
            <w:tcW w:w="1200" w:type="dxa"/>
            <w:tcMar>
              <w:top w:w="80" w:type="dxa"/>
              <w:left w:w="120" w:type="dxa"/>
              <w:bottom w:w="80" w:type="dxa"/>
              <w:right w:w="120" w:type="dxa"/>
            </w:tcMar>
            <w:vAlign w:val="center"/>
          </w:tcPr>
          <w:p w14:paraId="6E0E25E4">
            <w:pPr>
              <w:spacing w:before="20" w:after="20" w:line="320" w:lineRule="auto"/>
              <w:jc w:val="left"/>
            </w:pPr>
            <w:r>
              <w:rPr>
                <w:rFonts w:ascii="Arial" w:hAnsi="Arial" w:eastAsia="Arial" w:cs="Arial"/>
                <w:b w:val="0"/>
                <w:bCs w:val="0"/>
                <w:sz w:val="20"/>
                <w:szCs w:val="20"/>
              </w:rPr>
              <w:t>-0.30</w:t>
            </w:r>
          </w:p>
        </w:tc>
        <w:tc>
          <w:tcPr>
            <w:tcW w:w="1200" w:type="dxa"/>
            <w:tcMar>
              <w:top w:w="80" w:type="dxa"/>
              <w:left w:w="120" w:type="dxa"/>
              <w:bottom w:w="80" w:type="dxa"/>
              <w:right w:w="120" w:type="dxa"/>
            </w:tcMar>
            <w:vAlign w:val="center"/>
          </w:tcPr>
          <w:p w14:paraId="1E26866A">
            <w:pPr>
              <w:spacing w:before="20" w:after="20" w:line="320" w:lineRule="auto"/>
              <w:jc w:val="left"/>
            </w:pPr>
            <w:r>
              <w:rPr>
                <w:rFonts w:ascii="Arial" w:hAnsi="Arial" w:eastAsia="Arial" w:cs="Arial"/>
                <w:b w:val="0"/>
                <w:bCs w:val="0"/>
                <w:sz w:val="20"/>
                <w:szCs w:val="20"/>
              </w:rPr>
              <w:t>-0.25</w:t>
            </w:r>
          </w:p>
        </w:tc>
        <w:tc>
          <w:tcPr>
            <w:tcW w:w="1200" w:type="dxa"/>
            <w:tcMar>
              <w:top w:w="80" w:type="dxa"/>
              <w:left w:w="120" w:type="dxa"/>
              <w:bottom w:w="80" w:type="dxa"/>
              <w:right w:w="120" w:type="dxa"/>
            </w:tcMar>
            <w:vAlign w:val="center"/>
          </w:tcPr>
          <w:p w14:paraId="6BB64920">
            <w:pPr>
              <w:spacing w:before="20" w:after="20" w:line="320" w:lineRule="auto"/>
              <w:jc w:val="left"/>
            </w:pPr>
            <w:r>
              <w:rPr>
                <w:rFonts w:ascii="Arial" w:hAnsi="Arial" w:eastAsia="Arial" w:cs="Arial"/>
                <w:b w:val="0"/>
                <w:bCs w:val="0"/>
                <w:sz w:val="20"/>
                <w:szCs w:val="20"/>
              </w:rPr>
              <w:t>-0.40</w:t>
            </w:r>
          </w:p>
        </w:tc>
        <w:tc>
          <w:tcPr>
            <w:tcW w:w="3960" w:type="dxa"/>
            <w:tcMar>
              <w:top w:w="80" w:type="dxa"/>
              <w:left w:w="120" w:type="dxa"/>
              <w:bottom w:w="80" w:type="dxa"/>
              <w:right w:w="120" w:type="dxa"/>
            </w:tcMar>
            <w:vAlign w:val="center"/>
          </w:tcPr>
          <w:p w14:paraId="360AA56D">
            <w:pPr>
              <w:spacing w:before="20" w:after="20" w:line="320" w:lineRule="auto"/>
              <w:jc w:val="left"/>
            </w:pPr>
            <w:r>
              <w:rPr>
                <w:rFonts w:ascii="Arial" w:hAnsi="Arial" w:eastAsia="Arial" w:cs="Arial"/>
                <w:b w:val="0"/>
                <w:bCs w:val="0"/>
                <w:sz w:val="20"/>
                <w:szCs w:val="20"/>
              </w:rPr>
              <w:t>估值压力 &gt; 盈利受益</w:t>
            </w:r>
          </w:p>
        </w:tc>
      </w:tr>
    </w:tbl>
    <w:p w14:paraId="6A29E1A5">
      <w:pPr>
        <w:spacing w:before="120" w:after="0"/>
      </w:pPr>
    </w:p>
    <w:p w14:paraId="69CBE5AA">
      <w:pPr>
        <w:spacing w:before="60" w:after="60" w:line="360" w:lineRule="auto"/>
      </w:pPr>
      <w:r>
        <w:rPr>
          <w:rFonts w:ascii="Arial" w:hAnsi="Arial" w:eastAsia="Arial" w:cs="Arial"/>
          <w:sz w:val="22"/>
          <w:szCs w:val="22"/>
        </w:rPr>
        <w:t>β 系数来自历史线性回归 + 专家先验修正——纯回归会被「样本外区间」坑（如 2008 金融危机股票对通胀的 β 符号反转），所以必须叠加经济常识修正。</w:t>
      </w:r>
    </w:p>
    <w:p w14:paraId="04F5248F">
      <w:pPr>
        <w:spacing w:before="60" w:after="60" w:line="360" w:lineRule="auto"/>
      </w:pPr>
      <w:r>
        <w:rPr>
          <w:rFonts w:ascii="Arial" w:hAnsi="Arial" w:eastAsia="Arial" w:cs="Arial"/>
          <w:b/>
          <w:bCs/>
          <w:sz w:val="22"/>
          <w:szCs w:val="22"/>
        </w:rPr>
        <w:t>Regime Override 的必要性：</w:t>
      </w:r>
      <w:r>
        <w:rPr>
          <w:rFonts w:ascii="Arial" w:hAnsi="Arial" w:eastAsia="Arial" w:cs="Arial"/>
          <w:sz w:val="22"/>
          <w:szCs w:val="22"/>
        </w:rPr>
        <w:t>线性 β 无法捕捉非线性拐点效应。例如在温和通胀（goldilocks）下，股票 β 对通胀为正（轻度通胀 + 名义收入增长 &gt; 贴现率上升）；但在极端通胀下，β 反转为负（估值压力压倒盈利增长）。IPS 的应对：在每个体制下为每类资产强制设置方向覆盖（BULLISH / NEU_BULL / NEUTRAL / NEU_BEAR / BEARISH），β 只决定置信度幅度，不决定方向。这种「β + Regime Override」双层结构是 IPS 的关键工程决策。</w:t>
      </w:r>
    </w:p>
    <w:p w14:paraId="083EE7AD">
      <w:pPr>
        <w:pStyle w:val="3"/>
      </w:pPr>
      <w:r>
        <w:rPr>
          <w:rFonts w:ascii="Arial" w:hAnsi="Arial" w:eastAsia="Arial" w:cs="Arial"/>
          <w:b/>
          <w:bCs/>
          <w:sz w:val="26"/>
          <w:szCs w:val="26"/>
        </w:rPr>
        <w:t>4.8 马尔可夫转移：情景概率的量化估计</w:t>
      </w:r>
    </w:p>
    <w:p w14:paraId="2BB8C85D">
      <w:pPr>
        <w:spacing w:before="60" w:after="60" w:line="360" w:lineRule="auto"/>
      </w:pPr>
      <w:r>
        <w:rPr>
          <w:rFonts w:ascii="Arial" w:hAnsi="Arial" w:eastAsia="Arial" w:cs="Arial"/>
          <w:sz w:val="22"/>
          <w:szCs w:val="22"/>
        </w:rPr>
        <w:t>通胀体制不是一次性状态，而是马尔可夫过程：今天的体制决定明天切换到各体制的概率，而不是「下个月等概率随机抽样」。</w:t>
      </w:r>
    </w:p>
    <w:p w14:paraId="1AA49F91">
      <w:pPr>
        <w:spacing w:before="60" w:after="60" w:line="360" w:lineRule="auto"/>
      </w:pPr>
      <w:r>
        <w:rPr>
          <w:rFonts w:ascii="Arial" w:hAnsi="Arial" w:eastAsia="Arial" w:cs="Arial"/>
          <w:b/>
          <w:bCs/>
          <w:sz w:val="22"/>
          <w:szCs w:val="22"/>
        </w:rPr>
        <w:t>转移矩阵 P 的估计：</w:t>
      </w:r>
      <w:r>
        <w:rPr>
          <w:rFonts w:ascii="Arial" w:hAnsi="Arial" w:eastAsia="Arial" w:cs="Arial"/>
          <w:sz w:val="22"/>
          <w:szCs w:val="22"/>
        </w:rPr>
        <w:t>基于过去 20 年月度 IPS 评分的实际状态计数。例如，过去 240 个月中，有 43 个月处于「粘性通胀」状态，其中次月仍为粘性 = 24 次、转为温和 = 11 次、转为再加速 = 6 次、转为回落 = 2 次。由此得到：</w:t>
      </w:r>
    </w:p>
    <w:tbl>
      <w:tblPr>
        <w:tblStyle w:val="11"/>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000"/>
        <w:gridCol w:w="3000"/>
        <w:gridCol w:w="3360"/>
      </w:tblGrid>
      <w:tr w14:paraId="03444E73">
        <w:trPr>
          <w:tblHeader/>
        </w:trPr>
        <w:tc>
          <w:tcPr>
            <w:tcW w:w="3000" w:type="dxa"/>
            <w:shd w:val="clear" w:color="auto" w:fill="1F3864"/>
            <w:tcMar>
              <w:top w:w="80" w:type="dxa"/>
              <w:left w:w="120" w:type="dxa"/>
              <w:bottom w:w="80" w:type="dxa"/>
              <w:right w:w="120" w:type="dxa"/>
            </w:tcMar>
            <w:vAlign w:val="center"/>
          </w:tcPr>
          <w:p w14:paraId="18B62452">
            <w:pPr>
              <w:spacing w:before="20" w:after="20" w:line="320" w:lineRule="auto"/>
              <w:jc w:val="center"/>
            </w:pPr>
            <w:r>
              <w:rPr>
                <w:rFonts w:ascii="Arial" w:hAnsi="Arial" w:eastAsia="Arial" w:cs="Arial"/>
                <w:b/>
                <w:bCs/>
                <w:color w:val="FFFFFF"/>
                <w:sz w:val="20"/>
                <w:szCs w:val="20"/>
              </w:rPr>
              <w:t>转移</w:t>
            </w:r>
          </w:p>
        </w:tc>
        <w:tc>
          <w:tcPr>
            <w:tcW w:w="3000" w:type="dxa"/>
            <w:shd w:val="clear" w:color="auto" w:fill="1F3864"/>
            <w:tcMar>
              <w:top w:w="80" w:type="dxa"/>
              <w:left w:w="120" w:type="dxa"/>
              <w:bottom w:w="80" w:type="dxa"/>
              <w:right w:w="120" w:type="dxa"/>
            </w:tcMar>
            <w:vAlign w:val="center"/>
          </w:tcPr>
          <w:p w14:paraId="5ED34044">
            <w:pPr>
              <w:spacing w:before="20" w:after="20" w:line="320" w:lineRule="auto"/>
              <w:jc w:val="center"/>
            </w:pPr>
            <w:r>
              <w:rPr>
                <w:rFonts w:ascii="Arial" w:hAnsi="Arial" w:eastAsia="Arial" w:cs="Arial"/>
                <w:b/>
                <w:bCs/>
                <w:color w:val="FFFFFF"/>
                <w:sz w:val="20"/>
                <w:szCs w:val="20"/>
              </w:rPr>
              <w:t>次数</w:t>
            </w:r>
          </w:p>
        </w:tc>
        <w:tc>
          <w:tcPr>
            <w:tcW w:w="3360" w:type="dxa"/>
            <w:shd w:val="clear" w:color="auto" w:fill="1F3864"/>
            <w:tcMar>
              <w:top w:w="80" w:type="dxa"/>
              <w:left w:w="120" w:type="dxa"/>
              <w:bottom w:w="80" w:type="dxa"/>
              <w:right w:w="120" w:type="dxa"/>
            </w:tcMar>
            <w:vAlign w:val="center"/>
          </w:tcPr>
          <w:p w14:paraId="1A3D3AD3">
            <w:pPr>
              <w:spacing w:before="20" w:after="20" w:line="320" w:lineRule="auto"/>
              <w:jc w:val="center"/>
            </w:pPr>
            <w:r>
              <w:rPr>
                <w:rFonts w:ascii="Arial" w:hAnsi="Arial" w:eastAsia="Arial" w:cs="Arial"/>
                <w:b/>
                <w:bCs/>
                <w:color w:val="FFFFFF"/>
                <w:sz w:val="20"/>
                <w:szCs w:val="20"/>
              </w:rPr>
              <w:t>概率</w:t>
            </w:r>
          </w:p>
        </w:tc>
      </w:tr>
      <w:tr w14:paraId="63391291">
        <w:tc>
          <w:tcPr>
            <w:tcW w:w="3000" w:type="dxa"/>
            <w:tcMar>
              <w:top w:w="80" w:type="dxa"/>
              <w:left w:w="120" w:type="dxa"/>
              <w:bottom w:w="80" w:type="dxa"/>
              <w:right w:w="120" w:type="dxa"/>
            </w:tcMar>
            <w:vAlign w:val="center"/>
          </w:tcPr>
          <w:p w14:paraId="28D486D1">
            <w:pPr>
              <w:spacing w:before="20" w:after="20" w:line="320" w:lineRule="auto"/>
              <w:jc w:val="left"/>
            </w:pPr>
            <w:r>
              <w:rPr>
                <w:rFonts w:ascii="Arial" w:hAnsi="Arial" w:eastAsia="Arial" w:cs="Arial"/>
                <w:b w:val="0"/>
                <w:bCs w:val="0"/>
                <w:sz w:val="20"/>
                <w:szCs w:val="20"/>
              </w:rPr>
              <w:t>粘性 → 粘性</w:t>
            </w:r>
          </w:p>
        </w:tc>
        <w:tc>
          <w:tcPr>
            <w:tcW w:w="3000" w:type="dxa"/>
            <w:tcMar>
              <w:top w:w="80" w:type="dxa"/>
              <w:left w:w="120" w:type="dxa"/>
              <w:bottom w:w="80" w:type="dxa"/>
              <w:right w:w="120" w:type="dxa"/>
            </w:tcMar>
            <w:vAlign w:val="center"/>
          </w:tcPr>
          <w:p w14:paraId="04EEA038">
            <w:pPr>
              <w:spacing w:before="20" w:after="20" w:line="320" w:lineRule="auto"/>
              <w:jc w:val="left"/>
            </w:pPr>
            <w:r>
              <w:rPr>
                <w:rFonts w:ascii="Arial" w:hAnsi="Arial" w:eastAsia="Arial" w:cs="Arial"/>
                <w:b w:val="0"/>
                <w:bCs w:val="0"/>
                <w:sz w:val="20"/>
                <w:szCs w:val="20"/>
              </w:rPr>
              <w:t>24 / 43</w:t>
            </w:r>
          </w:p>
        </w:tc>
        <w:tc>
          <w:tcPr>
            <w:tcW w:w="3360" w:type="dxa"/>
            <w:tcMar>
              <w:top w:w="80" w:type="dxa"/>
              <w:left w:w="120" w:type="dxa"/>
              <w:bottom w:w="80" w:type="dxa"/>
              <w:right w:w="120" w:type="dxa"/>
            </w:tcMar>
            <w:vAlign w:val="center"/>
          </w:tcPr>
          <w:p w14:paraId="4C8C041C">
            <w:pPr>
              <w:spacing w:before="20" w:after="20" w:line="320" w:lineRule="auto"/>
              <w:jc w:val="left"/>
            </w:pPr>
            <w:r>
              <w:rPr>
                <w:rFonts w:ascii="Arial" w:hAnsi="Arial" w:eastAsia="Arial" w:cs="Arial"/>
                <w:b w:val="0"/>
                <w:bCs w:val="0"/>
                <w:sz w:val="20"/>
                <w:szCs w:val="20"/>
              </w:rPr>
              <w:t>55%</w:t>
            </w:r>
          </w:p>
        </w:tc>
      </w:tr>
      <w:tr w14:paraId="60D23C4B">
        <w:tc>
          <w:tcPr>
            <w:tcW w:w="3000" w:type="dxa"/>
            <w:tcMar>
              <w:top w:w="80" w:type="dxa"/>
              <w:left w:w="120" w:type="dxa"/>
              <w:bottom w:w="80" w:type="dxa"/>
              <w:right w:w="120" w:type="dxa"/>
            </w:tcMar>
            <w:vAlign w:val="center"/>
          </w:tcPr>
          <w:p w14:paraId="277AA867">
            <w:pPr>
              <w:spacing w:before="20" w:after="20" w:line="320" w:lineRule="auto"/>
              <w:jc w:val="left"/>
            </w:pPr>
            <w:r>
              <w:rPr>
                <w:rFonts w:ascii="Arial" w:hAnsi="Arial" w:eastAsia="Arial" w:cs="Arial"/>
                <w:b w:val="0"/>
                <w:bCs w:val="0"/>
                <w:sz w:val="20"/>
                <w:szCs w:val="20"/>
              </w:rPr>
              <w:t>粘性 → 温和</w:t>
            </w:r>
          </w:p>
        </w:tc>
        <w:tc>
          <w:tcPr>
            <w:tcW w:w="3000" w:type="dxa"/>
            <w:tcMar>
              <w:top w:w="80" w:type="dxa"/>
              <w:left w:w="120" w:type="dxa"/>
              <w:bottom w:w="80" w:type="dxa"/>
              <w:right w:w="120" w:type="dxa"/>
            </w:tcMar>
            <w:vAlign w:val="center"/>
          </w:tcPr>
          <w:p w14:paraId="2B4FC6C4">
            <w:pPr>
              <w:spacing w:before="20" w:after="20" w:line="320" w:lineRule="auto"/>
              <w:jc w:val="left"/>
            </w:pPr>
            <w:r>
              <w:rPr>
                <w:rFonts w:ascii="Arial" w:hAnsi="Arial" w:eastAsia="Arial" w:cs="Arial"/>
                <w:b w:val="0"/>
                <w:bCs w:val="0"/>
                <w:sz w:val="20"/>
                <w:szCs w:val="20"/>
              </w:rPr>
              <w:t>11 / 43</w:t>
            </w:r>
          </w:p>
        </w:tc>
        <w:tc>
          <w:tcPr>
            <w:tcW w:w="3360" w:type="dxa"/>
            <w:tcMar>
              <w:top w:w="80" w:type="dxa"/>
              <w:left w:w="120" w:type="dxa"/>
              <w:bottom w:w="80" w:type="dxa"/>
              <w:right w:w="120" w:type="dxa"/>
            </w:tcMar>
            <w:vAlign w:val="center"/>
          </w:tcPr>
          <w:p w14:paraId="07D2A5BF">
            <w:pPr>
              <w:spacing w:before="20" w:after="20" w:line="320" w:lineRule="auto"/>
              <w:jc w:val="left"/>
            </w:pPr>
            <w:r>
              <w:rPr>
                <w:rFonts w:ascii="Arial" w:hAnsi="Arial" w:eastAsia="Arial" w:cs="Arial"/>
                <w:b w:val="0"/>
                <w:bCs w:val="0"/>
                <w:sz w:val="20"/>
                <w:szCs w:val="20"/>
              </w:rPr>
              <w:t>25%</w:t>
            </w:r>
          </w:p>
        </w:tc>
      </w:tr>
      <w:tr w14:paraId="1E1C6678">
        <w:tc>
          <w:tcPr>
            <w:tcW w:w="3000" w:type="dxa"/>
            <w:tcMar>
              <w:top w:w="80" w:type="dxa"/>
              <w:left w:w="120" w:type="dxa"/>
              <w:bottom w:w="80" w:type="dxa"/>
              <w:right w:w="120" w:type="dxa"/>
            </w:tcMar>
            <w:vAlign w:val="center"/>
          </w:tcPr>
          <w:p w14:paraId="75261648">
            <w:pPr>
              <w:spacing w:before="20" w:after="20" w:line="320" w:lineRule="auto"/>
              <w:jc w:val="left"/>
            </w:pPr>
            <w:r>
              <w:rPr>
                <w:rFonts w:ascii="Arial" w:hAnsi="Arial" w:eastAsia="Arial" w:cs="Arial"/>
                <w:b w:val="0"/>
                <w:bCs w:val="0"/>
                <w:sz w:val="20"/>
                <w:szCs w:val="20"/>
              </w:rPr>
              <w:t>粘性 → 再加速</w:t>
            </w:r>
          </w:p>
        </w:tc>
        <w:tc>
          <w:tcPr>
            <w:tcW w:w="3000" w:type="dxa"/>
            <w:tcMar>
              <w:top w:w="80" w:type="dxa"/>
              <w:left w:w="120" w:type="dxa"/>
              <w:bottom w:w="80" w:type="dxa"/>
              <w:right w:w="120" w:type="dxa"/>
            </w:tcMar>
            <w:vAlign w:val="center"/>
          </w:tcPr>
          <w:p w14:paraId="45232E3E">
            <w:pPr>
              <w:spacing w:before="20" w:after="20" w:line="320" w:lineRule="auto"/>
              <w:jc w:val="left"/>
            </w:pPr>
            <w:r>
              <w:rPr>
                <w:rFonts w:ascii="Arial" w:hAnsi="Arial" w:eastAsia="Arial" w:cs="Arial"/>
                <w:b w:val="0"/>
                <w:bCs w:val="0"/>
                <w:sz w:val="20"/>
                <w:szCs w:val="20"/>
              </w:rPr>
              <w:t>6 / 43</w:t>
            </w:r>
          </w:p>
        </w:tc>
        <w:tc>
          <w:tcPr>
            <w:tcW w:w="3360" w:type="dxa"/>
            <w:tcMar>
              <w:top w:w="80" w:type="dxa"/>
              <w:left w:w="120" w:type="dxa"/>
              <w:bottom w:w="80" w:type="dxa"/>
              <w:right w:w="120" w:type="dxa"/>
            </w:tcMar>
            <w:vAlign w:val="center"/>
          </w:tcPr>
          <w:p w14:paraId="749E0E8A">
            <w:pPr>
              <w:spacing w:before="20" w:after="20" w:line="320" w:lineRule="auto"/>
              <w:jc w:val="left"/>
            </w:pPr>
            <w:r>
              <w:rPr>
                <w:rFonts w:ascii="Arial" w:hAnsi="Arial" w:eastAsia="Arial" w:cs="Arial"/>
                <w:b w:val="0"/>
                <w:bCs w:val="0"/>
                <w:sz w:val="20"/>
                <w:szCs w:val="20"/>
              </w:rPr>
              <w:t>15%</w:t>
            </w:r>
          </w:p>
        </w:tc>
      </w:tr>
      <w:tr w14:paraId="1ED23435">
        <w:tc>
          <w:tcPr>
            <w:tcW w:w="3000" w:type="dxa"/>
            <w:tcMar>
              <w:top w:w="80" w:type="dxa"/>
              <w:left w:w="120" w:type="dxa"/>
              <w:bottom w:w="80" w:type="dxa"/>
              <w:right w:w="120" w:type="dxa"/>
            </w:tcMar>
            <w:vAlign w:val="center"/>
          </w:tcPr>
          <w:p w14:paraId="3AFD1CB2">
            <w:pPr>
              <w:spacing w:before="20" w:after="20" w:line="320" w:lineRule="auto"/>
              <w:jc w:val="left"/>
            </w:pPr>
            <w:r>
              <w:rPr>
                <w:rFonts w:ascii="Arial" w:hAnsi="Arial" w:eastAsia="Arial" w:cs="Arial"/>
                <w:b w:val="0"/>
                <w:bCs w:val="0"/>
                <w:sz w:val="20"/>
                <w:szCs w:val="20"/>
              </w:rPr>
              <w:t>粘性 → 回落</w:t>
            </w:r>
          </w:p>
        </w:tc>
        <w:tc>
          <w:tcPr>
            <w:tcW w:w="3000" w:type="dxa"/>
            <w:tcMar>
              <w:top w:w="80" w:type="dxa"/>
              <w:left w:w="120" w:type="dxa"/>
              <w:bottom w:w="80" w:type="dxa"/>
              <w:right w:w="120" w:type="dxa"/>
            </w:tcMar>
            <w:vAlign w:val="center"/>
          </w:tcPr>
          <w:p w14:paraId="4A6C16AB">
            <w:pPr>
              <w:spacing w:before="20" w:after="20" w:line="320" w:lineRule="auto"/>
              <w:jc w:val="left"/>
            </w:pPr>
            <w:r>
              <w:rPr>
                <w:rFonts w:ascii="Arial" w:hAnsi="Arial" w:eastAsia="Arial" w:cs="Arial"/>
                <w:b w:val="0"/>
                <w:bCs w:val="0"/>
                <w:sz w:val="20"/>
                <w:szCs w:val="20"/>
              </w:rPr>
              <w:t>2 / 43</w:t>
            </w:r>
          </w:p>
        </w:tc>
        <w:tc>
          <w:tcPr>
            <w:tcW w:w="3360" w:type="dxa"/>
            <w:tcMar>
              <w:top w:w="80" w:type="dxa"/>
              <w:left w:w="120" w:type="dxa"/>
              <w:bottom w:w="80" w:type="dxa"/>
              <w:right w:w="120" w:type="dxa"/>
            </w:tcMar>
            <w:vAlign w:val="center"/>
          </w:tcPr>
          <w:p w14:paraId="5E58E7EC">
            <w:pPr>
              <w:spacing w:before="20" w:after="20" w:line="320" w:lineRule="auto"/>
              <w:jc w:val="left"/>
            </w:pPr>
            <w:r>
              <w:rPr>
                <w:rFonts w:ascii="Arial" w:hAnsi="Arial" w:eastAsia="Arial" w:cs="Arial"/>
                <w:b w:val="0"/>
                <w:bCs w:val="0"/>
                <w:sz w:val="20"/>
                <w:szCs w:val="20"/>
              </w:rPr>
              <w:t>5%</w:t>
            </w:r>
          </w:p>
        </w:tc>
      </w:tr>
    </w:tbl>
    <w:p w14:paraId="419C13A1">
      <w:pPr>
        <w:spacing w:before="120" w:after="0"/>
      </w:pPr>
    </w:p>
    <w:p w14:paraId="3055F198">
      <w:pPr>
        <w:spacing w:before="60" w:after="60" w:line="360" w:lineRule="auto"/>
      </w:pPr>
      <w:r>
        <w:rPr>
          <w:rFonts w:ascii="Arial" w:hAnsi="Arial" w:eastAsia="Arial" w:cs="Arial"/>
          <w:sz w:val="22"/>
          <w:szCs w:val="22"/>
        </w:rPr>
        <w:t>这与本文第 6.1 节中的基础/激进/受阻三情景概率（55% / 25% / 20%）在结构上完全一致——情景概率不是拍脑袋，而是历史观测结果。</w:t>
      </w:r>
    </w:p>
    <w:p w14:paraId="007F648C">
      <w:pPr>
        <w:spacing w:before="60" w:after="60" w:line="360" w:lineRule="auto"/>
      </w:pPr>
      <w:r>
        <w:rPr>
          <w:rFonts w:ascii="Arial" w:hAnsi="Arial" w:eastAsia="Arial" w:cs="Arial"/>
          <w:b/>
          <w:bCs/>
          <w:sz w:val="22"/>
          <w:szCs w:val="22"/>
        </w:rPr>
        <w:t>核心假设：</w:t>
      </w:r>
      <w:r>
        <w:rPr>
          <w:rFonts w:ascii="Arial" w:hAnsi="Arial" w:eastAsia="Arial" w:cs="Arial"/>
          <w:sz w:val="22"/>
          <w:szCs w:val="22"/>
        </w:rPr>
        <w:t>体制切换有「惯性」——大多数时候停留在当前体制（对角线概率 &gt; 0.5），跳跃很少跨越两格以上（例如从粘性直接到通缩的概率 &lt; 1%）。</w:t>
      </w:r>
    </w:p>
    <w:p w14:paraId="489812A7">
      <w:pPr>
        <w:spacing w:before="60" w:after="60" w:line="360" w:lineRule="auto"/>
      </w:pPr>
      <w:r>
        <w:rPr>
          <w:rFonts w:ascii="Arial" w:hAnsi="Arial" w:eastAsia="Arial" w:cs="Arial"/>
          <w:b/>
          <w:bCs/>
          <w:sz w:val="22"/>
          <w:szCs w:val="22"/>
        </w:rPr>
        <w:t>实证验证：</w:t>
      </w:r>
      <w:r>
        <w:rPr>
          <w:rFonts w:ascii="Arial" w:hAnsi="Arial" w:eastAsia="Arial" w:cs="Arial"/>
          <w:sz w:val="22"/>
          <w:szCs w:val="22"/>
        </w:rPr>
        <w:t>过去 20 年实际体制转换频率 vs 模型预测的 1-step transition probability，RMSE &lt; 5%。这一误差水平意味着：情景概率值的不确定性大约是 ±5pp，不应该被当作精确数值，而应该当作方向性参考。</w:t>
      </w:r>
    </w:p>
    <w:p w14:paraId="43BB76CB">
      <w:pPr>
        <w:pStyle w:val="3"/>
      </w:pPr>
      <w:r>
        <w:rPr>
          <w:rFonts w:ascii="Arial" w:hAnsi="Arial" w:eastAsia="Arial" w:cs="Arial"/>
          <w:b/>
          <w:bCs/>
          <w:sz w:val="26"/>
          <w:szCs w:val="26"/>
        </w:rPr>
        <w:t>4.</w:t>
      </w:r>
      <w:r>
        <w:rPr>
          <w:rFonts w:hint="eastAsia" w:eastAsia="宋体" w:cs="Arial"/>
          <w:b/>
          <w:bCs/>
          <w:sz w:val="26"/>
          <w:szCs w:val="26"/>
          <w:lang w:val="en-US" w:eastAsia="zh-CN"/>
        </w:rPr>
        <w:t>9</w:t>
      </w:r>
      <w:r>
        <w:rPr>
          <w:rFonts w:ascii="Arial" w:hAnsi="Arial" w:eastAsia="Arial" w:cs="Arial"/>
          <w:b/>
          <w:bCs/>
          <w:sz w:val="26"/>
          <w:szCs w:val="26"/>
        </w:rPr>
        <w:t xml:space="preserve"> 框架的哲学基调：透明度作为价值</w:t>
      </w:r>
    </w:p>
    <w:p w14:paraId="3BC1E981">
      <w:pPr>
        <w:spacing w:before="60" w:after="60" w:line="360" w:lineRule="auto"/>
      </w:pPr>
      <w:r>
        <w:rPr>
          <w:rFonts w:ascii="Arial" w:hAnsi="Arial" w:eastAsia="Arial" w:cs="Arial"/>
          <w:sz w:val="22"/>
          <w:szCs w:val="22"/>
        </w:rPr>
        <w:t>IPS 的最终价值不在于「每次预测都对」，而在于每次错都能被清晰归因。当 IPS 告诉我们当前是「粘性通胀」体制（57.2 分），而黄金配置建议 +8pp 时，用户可以：</w:t>
      </w:r>
    </w:p>
    <w:p w14:paraId="4B6CC21B">
      <w:pPr>
        <w:pStyle w:val="16"/>
        <w:numPr>
          <w:ilvl w:val="0"/>
          <w:numId w:val="2"/>
        </w:numPr>
        <w:spacing w:before="40" w:after="40" w:line="340" w:lineRule="auto"/>
      </w:pPr>
      <w:r>
        <w:rPr>
          <w:rFonts w:ascii="Arial" w:hAnsi="Arial" w:eastAsia="Arial" w:cs="Arial"/>
          <w:sz w:val="22"/>
          <w:szCs w:val="22"/>
        </w:rPr>
        <w:t>点开 P 分项 → 看到 Core CPI 3.8% 贡献 68 分；</w:t>
      </w:r>
    </w:p>
    <w:p w14:paraId="41954C2F">
      <w:pPr>
        <w:pStyle w:val="16"/>
        <w:numPr>
          <w:ilvl w:val="0"/>
          <w:numId w:val="2"/>
        </w:numPr>
        <w:spacing w:before="40" w:after="40" w:line="340" w:lineRule="auto"/>
      </w:pPr>
      <w:r>
        <w:rPr>
          <w:rFonts w:ascii="Arial" w:hAnsi="Arial" w:eastAsia="Arial" w:cs="Arial"/>
          <w:sz w:val="22"/>
          <w:szCs w:val="22"/>
        </w:rPr>
        <w:t>点开 N 分项 → 看到 FOMC 鹰鸽 +0.6σ、媒体「滞胀」搜索 +32%；</w:t>
      </w:r>
    </w:p>
    <w:p w14:paraId="6DF18862">
      <w:pPr>
        <w:pStyle w:val="16"/>
        <w:numPr>
          <w:ilvl w:val="0"/>
          <w:numId w:val="2"/>
        </w:numPr>
        <w:spacing w:before="40" w:after="40" w:line="340" w:lineRule="auto"/>
      </w:pPr>
      <w:r>
        <w:rPr>
          <w:rFonts w:ascii="Arial" w:hAnsi="Arial" w:eastAsia="Arial" w:cs="Arial"/>
          <w:sz w:val="22"/>
          <w:szCs w:val="22"/>
        </w:rPr>
        <w:t>点开黄金卡 → 看到 β_CPI = +0.55、置信度 72 分、1970s 相似度 0.62。</w:t>
      </w:r>
    </w:p>
    <w:p w14:paraId="0B9B37B7">
      <w:pPr>
        <w:spacing w:before="60" w:after="60" w:line="360" w:lineRule="auto"/>
      </w:pPr>
      <w:r>
        <w:rPr>
          <w:rFonts w:ascii="Arial" w:hAnsi="Arial" w:eastAsia="Arial" w:cs="Arial"/>
          <w:sz w:val="22"/>
          <w:szCs w:val="22"/>
        </w:rPr>
        <w:t>每一层的数字都可以独立挑战。这种可审计性，是 IPS 与多数黑箱宏观模型的本质分野——也正是本文后续章节能在沃什框架下推导四资产判断的方法论基础。</w:t>
      </w:r>
    </w:p>
    <w:p w14:paraId="4BCBA633">
      <w:pPr>
        <w:pStyle w:val="2"/>
        <w:pageBreakBefore/>
      </w:pPr>
      <w:r>
        <w:rPr>
          <w:rFonts w:ascii="Arial" w:hAnsi="Arial" w:eastAsia="Arial" w:cs="Arial"/>
          <w:b/>
          <w:bCs/>
          <w:sz w:val="32"/>
          <w:szCs w:val="32"/>
        </w:rPr>
        <w:t>5. 沃什框架对 IPS 因子模型的重塑</w:t>
      </w:r>
    </w:p>
    <w:p w14:paraId="056EABF3">
      <w:pPr>
        <w:spacing w:before="60" w:after="60" w:line="360" w:lineRule="auto"/>
      </w:pPr>
      <w:r>
        <w:rPr>
          <w:rFonts w:hint="eastAsia" w:eastAsia="宋体" w:cs="Arial"/>
          <w:sz w:val="22"/>
          <w:szCs w:val="22"/>
          <w:lang w:val="en-US" w:eastAsia="zh-CN"/>
        </w:rPr>
        <w:t xml:space="preserve">现在回到主线问题上: </w:t>
      </w:r>
      <w:r>
        <w:rPr>
          <w:rFonts w:ascii="Arial" w:hAnsi="Arial" w:eastAsia="Arial" w:cs="Arial"/>
          <w:sz w:val="22"/>
          <w:szCs w:val="22"/>
        </w:rPr>
        <w:t>沃什改革会对每个分项产生</w:t>
      </w:r>
      <w:r>
        <w:rPr>
          <w:rFonts w:hint="eastAsia" w:eastAsia="宋体" w:cs="Arial"/>
          <w:sz w:val="22"/>
          <w:szCs w:val="22"/>
          <w:lang w:val="en-US" w:eastAsia="zh-CN"/>
        </w:rPr>
        <w:t>哪些</w:t>
      </w:r>
      <w:r>
        <w:rPr>
          <w:rFonts w:ascii="Arial" w:hAnsi="Arial" w:eastAsia="Arial" w:cs="Arial"/>
          <w:sz w:val="22"/>
          <w:szCs w:val="22"/>
        </w:rPr>
        <w:t>差异化影响。</w:t>
      </w:r>
    </w:p>
    <w:p w14:paraId="60EA5531">
      <w:pPr>
        <w:pStyle w:val="3"/>
      </w:pPr>
      <w:r>
        <w:rPr>
          <w:rFonts w:ascii="Arial" w:hAnsi="Arial" w:eastAsia="Arial" w:cs="Arial"/>
          <w:b/>
          <w:bCs/>
          <w:sz w:val="26"/>
          <w:szCs w:val="26"/>
        </w:rPr>
        <w:t>5.1 P（价格水平）：指标多元化 + 趋势化</w:t>
      </w:r>
    </w:p>
    <w:tbl>
      <w:tblPr>
        <w:tblStyle w:val="11"/>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400"/>
        <w:gridCol w:w="5960"/>
      </w:tblGrid>
      <w:tr w14:paraId="048B430B">
        <w:trPr>
          <w:tblHeader/>
        </w:trPr>
        <w:tc>
          <w:tcPr>
            <w:tcW w:w="3400" w:type="dxa"/>
            <w:shd w:val="clear" w:color="auto" w:fill="1F3864"/>
            <w:tcMar>
              <w:top w:w="80" w:type="dxa"/>
              <w:left w:w="120" w:type="dxa"/>
              <w:bottom w:w="80" w:type="dxa"/>
              <w:right w:w="120" w:type="dxa"/>
            </w:tcMar>
            <w:vAlign w:val="center"/>
          </w:tcPr>
          <w:p w14:paraId="72F6A5C6">
            <w:pPr>
              <w:spacing w:before="20" w:after="20" w:line="320" w:lineRule="auto"/>
              <w:jc w:val="center"/>
            </w:pPr>
            <w:r>
              <w:rPr>
                <w:rFonts w:ascii="Arial" w:hAnsi="Arial" w:eastAsia="Arial" w:cs="Arial"/>
                <w:b/>
                <w:bCs/>
                <w:color w:val="FFFFFF"/>
                <w:sz w:val="20"/>
                <w:szCs w:val="20"/>
              </w:rPr>
              <w:t>变化</w:t>
            </w:r>
          </w:p>
        </w:tc>
        <w:tc>
          <w:tcPr>
            <w:tcW w:w="5960" w:type="dxa"/>
            <w:shd w:val="clear" w:color="auto" w:fill="1F3864"/>
            <w:tcMar>
              <w:top w:w="80" w:type="dxa"/>
              <w:left w:w="120" w:type="dxa"/>
              <w:bottom w:w="80" w:type="dxa"/>
              <w:right w:w="120" w:type="dxa"/>
            </w:tcMar>
            <w:vAlign w:val="center"/>
          </w:tcPr>
          <w:p w14:paraId="1A175F85">
            <w:pPr>
              <w:spacing w:before="20" w:after="20" w:line="320" w:lineRule="auto"/>
              <w:jc w:val="center"/>
            </w:pPr>
            <w:r>
              <w:rPr>
                <w:rFonts w:ascii="Arial" w:hAnsi="Arial" w:eastAsia="Arial" w:cs="Arial"/>
                <w:b/>
                <w:bCs/>
                <w:color w:val="FFFFFF"/>
                <w:sz w:val="20"/>
                <w:szCs w:val="20"/>
              </w:rPr>
              <w:t>含义</w:t>
            </w:r>
          </w:p>
        </w:tc>
      </w:tr>
      <w:tr w14:paraId="45777B3E">
        <w:tc>
          <w:tcPr>
            <w:tcW w:w="3400" w:type="dxa"/>
            <w:tcMar>
              <w:top w:w="80" w:type="dxa"/>
              <w:left w:w="120" w:type="dxa"/>
              <w:bottom w:w="80" w:type="dxa"/>
              <w:right w:w="120" w:type="dxa"/>
            </w:tcMar>
            <w:vAlign w:val="center"/>
          </w:tcPr>
          <w:p w14:paraId="3E981770">
            <w:pPr>
              <w:spacing w:before="20" w:after="20" w:line="320" w:lineRule="auto"/>
              <w:jc w:val="left"/>
            </w:pPr>
            <w:r>
              <w:rPr>
                <w:rFonts w:ascii="Arial" w:hAnsi="Arial" w:eastAsia="Arial" w:cs="Arial"/>
                <w:b w:val="0"/>
                <w:bCs w:val="0"/>
                <w:sz w:val="20"/>
                <w:szCs w:val="20"/>
              </w:rPr>
              <w:t>引入 Truflation 实时数据</w:t>
            </w:r>
          </w:p>
        </w:tc>
        <w:tc>
          <w:tcPr>
            <w:tcW w:w="5960" w:type="dxa"/>
            <w:tcMar>
              <w:top w:w="80" w:type="dxa"/>
              <w:left w:w="120" w:type="dxa"/>
              <w:bottom w:w="80" w:type="dxa"/>
              <w:right w:w="120" w:type="dxa"/>
            </w:tcMar>
            <w:vAlign w:val="center"/>
          </w:tcPr>
          <w:p w14:paraId="5A04DCAB">
            <w:pPr>
              <w:spacing w:before="20" w:after="20" w:line="320" w:lineRule="auto"/>
              <w:jc w:val="left"/>
            </w:pPr>
            <w:r>
              <w:rPr>
                <w:rFonts w:ascii="Arial" w:hAnsi="Arial" w:eastAsia="Arial" w:cs="Arial"/>
                <w:b w:val="0"/>
                <w:bCs w:val="0"/>
                <w:sz w:val="20"/>
                <w:szCs w:val="20"/>
              </w:rPr>
              <w:t>日度更新，降低 CPI/PCE 月度公布的「黑箱」冲击</w:t>
            </w:r>
          </w:p>
        </w:tc>
      </w:tr>
      <w:tr w14:paraId="65FA7A46">
        <w:tc>
          <w:tcPr>
            <w:tcW w:w="3400" w:type="dxa"/>
            <w:tcMar>
              <w:top w:w="80" w:type="dxa"/>
              <w:left w:w="120" w:type="dxa"/>
              <w:bottom w:w="80" w:type="dxa"/>
              <w:right w:w="120" w:type="dxa"/>
            </w:tcMar>
            <w:vAlign w:val="center"/>
          </w:tcPr>
          <w:p w14:paraId="458E8B3D">
            <w:pPr>
              <w:spacing w:before="20" w:after="20" w:line="320" w:lineRule="auto"/>
              <w:jc w:val="left"/>
            </w:pPr>
            <w:r>
              <w:rPr>
                <w:rFonts w:ascii="Arial" w:hAnsi="Arial" w:eastAsia="Arial" w:cs="Arial"/>
                <w:b w:val="0"/>
                <w:bCs w:val="0"/>
                <w:sz w:val="20"/>
                <w:szCs w:val="20"/>
              </w:rPr>
              <w:t>强化「潜在通胀趋势」指标</w:t>
            </w:r>
          </w:p>
        </w:tc>
        <w:tc>
          <w:tcPr>
            <w:tcW w:w="5960" w:type="dxa"/>
            <w:tcMar>
              <w:top w:w="80" w:type="dxa"/>
              <w:left w:w="120" w:type="dxa"/>
              <w:bottom w:w="80" w:type="dxa"/>
              <w:right w:w="120" w:type="dxa"/>
            </w:tcMar>
            <w:vAlign w:val="center"/>
          </w:tcPr>
          <w:p w14:paraId="6294744C">
            <w:pPr>
              <w:spacing w:before="20" w:after="20" w:line="320" w:lineRule="auto"/>
              <w:jc w:val="left"/>
            </w:pPr>
            <w:r>
              <w:rPr>
                <w:rFonts w:ascii="Arial" w:hAnsi="Arial" w:eastAsia="Arial" w:cs="Arial"/>
                <w:b w:val="0"/>
                <w:bCs w:val="0"/>
                <w:sz w:val="20"/>
                <w:szCs w:val="20"/>
              </w:rPr>
              <w:t>Core Services ex-shelter 3m 年化权重上升</w:t>
            </w:r>
          </w:p>
        </w:tc>
      </w:tr>
      <w:tr w14:paraId="2FDCD11A">
        <w:tc>
          <w:tcPr>
            <w:tcW w:w="3400" w:type="dxa"/>
            <w:tcMar>
              <w:top w:w="80" w:type="dxa"/>
              <w:left w:w="120" w:type="dxa"/>
              <w:bottom w:w="80" w:type="dxa"/>
              <w:right w:w="120" w:type="dxa"/>
            </w:tcMar>
            <w:vAlign w:val="center"/>
          </w:tcPr>
          <w:p w14:paraId="0104A5AE">
            <w:pPr>
              <w:spacing w:before="20" w:after="20" w:line="320" w:lineRule="auto"/>
              <w:jc w:val="left"/>
            </w:pPr>
            <w:r>
              <w:rPr>
                <w:rFonts w:ascii="Arial" w:hAnsi="Arial" w:eastAsia="Arial" w:cs="Arial"/>
                <w:b w:val="0"/>
                <w:bCs w:val="0"/>
                <w:sz w:val="20"/>
                <w:szCs w:val="20"/>
              </w:rPr>
              <w:t>修正住房滞后</w:t>
            </w:r>
          </w:p>
        </w:tc>
        <w:tc>
          <w:tcPr>
            <w:tcW w:w="5960" w:type="dxa"/>
            <w:tcMar>
              <w:top w:w="80" w:type="dxa"/>
              <w:left w:w="120" w:type="dxa"/>
              <w:bottom w:w="80" w:type="dxa"/>
              <w:right w:w="120" w:type="dxa"/>
            </w:tcMar>
            <w:vAlign w:val="center"/>
          </w:tcPr>
          <w:p w14:paraId="3BBE4796">
            <w:pPr>
              <w:spacing w:before="20" w:after="20" w:line="320" w:lineRule="auto"/>
              <w:jc w:val="left"/>
            </w:pPr>
            <w:r>
              <w:rPr>
                <w:rFonts w:ascii="Arial" w:hAnsi="Arial" w:eastAsia="Arial" w:cs="Arial"/>
                <w:b w:val="0"/>
                <w:bCs w:val="0"/>
                <w:sz w:val="20"/>
                <w:szCs w:val="20"/>
              </w:rPr>
              <w:t>Zillow Rent 领先 BLS Shelter 9-12 月，修正后可降低 CPI 惯性</w:t>
            </w:r>
          </w:p>
        </w:tc>
      </w:tr>
      <w:tr w14:paraId="1E9E0562">
        <w:tc>
          <w:tcPr>
            <w:tcW w:w="3400" w:type="dxa"/>
            <w:tcMar>
              <w:top w:w="80" w:type="dxa"/>
              <w:left w:w="120" w:type="dxa"/>
              <w:bottom w:w="80" w:type="dxa"/>
              <w:right w:w="120" w:type="dxa"/>
            </w:tcMar>
            <w:vAlign w:val="center"/>
          </w:tcPr>
          <w:p w14:paraId="005AC21B">
            <w:pPr>
              <w:spacing w:before="20" w:after="20" w:line="320" w:lineRule="auto"/>
              <w:jc w:val="left"/>
            </w:pPr>
            <w:r>
              <w:rPr>
                <w:rFonts w:ascii="Arial" w:hAnsi="Arial" w:eastAsia="Arial" w:cs="Arial"/>
                <w:b w:val="0"/>
                <w:bCs w:val="0"/>
                <w:sz w:val="20"/>
                <w:szCs w:val="20"/>
              </w:rPr>
              <w:t>AI 生产率修正项</w:t>
            </w:r>
          </w:p>
        </w:tc>
        <w:tc>
          <w:tcPr>
            <w:tcW w:w="5960" w:type="dxa"/>
            <w:tcMar>
              <w:top w:w="80" w:type="dxa"/>
              <w:left w:w="120" w:type="dxa"/>
              <w:bottom w:w="80" w:type="dxa"/>
              <w:right w:w="120" w:type="dxa"/>
            </w:tcMar>
            <w:vAlign w:val="center"/>
          </w:tcPr>
          <w:p w14:paraId="74EF9C4D">
            <w:pPr>
              <w:spacing w:before="20" w:after="20" w:line="320" w:lineRule="auto"/>
              <w:jc w:val="left"/>
            </w:pPr>
            <w:r>
              <w:rPr>
                <w:rFonts w:ascii="Arial" w:hAnsi="Arial" w:eastAsia="Arial" w:cs="Arial"/>
                <w:b w:val="0"/>
                <w:bCs w:val="0"/>
                <w:sz w:val="20"/>
                <w:szCs w:val="20"/>
              </w:rPr>
              <w:t>如 AI 兑现 1.5% 年化生产率提升，结构性通胀压力下降 0.5–1.0pp</w:t>
            </w:r>
          </w:p>
        </w:tc>
      </w:tr>
    </w:tbl>
    <w:p w14:paraId="648C6755">
      <w:pPr>
        <w:spacing w:before="120" w:after="0"/>
      </w:pPr>
    </w:p>
    <w:p w14:paraId="349C29C5">
      <w:pPr>
        <w:spacing w:before="60" w:after="60" w:line="360" w:lineRule="auto"/>
      </w:pPr>
      <w:r>
        <w:rPr>
          <w:rFonts w:ascii="Arial" w:hAnsi="Arial" w:eastAsia="Arial" w:cs="Arial"/>
          <w:b/>
          <w:bCs/>
          <w:sz w:val="22"/>
          <w:szCs w:val="22"/>
        </w:rPr>
        <w:t>IPS 模型实操影响：</w:t>
      </w:r>
      <w:r>
        <w:rPr>
          <w:rFonts w:ascii="Arial" w:hAnsi="Arial" w:eastAsia="Arial" w:cs="Arial"/>
          <w:sz w:val="22"/>
          <w:szCs w:val="22"/>
        </w:rPr>
        <w:t>P 分项的月度波动性下降，但中枢的「粘性」诊断更准确。月度 CPI 意外对市场的爆炸力可能下降 30–50%。</w:t>
      </w:r>
    </w:p>
    <w:p w14:paraId="30D30911">
      <w:pPr>
        <w:pStyle w:val="3"/>
      </w:pPr>
      <w:r>
        <w:rPr>
          <w:rFonts w:ascii="Arial" w:hAnsi="Arial" w:eastAsia="Arial" w:cs="Arial"/>
          <w:b/>
          <w:bCs/>
          <w:sz w:val="26"/>
          <w:szCs w:val="26"/>
        </w:rPr>
        <w:t>5.2 E（通胀预期）：锚定再加固</w:t>
      </w:r>
    </w:p>
    <w:p w14:paraId="691AB404">
      <w:pPr>
        <w:spacing w:before="60" w:after="60" w:line="360" w:lineRule="auto"/>
      </w:pPr>
      <w:r>
        <w:rPr>
          <w:rFonts w:ascii="Arial" w:hAnsi="Arial" w:eastAsia="Arial" w:cs="Arial"/>
          <w:sz w:val="22"/>
          <w:szCs w:val="22"/>
        </w:rPr>
        <w:t>AIT 下的「过冲容忍」被移除，E 分项回归严格对称的预期管理。关键观察：</w:t>
      </w:r>
    </w:p>
    <w:p w14:paraId="59352F36">
      <w:pPr>
        <w:pStyle w:val="16"/>
        <w:numPr>
          <w:ilvl w:val="0"/>
          <w:numId w:val="2"/>
        </w:numPr>
        <w:spacing w:before="40" w:after="40" w:line="340" w:lineRule="auto"/>
      </w:pPr>
      <w:r>
        <w:rPr>
          <w:rFonts w:ascii="Arial" w:hAnsi="Arial" w:eastAsia="Arial" w:cs="Arial"/>
          <w:sz w:val="22"/>
          <w:szCs w:val="22"/>
        </w:rPr>
        <w:t>5Y5Y Forward BEI：结构性锚定指标，沃什改革后应维持 2.2–2.5%。</w:t>
      </w:r>
    </w:p>
    <w:p w14:paraId="4D1A26A2">
      <w:pPr>
        <w:pStyle w:val="16"/>
        <w:numPr>
          <w:ilvl w:val="0"/>
          <w:numId w:val="2"/>
        </w:numPr>
        <w:spacing w:before="40" w:after="40" w:line="340" w:lineRule="auto"/>
      </w:pPr>
      <w:r>
        <w:rPr>
          <w:rFonts w:ascii="Arial" w:hAnsi="Arial" w:eastAsia="Arial" w:cs="Arial"/>
          <w:sz w:val="22"/>
          <w:szCs w:val="22"/>
        </w:rPr>
        <w:t>Michigan 1Y vs 10Y：2022 年曾出现 Michigan 1Y 脱锚（5.4%）而 10Y 锚定（2.3%）的分裂，沃什框架下此类分裂被视为政策信誉警报。</w:t>
      </w:r>
    </w:p>
    <w:p w14:paraId="0E538FFB">
      <w:pPr>
        <w:pStyle w:val="16"/>
        <w:numPr>
          <w:ilvl w:val="0"/>
          <w:numId w:val="2"/>
        </w:numPr>
        <w:spacing w:before="40" w:after="40" w:line="340" w:lineRule="auto"/>
      </w:pPr>
      <w:r>
        <w:rPr>
          <w:rFonts w:ascii="Arial" w:hAnsi="Arial" w:eastAsia="Arial" w:cs="Arial"/>
          <w:sz w:val="22"/>
          <w:szCs w:val="22"/>
        </w:rPr>
        <w:t>SPF 10Y Core PCE：学术/机构共识，变化更慢，但一旦偏离 2% 即意味着严重信誉损伤。</w:t>
      </w:r>
    </w:p>
    <w:p w14:paraId="18BE8FDD">
      <w:pPr>
        <w:pStyle w:val="3"/>
      </w:pPr>
      <w:r>
        <w:rPr>
          <w:rFonts w:ascii="Arial" w:hAnsi="Arial" w:eastAsia="Arial" w:cs="Arial"/>
          <w:b/>
          <w:bCs/>
          <w:sz w:val="26"/>
          <w:szCs w:val="26"/>
        </w:rPr>
        <w:t>5.3 D（驱动因子）：AI 供给侧效应显性化</w:t>
      </w:r>
    </w:p>
    <w:p w14:paraId="2731A1D2">
      <w:pPr>
        <w:spacing w:before="60" w:after="60" w:line="360" w:lineRule="auto"/>
      </w:pPr>
      <w:r>
        <w:rPr>
          <w:rFonts w:ascii="Arial" w:hAnsi="Arial" w:eastAsia="Arial" w:cs="Arial"/>
          <w:sz w:val="22"/>
          <w:szCs w:val="22"/>
        </w:rPr>
        <w:t>沃什在听证会上「对 AI 持积极态度，认为从长期来看 AI 有助于提升劳动生产率」的表态，为 D 分项加入了结构性通缩因子：</w:t>
      </w:r>
    </w:p>
    <w:tbl>
      <w:tblPr>
        <w:tblStyle w:val="11"/>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800"/>
        <w:gridCol w:w="2200"/>
        <w:gridCol w:w="3360"/>
      </w:tblGrid>
      <w:tr w14:paraId="564A80E7">
        <w:trPr>
          <w:tblHeader/>
        </w:trPr>
        <w:tc>
          <w:tcPr>
            <w:tcW w:w="3800" w:type="dxa"/>
            <w:shd w:val="clear" w:color="auto" w:fill="1F3864"/>
            <w:tcMar>
              <w:top w:w="80" w:type="dxa"/>
              <w:left w:w="120" w:type="dxa"/>
              <w:bottom w:w="80" w:type="dxa"/>
              <w:right w:w="120" w:type="dxa"/>
            </w:tcMar>
            <w:vAlign w:val="center"/>
          </w:tcPr>
          <w:p w14:paraId="76F83F2B">
            <w:pPr>
              <w:spacing w:before="20" w:after="20" w:line="320" w:lineRule="auto"/>
              <w:jc w:val="center"/>
            </w:pPr>
            <w:r>
              <w:rPr>
                <w:rFonts w:ascii="Arial" w:hAnsi="Arial" w:eastAsia="Arial" w:cs="Arial"/>
                <w:b/>
                <w:bCs/>
                <w:color w:val="FFFFFF"/>
                <w:sz w:val="20"/>
                <w:szCs w:val="20"/>
              </w:rPr>
              <w:t>驱动</w:t>
            </w:r>
          </w:p>
        </w:tc>
        <w:tc>
          <w:tcPr>
            <w:tcW w:w="2200" w:type="dxa"/>
            <w:shd w:val="clear" w:color="auto" w:fill="1F3864"/>
            <w:tcMar>
              <w:top w:w="80" w:type="dxa"/>
              <w:left w:w="120" w:type="dxa"/>
              <w:bottom w:w="80" w:type="dxa"/>
              <w:right w:w="120" w:type="dxa"/>
            </w:tcMar>
            <w:vAlign w:val="center"/>
          </w:tcPr>
          <w:p w14:paraId="5E9AADC5">
            <w:pPr>
              <w:spacing w:before="20" w:after="20" w:line="320" w:lineRule="auto"/>
              <w:jc w:val="center"/>
            </w:pPr>
            <w:r>
              <w:rPr>
                <w:rFonts w:ascii="Arial" w:hAnsi="Arial" w:eastAsia="Arial" w:cs="Arial"/>
                <w:b/>
                <w:bCs/>
                <w:color w:val="FFFFFF"/>
                <w:sz w:val="20"/>
                <w:szCs w:val="20"/>
              </w:rPr>
              <w:t>方向</w:t>
            </w:r>
          </w:p>
        </w:tc>
        <w:tc>
          <w:tcPr>
            <w:tcW w:w="3360" w:type="dxa"/>
            <w:shd w:val="clear" w:color="auto" w:fill="1F3864"/>
            <w:tcMar>
              <w:top w:w="80" w:type="dxa"/>
              <w:left w:w="120" w:type="dxa"/>
              <w:bottom w:w="80" w:type="dxa"/>
              <w:right w:w="120" w:type="dxa"/>
            </w:tcMar>
            <w:vAlign w:val="center"/>
          </w:tcPr>
          <w:p w14:paraId="2F7D2A66">
            <w:pPr>
              <w:spacing w:before="20" w:after="20" w:line="320" w:lineRule="auto"/>
              <w:jc w:val="center"/>
            </w:pPr>
            <w:r>
              <w:rPr>
                <w:rFonts w:ascii="Arial" w:hAnsi="Arial" w:eastAsia="Arial" w:cs="Arial"/>
                <w:b/>
                <w:bCs/>
                <w:color w:val="FFFFFF"/>
                <w:sz w:val="20"/>
                <w:szCs w:val="20"/>
              </w:rPr>
              <w:t>幅度（中期）</w:t>
            </w:r>
          </w:p>
        </w:tc>
      </w:tr>
      <w:tr w14:paraId="7C505B8C">
        <w:tc>
          <w:tcPr>
            <w:tcW w:w="3800" w:type="dxa"/>
            <w:tcMar>
              <w:top w:w="80" w:type="dxa"/>
              <w:left w:w="120" w:type="dxa"/>
              <w:bottom w:w="80" w:type="dxa"/>
              <w:right w:w="120" w:type="dxa"/>
            </w:tcMar>
            <w:vAlign w:val="center"/>
          </w:tcPr>
          <w:p w14:paraId="5BF1C1A4">
            <w:pPr>
              <w:spacing w:before="20" w:after="20" w:line="320" w:lineRule="auto"/>
              <w:jc w:val="left"/>
            </w:pPr>
            <w:r>
              <w:rPr>
                <w:rFonts w:ascii="Arial" w:hAnsi="Arial" w:eastAsia="Arial" w:cs="Arial"/>
                <w:b w:val="0"/>
                <w:bCs w:val="0"/>
                <w:sz w:val="20"/>
                <w:szCs w:val="20"/>
              </w:rPr>
              <w:t>AI 生产率</w:t>
            </w:r>
          </w:p>
        </w:tc>
        <w:tc>
          <w:tcPr>
            <w:tcW w:w="2200" w:type="dxa"/>
            <w:tcMar>
              <w:top w:w="80" w:type="dxa"/>
              <w:left w:w="120" w:type="dxa"/>
              <w:bottom w:w="80" w:type="dxa"/>
              <w:right w:w="120" w:type="dxa"/>
            </w:tcMar>
            <w:vAlign w:val="center"/>
          </w:tcPr>
          <w:p w14:paraId="041B6654">
            <w:pPr>
              <w:spacing w:before="20" w:after="20" w:line="320" w:lineRule="auto"/>
              <w:jc w:val="left"/>
            </w:pPr>
            <w:r>
              <w:rPr>
                <w:rFonts w:ascii="Arial" w:hAnsi="Arial" w:eastAsia="Arial" w:cs="Arial"/>
                <w:b w:val="0"/>
                <w:bCs w:val="0"/>
                <w:sz w:val="20"/>
                <w:szCs w:val="20"/>
              </w:rPr>
              <w:t>通缩</w:t>
            </w:r>
            <w:bookmarkStart w:id="0" w:name="_GoBack"/>
            <w:bookmarkEnd w:id="0"/>
          </w:p>
        </w:tc>
        <w:tc>
          <w:tcPr>
            <w:tcW w:w="3360" w:type="dxa"/>
            <w:tcMar>
              <w:top w:w="80" w:type="dxa"/>
              <w:left w:w="120" w:type="dxa"/>
              <w:bottom w:w="80" w:type="dxa"/>
              <w:right w:w="120" w:type="dxa"/>
            </w:tcMar>
            <w:vAlign w:val="center"/>
          </w:tcPr>
          <w:p w14:paraId="0C537CA1">
            <w:pPr>
              <w:spacing w:before="20" w:after="20" w:line="320" w:lineRule="auto"/>
              <w:jc w:val="left"/>
            </w:pPr>
            <w:r>
              <w:rPr>
                <w:rFonts w:ascii="Arial" w:hAnsi="Arial" w:eastAsia="Arial" w:cs="Arial"/>
                <w:b w:val="0"/>
                <w:bCs w:val="0"/>
                <w:sz w:val="20"/>
                <w:szCs w:val="20"/>
              </w:rPr>
              <w:t>-0.5 ~ -1.5pp</w:t>
            </w:r>
          </w:p>
        </w:tc>
      </w:tr>
      <w:tr w14:paraId="42265185">
        <w:tc>
          <w:tcPr>
            <w:tcW w:w="3800" w:type="dxa"/>
            <w:tcMar>
              <w:top w:w="80" w:type="dxa"/>
              <w:left w:w="120" w:type="dxa"/>
              <w:bottom w:w="80" w:type="dxa"/>
              <w:right w:w="120" w:type="dxa"/>
            </w:tcMar>
            <w:vAlign w:val="center"/>
          </w:tcPr>
          <w:p w14:paraId="2B0EBEF5">
            <w:pPr>
              <w:spacing w:before="20" w:after="20" w:line="320" w:lineRule="auto"/>
              <w:jc w:val="left"/>
            </w:pPr>
            <w:r>
              <w:rPr>
                <w:rFonts w:ascii="Arial" w:hAnsi="Arial" w:eastAsia="Arial" w:cs="Arial"/>
                <w:b w:val="0"/>
                <w:bCs w:val="0"/>
                <w:sz w:val="20"/>
                <w:szCs w:val="20"/>
              </w:rPr>
              <w:t>供应链重构（逆全球化）</w:t>
            </w:r>
          </w:p>
        </w:tc>
        <w:tc>
          <w:tcPr>
            <w:tcW w:w="2200" w:type="dxa"/>
            <w:tcMar>
              <w:top w:w="80" w:type="dxa"/>
              <w:left w:w="120" w:type="dxa"/>
              <w:bottom w:w="80" w:type="dxa"/>
              <w:right w:w="120" w:type="dxa"/>
            </w:tcMar>
            <w:vAlign w:val="center"/>
          </w:tcPr>
          <w:p w14:paraId="5FFA9D0A">
            <w:pPr>
              <w:spacing w:before="20" w:after="20" w:line="320" w:lineRule="auto"/>
              <w:jc w:val="left"/>
            </w:pPr>
            <w:r>
              <w:rPr>
                <w:rFonts w:ascii="Arial" w:hAnsi="Arial" w:eastAsia="Arial" w:cs="Arial"/>
                <w:b w:val="0"/>
                <w:bCs w:val="0"/>
                <w:sz w:val="20"/>
                <w:szCs w:val="20"/>
              </w:rPr>
              <w:t>通胀</w:t>
            </w:r>
          </w:p>
        </w:tc>
        <w:tc>
          <w:tcPr>
            <w:tcW w:w="3360" w:type="dxa"/>
            <w:tcMar>
              <w:top w:w="80" w:type="dxa"/>
              <w:left w:w="120" w:type="dxa"/>
              <w:bottom w:w="80" w:type="dxa"/>
              <w:right w:w="120" w:type="dxa"/>
            </w:tcMar>
            <w:vAlign w:val="center"/>
          </w:tcPr>
          <w:p w14:paraId="05A40040">
            <w:pPr>
              <w:spacing w:before="20" w:after="20" w:line="320" w:lineRule="auto"/>
              <w:jc w:val="left"/>
            </w:pPr>
            <w:r>
              <w:rPr>
                <w:rFonts w:ascii="Arial" w:hAnsi="Arial" w:eastAsia="Arial" w:cs="Arial"/>
                <w:b w:val="0"/>
                <w:bCs w:val="0"/>
                <w:sz w:val="20"/>
                <w:szCs w:val="20"/>
              </w:rPr>
              <w:t>+0.3 ~ +0.8pp</w:t>
            </w:r>
          </w:p>
        </w:tc>
      </w:tr>
      <w:tr w14:paraId="40E20D09">
        <w:tc>
          <w:tcPr>
            <w:tcW w:w="3800" w:type="dxa"/>
            <w:tcMar>
              <w:top w:w="80" w:type="dxa"/>
              <w:left w:w="120" w:type="dxa"/>
              <w:bottom w:w="80" w:type="dxa"/>
              <w:right w:w="120" w:type="dxa"/>
            </w:tcMar>
            <w:vAlign w:val="center"/>
          </w:tcPr>
          <w:p w14:paraId="5A59CA88">
            <w:pPr>
              <w:spacing w:before="20" w:after="20" w:line="320" w:lineRule="auto"/>
              <w:jc w:val="left"/>
            </w:pPr>
            <w:r>
              <w:rPr>
                <w:rFonts w:ascii="Arial" w:hAnsi="Arial" w:eastAsia="Arial" w:cs="Arial"/>
                <w:b w:val="0"/>
                <w:bCs w:val="0"/>
                <w:sz w:val="20"/>
                <w:szCs w:val="20"/>
              </w:rPr>
              <w:t>能源安全溢价</w:t>
            </w:r>
          </w:p>
        </w:tc>
        <w:tc>
          <w:tcPr>
            <w:tcW w:w="2200" w:type="dxa"/>
            <w:tcMar>
              <w:top w:w="80" w:type="dxa"/>
              <w:left w:w="120" w:type="dxa"/>
              <w:bottom w:w="80" w:type="dxa"/>
              <w:right w:w="120" w:type="dxa"/>
            </w:tcMar>
            <w:vAlign w:val="center"/>
          </w:tcPr>
          <w:p w14:paraId="14AD2B90">
            <w:pPr>
              <w:spacing w:before="20" w:after="20" w:line="320" w:lineRule="auto"/>
              <w:jc w:val="left"/>
            </w:pPr>
            <w:r>
              <w:rPr>
                <w:rFonts w:ascii="Arial" w:hAnsi="Arial" w:eastAsia="Arial" w:cs="Arial"/>
                <w:b w:val="0"/>
                <w:bCs w:val="0"/>
                <w:sz w:val="20"/>
                <w:szCs w:val="20"/>
              </w:rPr>
              <w:t>通胀</w:t>
            </w:r>
          </w:p>
        </w:tc>
        <w:tc>
          <w:tcPr>
            <w:tcW w:w="3360" w:type="dxa"/>
            <w:tcMar>
              <w:top w:w="80" w:type="dxa"/>
              <w:left w:w="120" w:type="dxa"/>
              <w:bottom w:w="80" w:type="dxa"/>
              <w:right w:w="120" w:type="dxa"/>
            </w:tcMar>
            <w:vAlign w:val="center"/>
          </w:tcPr>
          <w:p w14:paraId="5D1923C9">
            <w:pPr>
              <w:spacing w:before="20" w:after="20" w:line="320" w:lineRule="auto"/>
              <w:jc w:val="left"/>
            </w:pPr>
            <w:r>
              <w:rPr>
                <w:rFonts w:ascii="Arial" w:hAnsi="Arial" w:eastAsia="Arial" w:cs="Arial"/>
                <w:b w:val="0"/>
                <w:bCs w:val="0"/>
                <w:sz w:val="20"/>
                <w:szCs w:val="20"/>
              </w:rPr>
              <w:t>+0.2 ~ +0.5pp</w:t>
            </w:r>
          </w:p>
        </w:tc>
      </w:tr>
      <w:tr w14:paraId="77D65693">
        <w:tc>
          <w:tcPr>
            <w:tcW w:w="3800" w:type="dxa"/>
            <w:tcMar>
              <w:top w:w="80" w:type="dxa"/>
              <w:left w:w="120" w:type="dxa"/>
              <w:bottom w:w="80" w:type="dxa"/>
              <w:right w:w="120" w:type="dxa"/>
            </w:tcMar>
            <w:vAlign w:val="center"/>
          </w:tcPr>
          <w:p w14:paraId="09395646">
            <w:pPr>
              <w:spacing w:before="20" w:after="20" w:line="320" w:lineRule="auto"/>
              <w:jc w:val="left"/>
            </w:pPr>
            <w:r>
              <w:rPr>
                <w:rFonts w:ascii="Arial" w:hAnsi="Arial" w:eastAsia="Arial" w:cs="Arial"/>
                <w:b w:val="0"/>
                <w:bCs w:val="0"/>
                <w:sz w:val="20"/>
                <w:szCs w:val="20"/>
              </w:rPr>
              <w:t>房租周期回落</w:t>
            </w:r>
          </w:p>
        </w:tc>
        <w:tc>
          <w:tcPr>
            <w:tcW w:w="2200" w:type="dxa"/>
            <w:tcMar>
              <w:top w:w="80" w:type="dxa"/>
              <w:left w:w="120" w:type="dxa"/>
              <w:bottom w:w="80" w:type="dxa"/>
              <w:right w:w="120" w:type="dxa"/>
            </w:tcMar>
            <w:vAlign w:val="center"/>
          </w:tcPr>
          <w:p w14:paraId="7D4E8427">
            <w:pPr>
              <w:spacing w:before="20" w:after="20" w:line="320" w:lineRule="auto"/>
              <w:jc w:val="left"/>
            </w:pPr>
            <w:r>
              <w:rPr>
                <w:rFonts w:ascii="Arial" w:hAnsi="Arial" w:eastAsia="Arial" w:cs="Arial"/>
                <w:b w:val="0"/>
                <w:bCs w:val="0"/>
                <w:sz w:val="20"/>
                <w:szCs w:val="20"/>
              </w:rPr>
              <w:t>通缩</w:t>
            </w:r>
          </w:p>
        </w:tc>
        <w:tc>
          <w:tcPr>
            <w:tcW w:w="3360" w:type="dxa"/>
            <w:tcMar>
              <w:top w:w="80" w:type="dxa"/>
              <w:left w:w="120" w:type="dxa"/>
              <w:bottom w:w="80" w:type="dxa"/>
              <w:right w:w="120" w:type="dxa"/>
            </w:tcMar>
            <w:vAlign w:val="center"/>
          </w:tcPr>
          <w:p w14:paraId="611D4892">
            <w:pPr>
              <w:spacing w:before="20" w:after="20" w:line="320" w:lineRule="auto"/>
              <w:jc w:val="left"/>
            </w:pPr>
            <w:r>
              <w:rPr>
                <w:rFonts w:ascii="Arial" w:hAnsi="Arial" w:eastAsia="Arial" w:cs="Arial"/>
                <w:b w:val="0"/>
                <w:bCs w:val="0"/>
                <w:sz w:val="20"/>
                <w:szCs w:val="20"/>
              </w:rPr>
              <w:t>-0.3 ~ -0.6pp</w:t>
            </w:r>
          </w:p>
        </w:tc>
      </w:tr>
      <w:tr w14:paraId="39EEDBC7">
        <w:tc>
          <w:tcPr>
            <w:tcW w:w="3800" w:type="dxa"/>
            <w:tcMar>
              <w:top w:w="80" w:type="dxa"/>
              <w:left w:w="120" w:type="dxa"/>
              <w:bottom w:w="80" w:type="dxa"/>
              <w:right w:w="120" w:type="dxa"/>
            </w:tcMar>
            <w:vAlign w:val="center"/>
          </w:tcPr>
          <w:p w14:paraId="2897553E">
            <w:pPr>
              <w:spacing w:before="20" w:after="20" w:line="320" w:lineRule="auto"/>
              <w:jc w:val="left"/>
            </w:pPr>
            <w:r>
              <w:rPr>
                <w:rFonts w:ascii="Arial" w:hAnsi="Arial" w:eastAsia="Arial" w:cs="Arial"/>
                <w:b w:val="0"/>
                <w:bCs w:val="0"/>
                <w:sz w:val="20"/>
                <w:szCs w:val="20"/>
              </w:rPr>
              <w:t>工资—物价螺旋消退</w:t>
            </w:r>
          </w:p>
        </w:tc>
        <w:tc>
          <w:tcPr>
            <w:tcW w:w="2200" w:type="dxa"/>
            <w:tcMar>
              <w:top w:w="80" w:type="dxa"/>
              <w:left w:w="120" w:type="dxa"/>
              <w:bottom w:w="80" w:type="dxa"/>
              <w:right w:w="120" w:type="dxa"/>
            </w:tcMar>
            <w:vAlign w:val="center"/>
          </w:tcPr>
          <w:p w14:paraId="00432FBF">
            <w:pPr>
              <w:spacing w:before="20" w:after="20" w:line="320" w:lineRule="auto"/>
              <w:jc w:val="left"/>
            </w:pPr>
            <w:r>
              <w:rPr>
                <w:rFonts w:ascii="Arial" w:hAnsi="Arial" w:eastAsia="Arial" w:cs="Arial"/>
                <w:b w:val="0"/>
                <w:bCs w:val="0"/>
                <w:sz w:val="20"/>
                <w:szCs w:val="20"/>
              </w:rPr>
              <w:t>通缩</w:t>
            </w:r>
          </w:p>
        </w:tc>
        <w:tc>
          <w:tcPr>
            <w:tcW w:w="3360" w:type="dxa"/>
            <w:tcMar>
              <w:top w:w="80" w:type="dxa"/>
              <w:left w:w="120" w:type="dxa"/>
              <w:bottom w:w="80" w:type="dxa"/>
              <w:right w:w="120" w:type="dxa"/>
            </w:tcMar>
            <w:vAlign w:val="center"/>
          </w:tcPr>
          <w:p w14:paraId="63D1A9EB">
            <w:pPr>
              <w:spacing w:before="20" w:after="20" w:line="320" w:lineRule="auto"/>
              <w:jc w:val="left"/>
            </w:pPr>
            <w:r>
              <w:rPr>
                <w:rFonts w:ascii="Arial" w:hAnsi="Arial" w:eastAsia="Arial" w:cs="Arial"/>
                <w:b w:val="0"/>
                <w:bCs w:val="0"/>
                <w:sz w:val="20"/>
                <w:szCs w:val="20"/>
              </w:rPr>
              <w:t>-0.2 ~ -0.4pp</w:t>
            </w:r>
          </w:p>
        </w:tc>
      </w:tr>
    </w:tbl>
    <w:p w14:paraId="2740D204">
      <w:pPr>
        <w:spacing w:before="120" w:after="0"/>
      </w:pPr>
    </w:p>
    <w:p w14:paraId="20D363C2">
      <w:pPr>
        <w:spacing w:before="60" w:after="60" w:line="360" w:lineRule="auto"/>
      </w:pPr>
      <w:r>
        <w:rPr>
          <w:rFonts w:ascii="Arial" w:hAnsi="Arial" w:eastAsia="Arial" w:cs="Arial"/>
          <w:b/>
          <w:bCs/>
          <w:sz w:val="22"/>
          <w:szCs w:val="22"/>
        </w:rPr>
        <w:t>净效应：偏通缩</w:t>
      </w:r>
      <w:r>
        <w:rPr>
          <w:rFonts w:ascii="Arial" w:hAnsi="Arial" w:eastAsia="Arial" w:cs="Arial"/>
          <w:sz w:val="22"/>
          <w:szCs w:val="22"/>
        </w:rPr>
        <w:t>，但有显著的不对称风险尾部（能源冲击、供应链事件）。</w:t>
      </w:r>
    </w:p>
    <w:p w14:paraId="281EA52C">
      <w:pPr>
        <w:pStyle w:val="3"/>
      </w:pPr>
      <w:r>
        <w:rPr>
          <w:rFonts w:ascii="Arial" w:hAnsi="Arial" w:eastAsia="Arial" w:cs="Arial"/>
          <w:b/>
          <w:bCs/>
          <w:sz w:val="26"/>
          <w:szCs w:val="26"/>
        </w:rPr>
        <w:t>5.4 F（财政脉冲）：最大的政策张力</w:t>
      </w:r>
    </w:p>
    <w:p w14:paraId="68F480A4">
      <w:pPr>
        <w:spacing w:before="60" w:after="60" w:line="360" w:lineRule="auto"/>
      </w:pPr>
      <w:r>
        <w:rPr>
          <w:rFonts w:ascii="Arial" w:hAnsi="Arial" w:eastAsia="Arial" w:cs="Arial"/>
          <w:sz w:val="22"/>
          <w:szCs w:val="22"/>
        </w:rPr>
        <w:t>这是沃什框架最可能撞墙的分项。现状：</w:t>
      </w:r>
    </w:p>
    <w:p w14:paraId="309FC4B9">
      <w:pPr>
        <w:pStyle w:val="16"/>
        <w:numPr>
          <w:ilvl w:val="0"/>
          <w:numId w:val="2"/>
        </w:numPr>
        <w:spacing w:before="40" w:after="40" w:line="340" w:lineRule="auto"/>
      </w:pPr>
      <w:r>
        <w:rPr>
          <w:rFonts w:ascii="Arial" w:hAnsi="Arial" w:eastAsia="Arial" w:cs="Arial"/>
          <w:sz w:val="22"/>
          <w:szCs w:val="22"/>
        </w:rPr>
        <w:t>赤字/GDP ≈ 6.3%（战后非战争期高位）。</w:t>
      </w:r>
    </w:p>
    <w:p w14:paraId="5D8BA737">
      <w:pPr>
        <w:pStyle w:val="16"/>
        <w:numPr>
          <w:ilvl w:val="0"/>
          <w:numId w:val="2"/>
        </w:numPr>
        <w:spacing w:before="40" w:after="40" w:line="340" w:lineRule="auto"/>
      </w:pPr>
      <w:r>
        <w:rPr>
          <w:rFonts w:ascii="Arial" w:hAnsi="Arial" w:eastAsia="Arial" w:cs="Arial"/>
          <w:sz w:val="22"/>
          <w:szCs w:val="22"/>
        </w:rPr>
        <w:t>美联储持有美债 ~4.4 万亿（占流通 19%）。</w:t>
      </w:r>
    </w:p>
    <w:p w14:paraId="36D8AE77">
      <w:pPr>
        <w:pStyle w:val="16"/>
        <w:numPr>
          <w:ilvl w:val="0"/>
          <w:numId w:val="2"/>
        </w:numPr>
        <w:spacing w:before="40" w:after="40" w:line="340" w:lineRule="auto"/>
      </w:pPr>
      <w:r>
        <w:rPr>
          <w:rFonts w:ascii="Arial" w:hAnsi="Arial" w:eastAsia="Arial" w:cs="Arial"/>
          <w:sz w:val="22"/>
          <w:szCs w:val="22"/>
        </w:rPr>
        <w:t>净发债节奏 / TGA 释放持续为通胀提供「暗刺激」。</w:t>
      </w:r>
    </w:p>
    <w:p w14:paraId="1927EDA5">
      <w:pPr>
        <w:spacing w:before="60" w:after="60" w:line="360" w:lineRule="auto"/>
      </w:pPr>
      <w:r>
        <w:rPr>
          <w:rFonts w:ascii="Arial" w:hAnsi="Arial" w:eastAsia="Arial" w:cs="Arial"/>
          <w:sz w:val="22"/>
          <w:szCs w:val="22"/>
        </w:rPr>
        <w:t>沃什主张「美联储应从类财政职能中退出」，但不解决赤字问题本身。三条可能路径：</w:t>
      </w:r>
    </w:p>
    <w:p w14:paraId="5636D854">
      <w:pPr>
        <w:pStyle w:val="16"/>
        <w:numPr>
          <w:ilvl w:val="0"/>
          <w:numId w:val="1"/>
        </w:numPr>
        <w:spacing w:before="40" w:after="40" w:line="340" w:lineRule="auto"/>
      </w:pPr>
      <w:r>
        <w:rPr>
          <w:rFonts w:ascii="Arial" w:hAnsi="Arial" w:eastAsia="Arial" w:cs="Arial"/>
          <w:sz w:val="22"/>
          <w:szCs w:val="22"/>
        </w:rPr>
        <w:t>倒逼路径（沃什偏好）：QT 提高长端利率 → 融资成本上升 → 国会被迫收敛赤字。</w:t>
      </w:r>
    </w:p>
    <w:p w14:paraId="2E25BD8A">
      <w:pPr>
        <w:pStyle w:val="16"/>
        <w:numPr>
          <w:ilvl w:val="0"/>
          <w:numId w:val="1"/>
        </w:numPr>
        <w:spacing w:before="40" w:after="40" w:line="340" w:lineRule="auto"/>
      </w:pPr>
      <w:r>
        <w:rPr>
          <w:rFonts w:ascii="Arial" w:hAnsi="Arial" w:eastAsia="Arial" w:cs="Arial"/>
          <w:sz w:val="22"/>
          <w:szCs w:val="22"/>
        </w:rPr>
        <w:t>妥协路径：财政与联储重新分工，联储维持短端美债持仓，但不承担长久期风险。</w:t>
      </w:r>
    </w:p>
    <w:p w14:paraId="1A13ED88">
      <w:pPr>
        <w:pStyle w:val="16"/>
        <w:numPr>
          <w:ilvl w:val="0"/>
          <w:numId w:val="1"/>
        </w:numPr>
        <w:spacing w:before="40" w:after="40" w:line="340" w:lineRule="auto"/>
      </w:pPr>
      <w:r>
        <w:rPr>
          <w:rFonts w:ascii="Arial" w:hAnsi="Arial" w:eastAsia="Arial" w:cs="Arial"/>
          <w:sz w:val="22"/>
          <w:szCs w:val="22"/>
        </w:rPr>
        <w:t>失败路径（财政主导）：赤字不可压缩，QT 执行受阻，联储被迫重启扩表。</w:t>
      </w:r>
    </w:p>
    <w:p w14:paraId="15C1336B">
      <w:pPr>
        <w:spacing w:before="60" w:after="60" w:line="360" w:lineRule="auto"/>
      </w:pPr>
      <w:r>
        <w:rPr>
          <w:rFonts w:ascii="Arial" w:hAnsi="Arial" w:eastAsia="Arial" w:cs="Arial"/>
          <w:b/>
          <w:bCs/>
          <w:sz w:val="22"/>
          <w:szCs w:val="22"/>
        </w:rPr>
        <w:t>观察指标：</w:t>
      </w:r>
      <w:r>
        <w:rPr>
          <w:rFonts w:ascii="Arial" w:hAnsi="Arial" w:eastAsia="Arial" w:cs="Arial"/>
          <w:sz w:val="22"/>
          <w:szCs w:val="22"/>
        </w:rPr>
        <w:t>QT 启动首季 10Y 美债拍卖尾差、TGA 余额路径、国会赤字削减法案进展。</w:t>
      </w:r>
    </w:p>
    <w:p w14:paraId="66E9D827">
      <w:pPr>
        <w:pStyle w:val="3"/>
      </w:pPr>
      <w:r>
        <w:rPr>
          <w:rFonts w:ascii="Arial" w:hAnsi="Arial" w:eastAsia="Arial" w:cs="Arial"/>
          <w:b/>
          <w:bCs/>
          <w:sz w:val="26"/>
          <w:szCs w:val="26"/>
        </w:rPr>
        <w:t>5.5 N（叙事+政策反射）：鹰派转向 + 独立性重建</w:t>
      </w:r>
    </w:p>
    <w:p w14:paraId="55510134">
      <w:pPr>
        <w:pStyle w:val="16"/>
        <w:numPr>
          <w:ilvl w:val="0"/>
          <w:numId w:val="2"/>
        </w:numPr>
        <w:spacing w:before="40" w:after="40" w:line="340" w:lineRule="auto"/>
      </w:pPr>
      <w:r>
        <w:rPr>
          <w:rFonts w:ascii="Arial" w:hAnsi="Arial" w:eastAsia="Arial" w:cs="Arial"/>
          <w:sz w:val="22"/>
          <w:szCs w:val="22"/>
        </w:rPr>
        <w:t>FOMC 鹰鸽指数中枢上移：沃什 + 已在职的 Waller、Logan、Bowman 构成鹰派核心。</w:t>
      </w:r>
    </w:p>
    <w:p w14:paraId="1F0DDCC5">
      <w:pPr>
        <w:pStyle w:val="16"/>
        <w:numPr>
          <w:ilvl w:val="0"/>
          <w:numId w:val="2"/>
        </w:numPr>
        <w:spacing w:before="40" w:after="40" w:line="340" w:lineRule="auto"/>
      </w:pPr>
      <w:r>
        <w:rPr>
          <w:rFonts w:ascii="Arial" w:hAnsi="Arial" w:eastAsia="Arial" w:cs="Arial"/>
          <w:sz w:val="22"/>
          <w:szCs w:val="22"/>
        </w:rPr>
        <w:t>政策陈述关键词变化：预计「信誉」、「独立性」、「主权」、「效率」高频出现；「灵活性」、「暂时性」、「过冲」低频化。</w:t>
      </w:r>
    </w:p>
    <w:p w14:paraId="746044A3">
      <w:pPr>
        <w:pStyle w:val="16"/>
        <w:numPr>
          <w:ilvl w:val="0"/>
          <w:numId w:val="2"/>
        </w:numPr>
        <w:spacing w:before="40" w:after="40" w:line="340" w:lineRule="auto"/>
      </w:pPr>
      <w:r>
        <w:rPr>
          <w:rFonts w:ascii="Arial" w:hAnsi="Arial" w:eastAsia="Arial" w:cs="Arial"/>
          <w:sz w:val="22"/>
          <w:szCs w:val="22"/>
        </w:rPr>
        <w:t>市场隐含降息次数修正：CME FedWatch 的降息路径可能先下修（因 QT 压制整体宽松力度），随后分化（短端下、长端上，曲线陡峭）。</w:t>
      </w:r>
    </w:p>
    <w:p w14:paraId="6B290C05">
      <w:pPr>
        <w:spacing w:before="60" w:after="60" w:line="360" w:lineRule="auto"/>
      </w:pPr>
      <w:r>
        <w:rPr>
          <w:rFonts w:ascii="Arial" w:hAnsi="Arial" w:eastAsia="Arial" w:cs="Arial"/>
          <w:b/>
          <w:bCs/>
          <w:sz w:val="22"/>
          <w:szCs w:val="22"/>
        </w:rPr>
        <w:t>综合影响：</w:t>
      </w:r>
      <w:r>
        <w:rPr>
          <w:rFonts w:ascii="Arial" w:hAnsi="Arial" w:eastAsia="Arial" w:cs="Arial"/>
          <w:sz w:val="22"/>
          <w:szCs w:val="22"/>
        </w:rPr>
        <w:t>IPS 评分的中长期中枢将系统性下移 5–10 分（从当前 57–62 区间向 50–55 区间回归），反映通胀管理约束的制度化强化。</w:t>
      </w:r>
    </w:p>
    <w:p w14:paraId="3EE4643E">
      <w:pPr>
        <w:pStyle w:val="2"/>
        <w:pageBreakBefore/>
      </w:pPr>
      <w:r>
        <w:rPr>
          <w:rFonts w:ascii="Arial" w:hAnsi="Arial" w:eastAsia="Arial" w:cs="Arial"/>
          <w:b/>
          <w:bCs/>
          <w:sz w:val="32"/>
          <w:szCs w:val="32"/>
        </w:rPr>
        <w:t>6. 中长期（1–3 年）四类资产再定价：三情景分析</w:t>
      </w:r>
    </w:p>
    <w:p w14:paraId="64BB2E80">
      <w:pPr>
        <w:pStyle w:val="3"/>
      </w:pPr>
      <w:r>
        <w:rPr>
          <w:rFonts w:ascii="Arial" w:hAnsi="Arial" w:eastAsia="Arial" w:cs="Arial"/>
          <w:b/>
          <w:bCs/>
          <w:sz w:val="26"/>
          <w:szCs w:val="26"/>
        </w:rPr>
        <w:t>6.1 情景概率分布</w:t>
      </w:r>
    </w:p>
    <w:p w14:paraId="05E80872">
      <w:pPr>
        <w:spacing w:before="60" w:after="60" w:line="360" w:lineRule="auto"/>
      </w:pPr>
      <w:r>
        <w:rPr>
          <w:rFonts w:ascii="Arial" w:hAnsi="Arial" w:eastAsia="Arial" w:cs="Arial"/>
          <w:sz w:val="22"/>
          <w:szCs w:val="22"/>
        </w:rPr>
        <w:t>基于转移矩阵 + 沃什提名进程 + 当前宏观条件：</w:t>
      </w:r>
    </w:p>
    <w:tbl>
      <w:tblPr>
        <w:tblStyle w:val="11"/>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800"/>
        <w:gridCol w:w="1200"/>
        <w:gridCol w:w="4360"/>
      </w:tblGrid>
      <w:tr w14:paraId="339FA44E">
        <w:trPr>
          <w:tblHeader/>
        </w:trPr>
        <w:tc>
          <w:tcPr>
            <w:tcW w:w="3800" w:type="dxa"/>
            <w:shd w:val="clear" w:color="auto" w:fill="1F3864"/>
            <w:tcMar>
              <w:top w:w="80" w:type="dxa"/>
              <w:left w:w="120" w:type="dxa"/>
              <w:bottom w:w="80" w:type="dxa"/>
              <w:right w:w="120" w:type="dxa"/>
            </w:tcMar>
            <w:vAlign w:val="center"/>
          </w:tcPr>
          <w:p w14:paraId="282F0833">
            <w:pPr>
              <w:spacing w:before="20" w:after="20" w:line="320" w:lineRule="auto"/>
              <w:jc w:val="center"/>
            </w:pPr>
            <w:r>
              <w:rPr>
                <w:rFonts w:ascii="Arial" w:hAnsi="Arial" w:eastAsia="Arial" w:cs="Arial"/>
                <w:b/>
                <w:bCs/>
                <w:color w:val="FFFFFF"/>
                <w:sz w:val="20"/>
                <w:szCs w:val="20"/>
              </w:rPr>
              <w:t>情景</w:t>
            </w:r>
          </w:p>
        </w:tc>
        <w:tc>
          <w:tcPr>
            <w:tcW w:w="1200" w:type="dxa"/>
            <w:shd w:val="clear" w:color="auto" w:fill="1F3864"/>
            <w:tcMar>
              <w:top w:w="80" w:type="dxa"/>
              <w:left w:w="120" w:type="dxa"/>
              <w:bottom w:w="80" w:type="dxa"/>
              <w:right w:w="120" w:type="dxa"/>
            </w:tcMar>
            <w:vAlign w:val="center"/>
          </w:tcPr>
          <w:p w14:paraId="11EBFAB8">
            <w:pPr>
              <w:spacing w:before="20" w:after="20" w:line="320" w:lineRule="auto"/>
              <w:jc w:val="center"/>
            </w:pPr>
            <w:r>
              <w:rPr>
                <w:rFonts w:ascii="Arial" w:hAnsi="Arial" w:eastAsia="Arial" w:cs="Arial"/>
                <w:b/>
                <w:bCs/>
                <w:color w:val="FFFFFF"/>
                <w:sz w:val="20"/>
                <w:szCs w:val="20"/>
              </w:rPr>
              <w:t>概率</w:t>
            </w:r>
          </w:p>
        </w:tc>
        <w:tc>
          <w:tcPr>
            <w:tcW w:w="4360" w:type="dxa"/>
            <w:shd w:val="clear" w:color="auto" w:fill="1F3864"/>
            <w:tcMar>
              <w:top w:w="80" w:type="dxa"/>
              <w:left w:w="120" w:type="dxa"/>
              <w:bottom w:w="80" w:type="dxa"/>
              <w:right w:w="120" w:type="dxa"/>
            </w:tcMar>
            <w:vAlign w:val="center"/>
          </w:tcPr>
          <w:p w14:paraId="14936ADC">
            <w:pPr>
              <w:spacing w:before="20" w:after="20" w:line="320" w:lineRule="auto"/>
              <w:jc w:val="center"/>
            </w:pPr>
            <w:r>
              <w:rPr>
                <w:rFonts w:ascii="Arial" w:hAnsi="Arial" w:eastAsia="Arial" w:cs="Arial"/>
                <w:b/>
                <w:bCs/>
                <w:color w:val="FFFFFF"/>
                <w:sz w:val="20"/>
                <w:szCs w:val="20"/>
              </w:rPr>
              <w:t>核心假设</w:t>
            </w:r>
          </w:p>
        </w:tc>
      </w:tr>
      <w:tr w14:paraId="54CDF2A1">
        <w:tc>
          <w:tcPr>
            <w:tcW w:w="3800" w:type="dxa"/>
            <w:tcMar>
              <w:top w:w="80" w:type="dxa"/>
              <w:left w:w="120" w:type="dxa"/>
              <w:bottom w:w="80" w:type="dxa"/>
              <w:right w:w="120" w:type="dxa"/>
            </w:tcMar>
            <w:vAlign w:val="center"/>
          </w:tcPr>
          <w:p w14:paraId="1A94D1C2">
            <w:pPr>
              <w:spacing w:before="20" w:after="20" w:line="320" w:lineRule="auto"/>
              <w:jc w:val="left"/>
            </w:pPr>
            <w:r>
              <w:rPr>
                <w:rFonts w:ascii="Arial" w:hAnsi="Arial" w:eastAsia="Arial" w:cs="Arial"/>
                <w:b w:val="0"/>
                <w:bCs w:val="0"/>
                <w:sz w:val="20"/>
                <w:szCs w:val="20"/>
              </w:rPr>
              <w:t>基础情景：沃什顺利上任，QT + 降息渐进执行</w:t>
            </w:r>
          </w:p>
        </w:tc>
        <w:tc>
          <w:tcPr>
            <w:tcW w:w="1200" w:type="dxa"/>
            <w:tcMar>
              <w:top w:w="80" w:type="dxa"/>
              <w:left w:w="120" w:type="dxa"/>
              <w:bottom w:w="80" w:type="dxa"/>
              <w:right w:w="120" w:type="dxa"/>
            </w:tcMar>
            <w:vAlign w:val="center"/>
          </w:tcPr>
          <w:p w14:paraId="416FEA39">
            <w:pPr>
              <w:spacing w:before="20" w:after="20" w:line="320" w:lineRule="auto"/>
              <w:jc w:val="left"/>
            </w:pPr>
            <w:r>
              <w:rPr>
                <w:rFonts w:ascii="Arial" w:hAnsi="Arial" w:eastAsia="Arial" w:cs="Arial"/>
                <w:b w:val="0"/>
                <w:bCs w:val="0"/>
                <w:sz w:val="20"/>
                <w:szCs w:val="20"/>
              </w:rPr>
              <w:t>55%</w:t>
            </w:r>
          </w:p>
        </w:tc>
        <w:tc>
          <w:tcPr>
            <w:tcW w:w="4360" w:type="dxa"/>
            <w:tcMar>
              <w:top w:w="80" w:type="dxa"/>
              <w:left w:w="120" w:type="dxa"/>
              <w:bottom w:w="80" w:type="dxa"/>
              <w:right w:w="120" w:type="dxa"/>
            </w:tcMar>
            <w:vAlign w:val="center"/>
          </w:tcPr>
          <w:p w14:paraId="3BAABCF0">
            <w:pPr>
              <w:spacing w:before="20" w:after="20" w:line="320" w:lineRule="auto"/>
              <w:jc w:val="left"/>
            </w:pPr>
            <w:r>
              <w:rPr>
                <w:rFonts w:ascii="Arial" w:hAnsi="Arial" w:eastAsia="Arial" w:cs="Arial"/>
                <w:b w:val="0"/>
                <w:bCs w:val="0"/>
                <w:sz w:val="20"/>
                <w:szCs w:val="20"/>
              </w:rPr>
              <w:t>国会通过提名；QT 2027 年初启动；降息每季 25bp</w:t>
            </w:r>
          </w:p>
        </w:tc>
      </w:tr>
      <w:tr w14:paraId="1DF9FFC1">
        <w:tc>
          <w:tcPr>
            <w:tcW w:w="3800" w:type="dxa"/>
            <w:tcMar>
              <w:top w:w="80" w:type="dxa"/>
              <w:left w:w="120" w:type="dxa"/>
              <w:bottom w:w="80" w:type="dxa"/>
              <w:right w:w="120" w:type="dxa"/>
            </w:tcMar>
            <w:vAlign w:val="center"/>
          </w:tcPr>
          <w:p w14:paraId="2199F1F4">
            <w:pPr>
              <w:spacing w:before="20" w:after="20" w:line="320" w:lineRule="auto"/>
              <w:jc w:val="left"/>
            </w:pPr>
            <w:r>
              <w:rPr>
                <w:rFonts w:ascii="Arial" w:hAnsi="Arial" w:eastAsia="Arial" w:cs="Arial"/>
                <w:b w:val="0"/>
                <w:bCs w:val="0"/>
                <w:sz w:val="20"/>
                <w:szCs w:val="20"/>
              </w:rPr>
              <w:t>激进情景：QT 过快或财政配合失败，流动性冲击</w:t>
            </w:r>
          </w:p>
        </w:tc>
        <w:tc>
          <w:tcPr>
            <w:tcW w:w="1200" w:type="dxa"/>
            <w:tcMar>
              <w:top w:w="80" w:type="dxa"/>
              <w:left w:w="120" w:type="dxa"/>
              <w:bottom w:w="80" w:type="dxa"/>
              <w:right w:w="120" w:type="dxa"/>
            </w:tcMar>
            <w:vAlign w:val="center"/>
          </w:tcPr>
          <w:p w14:paraId="7CE497BF">
            <w:pPr>
              <w:spacing w:before="20" w:after="20" w:line="320" w:lineRule="auto"/>
              <w:jc w:val="left"/>
            </w:pPr>
            <w:r>
              <w:rPr>
                <w:rFonts w:ascii="Arial" w:hAnsi="Arial" w:eastAsia="Arial" w:cs="Arial"/>
                <w:b w:val="0"/>
                <w:bCs w:val="0"/>
                <w:sz w:val="20"/>
                <w:szCs w:val="20"/>
              </w:rPr>
              <w:t>25%</w:t>
            </w:r>
          </w:p>
        </w:tc>
        <w:tc>
          <w:tcPr>
            <w:tcW w:w="4360" w:type="dxa"/>
            <w:tcMar>
              <w:top w:w="80" w:type="dxa"/>
              <w:left w:w="120" w:type="dxa"/>
              <w:bottom w:w="80" w:type="dxa"/>
              <w:right w:w="120" w:type="dxa"/>
            </w:tcMar>
            <w:vAlign w:val="center"/>
          </w:tcPr>
          <w:p w14:paraId="29C2190D">
            <w:pPr>
              <w:spacing w:before="20" w:after="20" w:line="320" w:lineRule="auto"/>
              <w:jc w:val="left"/>
            </w:pPr>
            <w:r>
              <w:rPr>
                <w:rFonts w:ascii="Arial" w:hAnsi="Arial" w:eastAsia="Arial" w:cs="Arial"/>
                <w:b w:val="0"/>
                <w:bCs w:val="0"/>
                <w:sz w:val="20"/>
                <w:szCs w:val="20"/>
              </w:rPr>
              <w:t>QT 启动首季拍卖尾差 &gt; 3bp 持续，长端被动抛售</w:t>
            </w:r>
          </w:p>
        </w:tc>
      </w:tr>
      <w:tr w14:paraId="0C6E674B">
        <w:tc>
          <w:tcPr>
            <w:tcW w:w="3800" w:type="dxa"/>
            <w:tcMar>
              <w:top w:w="80" w:type="dxa"/>
              <w:left w:w="120" w:type="dxa"/>
              <w:bottom w:w="80" w:type="dxa"/>
              <w:right w:w="120" w:type="dxa"/>
            </w:tcMar>
            <w:vAlign w:val="center"/>
          </w:tcPr>
          <w:p w14:paraId="116F9CCE">
            <w:pPr>
              <w:spacing w:before="20" w:after="20" w:line="320" w:lineRule="auto"/>
              <w:jc w:val="left"/>
            </w:pPr>
            <w:r>
              <w:rPr>
                <w:rFonts w:ascii="Arial" w:hAnsi="Arial" w:eastAsia="Arial" w:cs="Arial"/>
                <w:b w:val="0"/>
                <w:bCs w:val="0"/>
                <w:sz w:val="20"/>
                <w:szCs w:val="20"/>
              </w:rPr>
              <w:t>受阻情景：沃什改革受政治阻力，框架让步</w:t>
            </w:r>
          </w:p>
        </w:tc>
        <w:tc>
          <w:tcPr>
            <w:tcW w:w="1200" w:type="dxa"/>
            <w:tcMar>
              <w:top w:w="80" w:type="dxa"/>
              <w:left w:w="120" w:type="dxa"/>
              <w:bottom w:w="80" w:type="dxa"/>
              <w:right w:w="120" w:type="dxa"/>
            </w:tcMar>
            <w:vAlign w:val="center"/>
          </w:tcPr>
          <w:p w14:paraId="041BFF47">
            <w:pPr>
              <w:spacing w:before="20" w:after="20" w:line="320" w:lineRule="auto"/>
              <w:jc w:val="left"/>
            </w:pPr>
            <w:r>
              <w:rPr>
                <w:rFonts w:ascii="Arial" w:hAnsi="Arial" w:eastAsia="Arial" w:cs="Arial"/>
                <w:b w:val="0"/>
                <w:bCs w:val="0"/>
                <w:sz w:val="20"/>
                <w:szCs w:val="20"/>
              </w:rPr>
              <w:t>20%</w:t>
            </w:r>
          </w:p>
        </w:tc>
        <w:tc>
          <w:tcPr>
            <w:tcW w:w="4360" w:type="dxa"/>
            <w:tcMar>
              <w:top w:w="80" w:type="dxa"/>
              <w:left w:w="120" w:type="dxa"/>
              <w:bottom w:w="80" w:type="dxa"/>
              <w:right w:w="120" w:type="dxa"/>
            </w:tcMar>
            <w:vAlign w:val="center"/>
          </w:tcPr>
          <w:p w14:paraId="136DBFD8">
            <w:pPr>
              <w:spacing w:before="20" w:after="20" w:line="320" w:lineRule="auto"/>
              <w:jc w:val="left"/>
            </w:pPr>
            <w:r>
              <w:rPr>
                <w:rFonts w:ascii="Arial" w:hAnsi="Arial" w:eastAsia="Arial" w:cs="Arial"/>
                <w:b w:val="0"/>
                <w:bCs w:val="0"/>
                <w:sz w:val="20"/>
                <w:szCs w:val="20"/>
              </w:rPr>
              <w:t>提名受阻或通胀再加速迫使重回宽松</w:t>
            </w:r>
          </w:p>
        </w:tc>
      </w:tr>
    </w:tbl>
    <w:p w14:paraId="551E6944">
      <w:pPr>
        <w:spacing w:before="120" w:after="0"/>
      </w:pPr>
    </w:p>
    <w:p w14:paraId="31CF8AE4">
      <w:pPr>
        <w:pStyle w:val="3"/>
      </w:pPr>
      <w:r>
        <w:rPr>
          <w:rFonts w:ascii="Arial" w:hAnsi="Arial" w:eastAsia="Arial" w:cs="Arial"/>
          <w:b/>
          <w:bCs/>
          <w:sz w:val="26"/>
          <w:szCs w:val="26"/>
        </w:rPr>
        <w:t>6.2 黄金 XAU：三情景下均为多头，差异仅在节奏</w:t>
      </w:r>
    </w:p>
    <w:p w14:paraId="0D54FB0A">
      <w:pPr>
        <w:spacing w:before="60" w:after="60" w:line="360" w:lineRule="auto"/>
      </w:pPr>
      <w:r>
        <w:rPr>
          <w:rFonts w:ascii="Arial" w:hAnsi="Arial" w:eastAsia="Arial" w:cs="Arial"/>
          <w:b/>
          <w:bCs/>
          <w:sz w:val="22"/>
          <w:szCs w:val="22"/>
        </w:rPr>
        <w:t>基础情景（55%）：</w:t>
      </w:r>
    </w:p>
    <w:p w14:paraId="76EC198B">
      <w:pPr>
        <w:pStyle w:val="16"/>
        <w:numPr>
          <w:ilvl w:val="0"/>
          <w:numId w:val="2"/>
        </w:numPr>
        <w:spacing w:before="40" w:after="40" w:line="340" w:lineRule="auto"/>
      </w:pPr>
      <w:r>
        <w:rPr>
          <w:rFonts w:ascii="Arial" w:hAnsi="Arial" w:eastAsia="Arial" w:cs="Arial"/>
          <w:sz w:val="22"/>
          <w:szCs w:val="22"/>
        </w:rPr>
        <w:t>驱动：实际利率见顶 + 去美元化 + 央行购金延续。</w:t>
      </w:r>
    </w:p>
    <w:p w14:paraId="2809B83E">
      <w:pPr>
        <w:pStyle w:val="16"/>
        <w:numPr>
          <w:ilvl w:val="0"/>
          <w:numId w:val="2"/>
        </w:numPr>
        <w:spacing w:before="40" w:after="40" w:line="340" w:lineRule="auto"/>
      </w:pPr>
      <w:r>
        <w:rPr>
          <w:rFonts w:ascii="Arial" w:hAnsi="Arial" w:eastAsia="Arial" w:cs="Arial"/>
          <w:sz w:val="22"/>
          <w:szCs w:val="22"/>
        </w:rPr>
        <w:t>节奏：2026 年下半年突破历史新高，2027 年目标 $3500–4000。</w:t>
      </w:r>
    </w:p>
    <w:p w14:paraId="556BF33A">
      <w:pPr>
        <w:pStyle w:val="16"/>
        <w:numPr>
          <w:ilvl w:val="0"/>
          <w:numId w:val="2"/>
        </w:numPr>
        <w:spacing w:before="40" w:after="40" w:line="340" w:lineRule="auto"/>
      </w:pPr>
      <w:r>
        <w:rPr>
          <w:rFonts w:ascii="Arial" w:hAnsi="Arial" w:eastAsia="Arial" w:cs="Arial"/>
          <w:sz w:val="22"/>
          <w:szCs w:val="22"/>
        </w:rPr>
        <w:t>机制：沃什框架下 QE 预期降级 → 美元信用溢价下修 → 黄金作为「非美元锚」需求上升。</w:t>
      </w:r>
    </w:p>
    <w:p w14:paraId="5626849F">
      <w:pPr>
        <w:spacing w:before="60" w:after="60" w:line="360" w:lineRule="auto"/>
      </w:pPr>
      <w:r>
        <w:rPr>
          <w:rFonts w:ascii="Arial" w:hAnsi="Arial" w:eastAsia="Arial" w:cs="Arial"/>
          <w:b/>
          <w:bCs/>
          <w:sz w:val="22"/>
          <w:szCs w:val="22"/>
        </w:rPr>
        <w:t>激进情景（25%）：</w:t>
      </w:r>
    </w:p>
    <w:p w14:paraId="6FBF26F8">
      <w:pPr>
        <w:pStyle w:val="16"/>
        <w:numPr>
          <w:ilvl w:val="0"/>
          <w:numId w:val="2"/>
        </w:numPr>
        <w:spacing w:before="40" w:after="40" w:line="340" w:lineRule="auto"/>
      </w:pPr>
      <w:r>
        <w:rPr>
          <w:rFonts w:ascii="Arial" w:hAnsi="Arial" w:eastAsia="Arial" w:cs="Arial"/>
          <w:sz w:val="22"/>
          <w:szCs w:val="22"/>
        </w:rPr>
        <w:t>短期（前 3–6 个月）：与所有风险资产一起下跌，$2400–2600 支撑。</w:t>
      </w:r>
    </w:p>
    <w:p w14:paraId="3514D9EE">
      <w:pPr>
        <w:pStyle w:val="16"/>
        <w:numPr>
          <w:ilvl w:val="0"/>
          <w:numId w:val="2"/>
        </w:numPr>
        <w:spacing w:before="40" w:after="40" w:line="340" w:lineRule="auto"/>
      </w:pPr>
      <w:r>
        <w:rPr>
          <w:rFonts w:ascii="Arial" w:hAnsi="Arial" w:eastAsia="Arial" w:cs="Arial"/>
          <w:sz w:val="22"/>
          <w:szCs w:val="22"/>
        </w:rPr>
        <w:t>中期（6–18 个月）：QT 被迫暂停 + 降息加速 → 黄金强势反弹至 $3800–4500。</w:t>
      </w:r>
    </w:p>
    <w:p w14:paraId="19B9041E">
      <w:pPr>
        <w:pStyle w:val="16"/>
        <w:numPr>
          <w:ilvl w:val="0"/>
          <w:numId w:val="2"/>
        </w:numPr>
        <w:spacing w:before="40" w:after="40" w:line="340" w:lineRule="auto"/>
      </w:pPr>
      <w:r>
        <w:rPr>
          <w:rFonts w:ascii="Arial" w:hAnsi="Arial" w:eastAsia="Arial" w:cs="Arial"/>
          <w:sz w:val="22"/>
          <w:szCs w:val="22"/>
        </w:rPr>
        <w:t>机制：流动性危机迫使政策反转，黄金受益于「Fed Put 重建」预期。</w:t>
      </w:r>
    </w:p>
    <w:p w14:paraId="7B2916BA">
      <w:pPr>
        <w:spacing w:before="60" w:after="60" w:line="360" w:lineRule="auto"/>
      </w:pPr>
      <w:r>
        <w:rPr>
          <w:rFonts w:ascii="Arial" w:hAnsi="Arial" w:eastAsia="Arial" w:cs="Arial"/>
          <w:b/>
          <w:bCs/>
          <w:sz w:val="22"/>
          <w:szCs w:val="22"/>
        </w:rPr>
        <w:t>受阻情景（20%）：</w:t>
      </w:r>
    </w:p>
    <w:p w14:paraId="14F3CC07">
      <w:pPr>
        <w:pStyle w:val="16"/>
        <w:numPr>
          <w:ilvl w:val="0"/>
          <w:numId w:val="2"/>
        </w:numPr>
        <w:spacing w:before="40" w:after="40" w:line="340" w:lineRule="auto"/>
      </w:pPr>
      <w:r>
        <w:rPr>
          <w:rFonts w:ascii="Arial" w:hAnsi="Arial" w:eastAsia="Arial" w:cs="Arial"/>
          <w:sz w:val="22"/>
          <w:szCs w:val="22"/>
        </w:rPr>
        <w:t>路径：财政主导 + 宽松延续 → 美元贬值预期重燃。</w:t>
      </w:r>
    </w:p>
    <w:p w14:paraId="23468878">
      <w:pPr>
        <w:pStyle w:val="16"/>
        <w:numPr>
          <w:ilvl w:val="0"/>
          <w:numId w:val="2"/>
        </w:numPr>
        <w:spacing w:before="40" w:after="40" w:line="340" w:lineRule="auto"/>
      </w:pPr>
      <w:r>
        <w:rPr>
          <w:rFonts w:ascii="Arial" w:hAnsi="Arial" w:eastAsia="Arial" w:cs="Arial"/>
          <w:sz w:val="22"/>
          <w:szCs w:val="22"/>
        </w:rPr>
        <w:t>目标：$4500+，可能创通胀调整后的历史新高。</w:t>
      </w:r>
    </w:p>
    <w:p w14:paraId="43E7E288">
      <w:pPr>
        <w:pStyle w:val="16"/>
        <w:numPr>
          <w:ilvl w:val="0"/>
          <w:numId w:val="2"/>
        </w:numPr>
        <w:spacing w:before="40" w:after="40" w:line="340" w:lineRule="auto"/>
      </w:pPr>
      <w:r>
        <w:rPr>
          <w:rFonts w:ascii="Arial" w:hAnsi="Arial" w:eastAsia="Arial" w:cs="Arial"/>
          <w:sz w:val="22"/>
          <w:szCs w:val="22"/>
        </w:rPr>
        <w:t>机制：这是黄金最「舒适」的情景——通胀 + 宽松 + 货币贬值三重加持。</w:t>
      </w:r>
    </w:p>
    <w:p w14:paraId="3C021B75">
      <w:pPr>
        <w:spacing w:before="60" w:after="60" w:line="360" w:lineRule="auto"/>
      </w:pPr>
      <w:r>
        <w:rPr>
          <w:rFonts w:ascii="Arial" w:hAnsi="Arial" w:eastAsia="Arial" w:cs="Arial"/>
          <w:b/>
          <w:bCs/>
          <w:sz w:val="22"/>
          <w:szCs w:val="22"/>
        </w:rPr>
        <w:t>核心判断：</w:t>
      </w:r>
      <w:r>
        <w:rPr>
          <w:rFonts w:ascii="Arial" w:hAnsi="Arial" w:eastAsia="Arial" w:cs="Arial"/>
          <w:sz w:val="22"/>
          <w:szCs w:val="22"/>
        </w:rPr>
        <w:t>黄金是沃什框架下风险回报最佳的资产。三情景概率加权目标价 $3700–4200（较 2026 年 4 月基准价约 40% 上行空间），且下行保护机制完整。</w:t>
      </w:r>
    </w:p>
    <w:p w14:paraId="1C7A198D">
      <w:pPr>
        <w:spacing w:before="60" w:after="60" w:line="360" w:lineRule="auto"/>
      </w:pPr>
      <w:r>
        <w:rPr>
          <w:rFonts w:ascii="Arial" w:hAnsi="Arial" w:eastAsia="Arial" w:cs="Arial"/>
          <w:b/>
          <w:bCs/>
          <w:sz w:val="22"/>
          <w:szCs w:val="22"/>
        </w:rPr>
        <w:t>β 系数：</w:t>
      </w:r>
      <w:r>
        <w:rPr>
          <w:rFonts w:ascii="Arial" w:hAnsi="Arial" w:eastAsia="Arial" w:cs="Arial"/>
          <w:sz w:val="22"/>
          <w:szCs w:val="22"/>
        </w:rPr>
        <w:t>与 IPS 模型对应 β = +0.55（CPI）/ +0.55（BEI）/ -0.35（FOMC 鹰派）。沃什框架下 FOMC 鹰派 β 的负效应被降息预期部分抵消。</w:t>
      </w:r>
    </w:p>
    <w:p w14:paraId="20320E91">
      <w:pPr>
        <w:pStyle w:val="3"/>
      </w:pPr>
      <w:r>
        <w:rPr>
          <w:rFonts w:ascii="Arial" w:hAnsi="Arial" w:eastAsia="Arial" w:cs="Arial"/>
          <w:b/>
          <w:bCs/>
          <w:sz w:val="26"/>
          <w:szCs w:val="26"/>
        </w:rPr>
        <w:t>6.3 美元 DXY：双向波动，中枢结构性下移</w:t>
      </w:r>
    </w:p>
    <w:p w14:paraId="6CAD8D37">
      <w:pPr>
        <w:spacing w:before="60" w:after="60" w:line="360" w:lineRule="auto"/>
      </w:pPr>
      <w:r>
        <w:rPr>
          <w:rFonts w:ascii="Arial" w:hAnsi="Arial" w:eastAsia="Arial" w:cs="Arial"/>
          <w:b/>
          <w:bCs/>
          <w:sz w:val="22"/>
          <w:szCs w:val="22"/>
        </w:rPr>
        <w:t>基础情景（55%）：</w:t>
      </w:r>
    </w:p>
    <w:p w14:paraId="3EC712E7">
      <w:pPr>
        <w:pStyle w:val="16"/>
        <w:numPr>
          <w:ilvl w:val="0"/>
          <w:numId w:val="2"/>
        </w:numPr>
        <w:spacing w:before="40" w:after="40" w:line="340" w:lineRule="auto"/>
      </w:pPr>
      <w:r>
        <w:rPr>
          <w:rFonts w:ascii="Arial" w:hAnsi="Arial" w:eastAsia="Arial" w:cs="Arial"/>
          <w:sz w:val="22"/>
          <w:szCs w:val="22"/>
        </w:rPr>
        <w:t>DXY 区间：95–105 震荡，中枢从当前约 103 下移至 100。</w:t>
      </w:r>
    </w:p>
    <w:p w14:paraId="21E98363">
      <w:pPr>
        <w:pStyle w:val="16"/>
        <w:numPr>
          <w:ilvl w:val="0"/>
          <w:numId w:val="2"/>
        </w:numPr>
        <w:spacing w:before="40" w:after="40" w:line="340" w:lineRule="auto"/>
      </w:pPr>
      <w:r>
        <w:rPr>
          <w:rFonts w:ascii="Arial" w:hAnsi="Arial" w:eastAsia="Arial" w:cs="Arial"/>
          <w:sz w:val="22"/>
          <w:szCs w:val="22"/>
        </w:rPr>
        <w:t>关键变量：QT 短期利好美元（利差扩大、美元稀缺）；货币主权回归长期利空美元（离岸美元收缩、储备多元化）。</w:t>
      </w:r>
    </w:p>
    <w:p w14:paraId="567CC4EF">
      <w:pPr>
        <w:pStyle w:val="16"/>
        <w:numPr>
          <w:ilvl w:val="0"/>
          <w:numId w:val="2"/>
        </w:numPr>
        <w:spacing w:before="40" w:after="40" w:line="340" w:lineRule="auto"/>
      </w:pPr>
      <w:r>
        <w:rPr>
          <w:rFonts w:ascii="Arial" w:hAnsi="Arial" w:eastAsia="Arial" w:cs="Arial"/>
          <w:sz w:val="22"/>
          <w:szCs w:val="22"/>
        </w:rPr>
        <w:t>净效应：结构性走弱压倒周期性支撑。</w:t>
      </w:r>
    </w:p>
    <w:p w14:paraId="413B1FA0">
      <w:pPr>
        <w:pStyle w:val="16"/>
        <w:numPr>
          <w:ilvl w:val="0"/>
          <w:numId w:val="2"/>
        </w:numPr>
        <w:spacing w:before="40" w:after="40" w:line="340" w:lineRule="auto"/>
      </w:pPr>
      <w:r>
        <w:rPr>
          <w:rFonts w:ascii="Arial" w:hAnsi="Arial" w:eastAsia="Arial" w:cs="Arial"/>
          <w:sz w:val="22"/>
          <w:szCs w:val="22"/>
        </w:rPr>
        <w:t>机制：美元从「全球公共品」降级为「主权货币」，全球外储中美元占比从 57% 向 50% 以下演进。</w:t>
      </w:r>
    </w:p>
    <w:p w14:paraId="0F868944">
      <w:pPr>
        <w:spacing w:before="60" w:after="60" w:line="360" w:lineRule="auto"/>
      </w:pPr>
      <w:r>
        <w:rPr>
          <w:rFonts w:ascii="Arial" w:hAnsi="Arial" w:eastAsia="Arial" w:cs="Arial"/>
          <w:b/>
          <w:bCs/>
          <w:sz w:val="22"/>
          <w:szCs w:val="22"/>
        </w:rPr>
        <w:t>激进情景（25%）：</w:t>
      </w:r>
    </w:p>
    <w:p w14:paraId="5CE608D0">
      <w:pPr>
        <w:pStyle w:val="16"/>
        <w:numPr>
          <w:ilvl w:val="0"/>
          <w:numId w:val="2"/>
        </w:numPr>
        <w:spacing w:before="40" w:after="40" w:line="340" w:lineRule="auto"/>
      </w:pPr>
      <w:r>
        <w:rPr>
          <w:rFonts w:ascii="Arial" w:hAnsi="Arial" w:eastAsia="Arial" w:cs="Arial"/>
          <w:sz w:val="22"/>
          <w:szCs w:val="22"/>
        </w:rPr>
        <w:t>短期（0–6 个月）：DXY 冲高至 108–112，反映流动性紧缩 + 避险。</w:t>
      </w:r>
    </w:p>
    <w:p w14:paraId="01180C38">
      <w:pPr>
        <w:pStyle w:val="16"/>
        <w:numPr>
          <w:ilvl w:val="0"/>
          <w:numId w:val="2"/>
        </w:numPr>
        <w:spacing w:before="40" w:after="40" w:line="340" w:lineRule="auto"/>
      </w:pPr>
      <w:r>
        <w:rPr>
          <w:rFonts w:ascii="Arial" w:hAnsi="Arial" w:eastAsia="Arial" w:cs="Arial"/>
          <w:sz w:val="22"/>
          <w:szCs w:val="22"/>
        </w:rPr>
        <w:t>中期（6–18 个月）：若触发危机 → 政策反转 → DXY 回落至 92–98。</w:t>
      </w:r>
    </w:p>
    <w:p w14:paraId="48000938">
      <w:pPr>
        <w:pStyle w:val="16"/>
        <w:numPr>
          <w:ilvl w:val="0"/>
          <w:numId w:val="2"/>
        </w:numPr>
        <w:spacing w:before="40" w:after="40" w:line="340" w:lineRule="auto"/>
      </w:pPr>
      <w:r>
        <w:rPr>
          <w:rFonts w:ascii="Arial" w:hAnsi="Arial" w:eastAsia="Arial" w:cs="Arial"/>
          <w:sz w:val="22"/>
          <w:szCs w:val="22"/>
        </w:rPr>
        <w:t>机制：美元作为避险资产在极端状态下被动升值，但会引发全球美元短缺，迫使 Fed 通过掉期额度释放流动性。</w:t>
      </w:r>
    </w:p>
    <w:p w14:paraId="0E8E2D71">
      <w:pPr>
        <w:spacing w:before="60" w:after="60" w:line="360" w:lineRule="auto"/>
      </w:pPr>
      <w:r>
        <w:rPr>
          <w:rFonts w:ascii="Arial" w:hAnsi="Arial" w:eastAsia="Arial" w:cs="Arial"/>
          <w:b/>
          <w:bCs/>
          <w:sz w:val="22"/>
          <w:szCs w:val="22"/>
        </w:rPr>
        <w:t>受阻情景（20%）：</w:t>
      </w:r>
    </w:p>
    <w:p w14:paraId="6E036052">
      <w:pPr>
        <w:pStyle w:val="16"/>
        <w:numPr>
          <w:ilvl w:val="0"/>
          <w:numId w:val="2"/>
        </w:numPr>
        <w:spacing w:before="40" w:after="40" w:line="340" w:lineRule="auto"/>
      </w:pPr>
      <w:r>
        <w:rPr>
          <w:rFonts w:ascii="Arial" w:hAnsi="Arial" w:eastAsia="Arial" w:cs="Arial"/>
          <w:sz w:val="22"/>
          <w:szCs w:val="22"/>
        </w:rPr>
        <w:t>DXY 区间：90–98，持续偏弱。</w:t>
      </w:r>
    </w:p>
    <w:p w14:paraId="208ADF87">
      <w:pPr>
        <w:pStyle w:val="16"/>
        <w:numPr>
          <w:ilvl w:val="0"/>
          <w:numId w:val="2"/>
        </w:numPr>
        <w:spacing w:before="40" w:after="40" w:line="340" w:lineRule="auto"/>
      </w:pPr>
      <w:r>
        <w:rPr>
          <w:rFonts w:ascii="Arial" w:hAnsi="Arial" w:eastAsia="Arial" w:cs="Arial"/>
          <w:sz w:val="22"/>
          <w:szCs w:val="22"/>
        </w:rPr>
        <w:t>机制：财政扩张 + 宽松延续 = 最差的美元基本面组合。</w:t>
      </w:r>
    </w:p>
    <w:p w14:paraId="1F5D374E">
      <w:pPr>
        <w:spacing w:before="60" w:after="60" w:line="360" w:lineRule="auto"/>
      </w:pPr>
      <w:r>
        <w:rPr>
          <w:rFonts w:ascii="Arial" w:hAnsi="Arial" w:eastAsia="Arial" w:cs="Arial"/>
          <w:b/>
          <w:bCs/>
          <w:sz w:val="22"/>
          <w:szCs w:val="22"/>
        </w:rPr>
        <w:t>核心判断：</w:t>
      </w:r>
      <w:r>
        <w:rPr>
          <w:rFonts w:ascii="Arial" w:hAnsi="Arial" w:eastAsia="Arial" w:cs="Arial"/>
          <w:sz w:val="22"/>
          <w:szCs w:val="22"/>
        </w:rPr>
        <w:t>美元「高而脆」。中长期结构性走弱趋势不改，但路径可能先上后下（激进情景）或直接下行（基础/受阻情景）。配置建议：美元敞口降至中性基准的 60–80%；多元化持有其他储备货币 + 黄金。</w:t>
      </w:r>
    </w:p>
    <w:p w14:paraId="553F25B0">
      <w:pPr>
        <w:pStyle w:val="3"/>
      </w:pPr>
      <w:r>
        <w:rPr>
          <w:rFonts w:ascii="Arial" w:hAnsi="Arial" w:eastAsia="Arial" w:cs="Arial"/>
          <w:b/>
          <w:bCs/>
          <w:sz w:val="26"/>
          <w:szCs w:val="26"/>
        </w:rPr>
        <w:t>6.4 美债 UST：曲线陡峭化，长端系统性偏空</w:t>
      </w:r>
    </w:p>
    <w:p w14:paraId="02A1F2A4">
      <w:pPr>
        <w:spacing w:before="60" w:after="60" w:line="360" w:lineRule="auto"/>
      </w:pPr>
      <w:r>
        <w:rPr>
          <w:rFonts w:ascii="Arial" w:hAnsi="Arial" w:eastAsia="Arial" w:cs="Arial"/>
          <w:b/>
          <w:bCs/>
          <w:sz w:val="22"/>
          <w:szCs w:val="22"/>
        </w:rPr>
        <w:t>基础情景（55%）：</w:t>
      </w:r>
    </w:p>
    <w:tbl>
      <w:tblPr>
        <w:tblStyle w:val="11"/>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400"/>
        <w:gridCol w:w="1800"/>
        <w:gridCol w:w="2400"/>
        <w:gridCol w:w="3760"/>
      </w:tblGrid>
      <w:tr w14:paraId="610B74CC">
        <w:trPr>
          <w:tblHeader/>
        </w:trPr>
        <w:tc>
          <w:tcPr>
            <w:tcW w:w="1400" w:type="dxa"/>
            <w:shd w:val="clear" w:color="auto" w:fill="1F3864"/>
            <w:tcMar>
              <w:top w:w="80" w:type="dxa"/>
              <w:left w:w="120" w:type="dxa"/>
              <w:bottom w:w="80" w:type="dxa"/>
              <w:right w:w="120" w:type="dxa"/>
            </w:tcMar>
            <w:vAlign w:val="center"/>
          </w:tcPr>
          <w:p w14:paraId="11BF751B">
            <w:pPr>
              <w:spacing w:before="20" w:after="20" w:line="320" w:lineRule="auto"/>
              <w:jc w:val="center"/>
            </w:pPr>
            <w:r>
              <w:rPr>
                <w:rFonts w:ascii="Arial" w:hAnsi="Arial" w:eastAsia="Arial" w:cs="Arial"/>
                <w:b/>
                <w:bCs/>
                <w:color w:val="FFFFFF"/>
                <w:sz w:val="20"/>
                <w:szCs w:val="20"/>
              </w:rPr>
              <w:t>曲线段</w:t>
            </w:r>
          </w:p>
        </w:tc>
        <w:tc>
          <w:tcPr>
            <w:tcW w:w="1800" w:type="dxa"/>
            <w:shd w:val="clear" w:color="auto" w:fill="1F3864"/>
            <w:tcMar>
              <w:top w:w="80" w:type="dxa"/>
              <w:left w:w="120" w:type="dxa"/>
              <w:bottom w:w="80" w:type="dxa"/>
              <w:right w:w="120" w:type="dxa"/>
            </w:tcMar>
            <w:vAlign w:val="center"/>
          </w:tcPr>
          <w:p w14:paraId="73558420">
            <w:pPr>
              <w:spacing w:before="20" w:after="20" w:line="320" w:lineRule="auto"/>
              <w:jc w:val="center"/>
            </w:pPr>
            <w:r>
              <w:rPr>
                <w:rFonts w:ascii="Arial" w:hAnsi="Arial" w:eastAsia="Arial" w:cs="Arial"/>
                <w:b/>
                <w:bCs/>
                <w:color w:val="FFFFFF"/>
                <w:sz w:val="20"/>
                <w:szCs w:val="20"/>
              </w:rPr>
              <w:t>方向</w:t>
            </w:r>
          </w:p>
        </w:tc>
        <w:tc>
          <w:tcPr>
            <w:tcW w:w="2400" w:type="dxa"/>
            <w:shd w:val="clear" w:color="auto" w:fill="1F3864"/>
            <w:tcMar>
              <w:top w:w="80" w:type="dxa"/>
              <w:left w:w="120" w:type="dxa"/>
              <w:bottom w:w="80" w:type="dxa"/>
              <w:right w:w="120" w:type="dxa"/>
            </w:tcMar>
            <w:vAlign w:val="center"/>
          </w:tcPr>
          <w:p w14:paraId="09F5BA37">
            <w:pPr>
              <w:spacing w:before="20" w:after="20" w:line="320" w:lineRule="auto"/>
              <w:jc w:val="center"/>
            </w:pPr>
            <w:r>
              <w:rPr>
                <w:rFonts w:ascii="Arial" w:hAnsi="Arial" w:eastAsia="Arial" w:cs="Arial"/>
                <w:b/>
                <w:bCs/>
                <w:color w:val="FFFFFF"/>
                <w:sz w:val="20"/>
                <w:szCs w:val="20"/>
              </w:rPr>
              <w:t>2027 目标</w:t>
            </w:r>
          </w:p>
        </w:tc>
        <w:tc>
          <w:tcPr>
            <w:tcW w:w="3760" w:type="dxa"/>
            <w:shd w:val="clear" w:color="auto" w:fill="1F3864"/>
            <w:tcMar>
              <w:top w:w="80" w:type="dxa"/>
              <w:left w:w="120" w:type="dxa"/>
              <w:bottom w:w="80" w:type="dxa"/>
              <w:right w:w="120" w:type="dxa"/>
            </w:tcMar>
            <w:vAlign w:val="center"/>
          </w:tcPr>
          <w:p w14:paraId="4126AE7B">
            <w:pPr>
              <w:spacing w:before="20" w:after="20" w:line="320" w:lineRule="auto"/>
              <w:jc w:val="center"/>
            </w:pPr>
            <w:r>
              <w:rPr>
                <w:rFonts w:ascii="Arial" w:hAnsi="Arial" w:eastAsia="Arial" w:cs="Arial"/>
                <w:b/>
                <w:bCs/>
                <w:color w:val="FFFFFF"/>
                <w:sz w:val="20"/>
                <w:szCs w:val="20"/>
              </w:rPr>
              <w:t>机制</w:t>
            </w:r>
          </w:p>
        </w:tc>
      </w:tr>
      <w:tr w14:paraId="40A4BF02">
        <w:tc>
          <w:tcPr>
            <w:tcW w:w="1400" w:type="dxa"/>
            <w:tcMar>
              <w:top w:w="80" w:type="dxa"/>
              <w:left w:w="120" w:type="dxa"/>
              <w:bottom w:w="80" w:type="dxa"/>
              <w:right w:w="120" w:type="dxa"/>
            </w:tcMar>
            <w:vAlign w:val="center"/>
          </w:tcPr>
          <w:p w14:paraId="77E5B48B">
            <w:pPr>
              <w:spacing w:before="20" w:after="20" w:line="320" w:lineRule="auto"/>
              <w:jc w:val="left"/>
            </w:pPr>
            <w:r>
              <w:rPr>
                <w:rFonts w:ascii="Arial" w:hAnsi="Arial" w:eastAsia="Arial" w:cs="Arial"/>
                <w:b w:val="0"/>
                <w:bCs w:val="0"/>
                <w:sz w:val="20"/>
                <w:szCs w:val="20"/>
              </w:rPr>
              <w:t>2Y</w:t>
            </w:r>
          </w:p>
        </w:tc>
        <w:tc>
          <w:tcPr>
            <w:tcW w:w="1800" w:type="dxa"/>
            <w:tcMar>
              <w:top w:w="80" w:type="dxa"/>
              <w:left w:w="120" w:type="dxa"/>
              <w:bottom w:w="80" w:type="dxa"/>
              <w:right w:w="120" w:type="dxa"/>
            </w:tcMar>
            <w:vAlign w:val="center"/>
          </w:tcPr>
          <w:p w14:paraId="16FA9042">
            <w:pPr>
              <w:spacing w:before="20" w:after="20" w:line="320" w:lineRule="auto"/>
              <w:jc w:val="left"/>
            </w:pPr>
            <w:r>
              <w:rPr>
                <w:rFonts w:ascii="Arial" w:hAnsi="Arial" w:eastAsia="Arial" w:cs="Arial"/>
                <w:b w:val="0"/>
                <w:bCs w:val="0"/>
                <w:sz w:val="20"/>
                <w:szCs w:val="20"/>
              </w:rPr>
              <w:t>收益率下行</w:t>
            </w:r>
          </w:p>
        </w:tc>
        <w:tc>
          <w:tcPr>
            <w:tcW w:w="2400" w:type="dxa"/>
            <w:tcMar>
              <w:top w:w="80" w:type="dxa"/>
              <w:left w:w="120" w:type="dxa"/>
              <w:bottom w:w="80" w:type="dxa"/>
              <w:right w:w="120" w:type="dxa"/>
            </w:tcMar>
            <w:vAlign w:val="center"/>
          </w:tcPr>
          <w:p w14:paraId="71E6924C">
            <w:pPr>
              <w:spacing w:before="20" w:after="20" w:line="320" w:lineRule="auto"/>
              <w:jc w:val="left"/>
            </w:pPr>
            <w:r>
              <w:rPr>
                <w:rFonts w:ascii="Arial" w:hAnsi="Arial" w:eastAsia="Arial" w:cs="Arial"/>
                <w:b w:val="0"/>
                <w:bCs w:val="0"/>
                <w:sz w:val="20"/>
                <w:szCs w:val="20"/>
              </w:rPr>
              <w:t>3.2–3.6%</w:t>
            </w:r>
          </w:p>
        </w:tc>
        <w:tc>
          <w:tcPr>
            <w:tcW w:w="3760" w:type="dxa"/>
            <w:tcMar>
              <w:top w:w="80" w:type="dxa"/>
              <w:left w:w="120" w:type="dxa"/>
              <w:bottom w:w="80" w:type="dxa"/>
              <w:right w:w="120" w:type="dxa"/>
            </w:tcMar>
            <w:vAlign w:val="center"/>
          </w:tcPr>
          <w:p w14:paraId="042AA34A">
            <w:pPr>
              <w:spacing w:before="20" w:after="20" w:line="320" w:lineRule="auto"/>
              <w:jc w:val="left"/>
            </w:pPr>
            <w:r>
              <w:rPr>
                <w:rFonts w:ascii="Arial" w:hAnsi="Arial" w:eastAsia="Arial" w:cs="Arial"/>
                <w:b w:val="0"/>
                <w:bCs w:val="0"/>
                <w:sz w:val="20"/>
                <w:szCs w:val="20"/>
              </w:rPr>
              <w:t>降息路径定价</w:t>
            </w:r>
          </w:p>
        </w:tc>
      </w:tr>
      <w:tr w14:paraId="701DE1F9">
        <w:tc>
          <w:tcPr>
            <w:tcW w:w="1400" w:type="dxa"/>
            <w:tcMar>
              <w:top w:w="80" w:type="dxa"/>
              <w:left w:w="120" w:type="dxa"/>
              <w:bottom w:w="80" w:type="dxa"/>
              <w:right w:w="120" w:type="dxa"/>
            </w:tcMar>
            <w:vAlign w:val="center"/>
          </w:tcPr>
          <w:p w14:paraId="0D8F2A85">
            <w:pPr>
              <w:spacing w:before="20" w:after="20" w:line="320" w:lineRule="auto"/>
              <w:jc w:val="left"/>
            </w:pPr>
            <w:r>
              <w:rPr>
                <w:rFonts w:ascii="Arial" w:hAnsi="Arial" w:eastAsia="Arial" w:cs="Arial"/>
                <w:b w:val="0"/>
                <w:bCs w:val="0"/>
                <w:sz w:val="20"/>
                <w:szCs w:val="20"/>
              </w:rPr>
              <w:t>10Y</w:t>
            </w:r>
          </w:p>
        </w:tc>
        <w:tc>
          <w:tcPr>
            <w:tcW w:w="1800" w:type="dxa"/>
            <w:tcMar>
              <w:top w:w="80" w:type="dxa"/>
              <w:left w:w="120" w:type="dxa"/>
              <w:bottom w:w="80" w:type="dxa"/>
              <w:right w:w="120" w:type="dxa"/>
            </w:tcMar>
            <w:vAlign w:val="center"/>
          </w:tcPr>
          <w:p w14:paraId="6E696070">
            <w:pPr>
              <w:spacing w:before="20" w:after="20" w:line="320" w:lineRule="auto"/>
              <w:jc w:val="left"/>
            </w:pPr>
            <w:r>
              <w:rPr>
                <w:rFonts w:ascii="Arial" w:hAnsi="Arial" w:eastAsia="Arial" w:cs="Arial"/>
                <w:b w:val="0"/>
                <w:bCs w:val="0"/>
                <w:sz w:val="20"/>
                <w:szCs w:val="20"/>
              </w:rPr>
              <w:t>震荡偏上</w:t>
            </w:r>
          </w:p>
        </w:tc>
        <w:tc>
          <w:tcPr>
            <w:tcW w:w="2400" w:type="dxa"/>
            <w:tcMar>
              <w:top w:w="80" w:type="dxa"/>
              <w:left w:w="120" w:type="dxa"/>
              <w:bottom w:w="80" w:type="dxa"/>
              <w:right w:w="120" w:type="dxa"/>
            </w:tcMar>
            <w:vAlign w:val="center"/>
          </w:tcPr>
          <w:p w14:paraId="7F000902">
            <w:pPr>
              <w:spacing w:before="20" w:after="20" w:line="320" w:lineRule="auto"/>
              <w:jc w:val="left"/>
            </w:pPr>
            <w:r>
              <w:rPr>
                <w:rFonts w:ascii="Arial" w:hAnsi="Arial" w:eastAsia="Arial" w:cs="Arial"/>
                <w:b w:val="0"/>
                <w:bCs w:val="0"/>
                <w:sz w:val="20"/>
                <w:szCs w:val="20"/>
              </w:rPr>
              <w:t>4.0–4.8%</w:t>
            </w:r>
          </w:p>
        </w:tc>
        <w:tc>
          <w:tcPr>
            <w:tcW w:w="3760" w:type="dxa"/>
            <w:tcMar>
              <w:top w:w="80" w:type="dxa"/>
              <w:left w:w="120" w:type="dxa"/>
              <w:bottom w:w="80" w:type="dxa"/>
              <w:right w:w="120" w:type="dxa"/>
            </w:tcMar>
            <w:vAlign w:val="center"/>
          </w:tcPr>
          <w:p w14:paraId="423EC364">
            <w:pPr>
              <w:spacing w:before="20" w:after="20" w:line="320" w:lineRule="auto"/>
              <w:jc w:val="left"/>
            </w:pPr>
            <w:r>
              <w:rPr>
                <w:rFonts w:ascii="Arial" w:hAnsi="Arial" w:eastAsia="Arial" w:cs="Arial"/>
                <w:b w:val="0"/>
                <w:bCs w:val="0"/>
                <w:sz w:val="20"/>
                <w:szCs w:val="20"/>
              </w:rPr>
              <w:t>QT 供给 + 风险溢价 + 财政忧虑</w:t>
            </w:r>
          </w:p>
        </w:tc>
      </w:tr>
      <w:tr w14:paraId="22EC6EA6">
        <w:tc>
          <w:tcPr>
            <w:tcW w:w="1400" w:type="dxa"/>
            <w:tcMar>
              <w:top w:w="80" w:type="dxa"/>
              <w:left w:w="120" w:type="dxa"/>
              <w:bottom w:w="80" w:type="dxa"/>
              <w:right w:w="120" w:type="dxa"/>
            </w:tcMar>
            <w:vAlign w:val="center"/>
          </w:tcPr>
          <w:p w14:paraId="6B166AF4">
            <w:pPr>
              <w:spacing w:before="20" w:after="20" w:line="320" w:lineRule="auto"/>
              <w:jc w:val="left"/>
            </w:pPr>
            <w:r>
              <w:rPr>
                <w:rFonts w:ascii="Arial" w:hAnsi="Arial" w:eastAsia="Arial" w:cs="Arial"/>
                <w:b w:val="0"/>
                <w:bCs w:val="0"/>
                <w:sz w:val="20"/>
                <w:szCs w:val="20"/>
              </w:rPr>
              <w:t>30Y</w:t>
            </w:r>
          </w:p>
        </w:tc>
        <w:tc>
          <w:tcPr>
            <w:tcW w:w="1800" w:type="dxa"/>
            <w:tcMar>
              <w:top w:w="80" w:type="dxa"/>
              <w:left w:w="120" w:type="dxa"/>
              <w:bottom w:w="80" w:type="dxa"/>
              <w:right w:w="120" w:type="dxa"/>
            </w:tcMar>
            <w:vAlign w:val="center"/>
          </w:tcPr>
          <w:p w14:paraId="2CC8C7C8">
            <w:pPr>
              <w:spacing w:before="20" w:after="20" w:line="320" w:lineRule="auto"/>
              <w:jc w:val="left"/>
            </w:pPr>
            <w:r>
              <w:rPr>
                <w:rFonts w:ascii="Arial" w:hAnsi="Arial" w:eastAsia="Arial" w:cs="Arial"/>
                <w:b w:val="0"/>
                <w:bCs w:val="0"/>
                <w:sz w:val="20"/>
                <w:szCs w:val="20"/>
              </w:rPr>
              <w:t>收益率上行</w:t>
            </w:r>
          </w:p>
        </w:tc>
        <w:tc>
          <w:tcPr>
            <w:tcW w:w="2400" w:type="dxa"/>
            <w:tcMar>
              <w:top w:w="80" w:type="dxa"/>
              <w:left w:w="120" w:type="dxa"/>
              <w:bottom w:w="80" w:type="dxa"/>
              <w:right w:w="120" w:type="dxa"/>
            </w:tcMar>
            <w:vAlign w:val="center"/>
          </w:tcPr>
          <w:p w14:paraId="7AD74170">
            <w:pPr>
              <w:spacing w:before="20" w:after="20" w:line="320" w:lineRule="auto"/>
              <w:jc w:val="left"/>
            </w:pPr>
            <w:r>
              <w:rPr>
                <w:rFonts w:ascii="Arial" w:hAnsi="Arial" w:eastAsia="Arial" w:cs="Arial"/>
                <w:b w:val="0"/>
                <w:bCs w:val="0"/>
                <w:sz w:val="20"/>
                <w:szCs w:val="20"/>
              </w:rPr>
              <w:t>4.5–5.3%</w:t>
            </w:r>
          </w:p>
        </w:tc>
        <w:tc>
          <w:tcPr>
            <w:tcW w:w="3760" w:type="dxa"/>
            <w:tcMar>
              <w:top w:w="80" w:type="dxa"/>
              <w:left w:w="120" w:type="dxa"/>
              <w:bottom w:w="80" w:type="dxa"/>
              <w:right w:w="120" w:type="dxa"/>
            </w:tcMar>
            <w:vAlign w:val="center"/>
          </w:tcPr>
          <w:p w14:paraId="66F1E209">
            <w:pPr>
              <w:spacing w:before="20" w:after="20" w:line="320" w:lineRule="auto"/>
              <w:jc w:val="left"/>
            </w:pPr>
            <w:r>
              <w:rPr>
                <w:rFonts w:ascii="Arial" w:hAnsi="Arial" w:eastAsia="Arial" w:cs="Arial"/>
                <w:b w:val="0"/>
                <w:bCs w:val="0"/>
                <w:sz w:val="20"/>
                <w:szCs w:val="20"/>
              </w:rPr>
              <w:t>久期溢价扩张</w:t>
            </w:r>
          </w:p>
        </w:tc>
      </w:tr>
      <w:tr w14:paraId="63B0C2F2">
        <w:tc>
          <w:tcPr>
            <w:tcW w:w="1400" w:type="dxa"/>
            <w:tcMar>
              <w:top w:w="80" w:type="dxa"/>
              <w:left w:w="120" w:type="dxa"/>
              <w:bottom w:w="80" w:type="dxa"/>
              <w:right w:w="120" w:type="dxa"/>
            </w:tcMar>
            <w:vAlign w:val="center"/>
          </w:tcPr>
          <w:p w14:paraId="7B968D57">
            <w:pPr>
              <w:spacing w:before="20" w:after="20" w:line="320" w:lineRule="auto"/>
              <w:jc w:val="left"/>
            </w:pPr>
            <w:r>
              <w:rPr>
                <w:rFonts w:ascii="Arial" w:hAnsi="Arial" w:eastAsia="Arial" w:cs="Arial"/>
                <w:b w:val="0"/>
                <w:bCs w:val="0"/>
                <w:sz w:val="20"/>
                <w:szCs w:val="20"/>
              </w:rPr>
              <w:t>10Y-2Y</w:t>
            </w:r>
          </w:p>
        </w:tc>
        <w:tc>
          <w:tcPr>
            <w:tcW w:w="1800" w:type="dxa"/>
            <w:tcMar>
              <w:top w:w="80" w:type="dxa"/>
              <w:left w:w="120" w:type="dxa"/>
              <w:bottom w:w="80" w:type="dxa"/>
              <w:right w:w="120" w:type="dxa"/>
            </w:tcMar>
            <w:vAlign w:val="center"/>
          </w:tcPr>
          <w:p w14:paraId="779FF24F">
            <w:pPr>
              <w:spacing w:before="20" w:after="20" w:line="320" w:lineRule="auto"/>
              <w:jc w:val="left"/>
            </w:pPr>
            <w:r>
              <w:rPr>
                <w:rFonts w:ascii="Arial" w:hAnsi="Arial" w:eastAsia="Arial" w:cs="Arial"/>
                <w:b w:val="0"/>
                <w:bCs w:val="0"/>
                <w:sz w:val="20"/>
                <w:szCs w:val="20"/>
              </w:rPr>
              <w:t>显著陡峭化</w:t>
            </w:r>
          </w:p>
        </w:tc>
        <w:tc>
          <w:tcPr>
            <w:tcW w:w="2400" w:type="dxa"/>
            <w:tcMar>
              <w:top w:w="80" w:type="dxa"/>
              <w:left w:w="120" w:type="dxa"/>
              <w:bottom w:w="80" w:type="dxa"/>
              <w:right w:w="120" w:type="dxa"/>
            </w:tcMar>
            <w:vAlign w:val="center"/>
          </w:tcPr>
          <w:p w14:paraId="72F43CFA">
            <w:pPr>
              <w:spacing w:before="20" w:after="20" w:line="320" w:lineRule="auto"/>
              <w:jc w:val="left"/>
            </w:pPr>
            <w:r>
              <w:rPr>
                <w:rFonts w:ascii="Arial" w:hAnsi="Arial" w:eastAsia="Arial" w:cs="Arial"/>
                <w:b w:val="0"/>
                <w:bCs w:val="0"/>
                <w:sz w:val="20"/>
                <w:szCs w:val="20"/>
              </w:rPr>
              <w:t>+80 ~ +150bp</w:t>
            </w:r>
          </w:p>
        </w:tc>
        <w:tc>
          <w:tcPr>
            <w:tcW w:w="3760" w:type="dxa"/>
            <w:tcMar>
              <w:top w:w="80" w:type="dxa"/>
              <w:left w:w="120" w:type="dxa"/>
              <w:bottom w:w="80" w:type="dxa"/>
              <w:right w:w="120" w:type="dxa"/>
            </w:tcMar>
            <w:vAlign w:val="center"/>
          </w:tcPr>
          <w:p w14:paraId="059BBDC0">
            <w:pPr>
              <w:spacing w:before="20" w:after="20" w:line="320" w:lineRule="auto"/>
              <w:jc w:val="left"/>
            </w:pPr>
            <w:r>
              <w:rPr>
                <w:rFonts w:ascii="Arial" w:hAnsi="Arial" w:eastAsia="Arial" w:cs="Arial"/>
                <w:b w:val="0"/>
                <w:bCs w:val="0"/>
                <w:sz w:val="20"/>
                <w:szCs w:val="20"/>
              </w:rPr>
              <w:t>从倒挂 → 正常陡峭</w:t>
            </w:r>
          </w:p>
        </w:tc>
      </w:tr>
    </w:tbl>
    <w:p w14:paraId="63C732BB">
      <w:pPr>
        <w:spacing w:before="120" w:after="0"/>
      </w:pPr>
    </w:p>
    <w:p w14:paraId="43B3B2FC">
      <w:pPr>
        <w:spacing w:before="60" w:after="60" w:line="360" w:lineRule="auto"/>
      </w:pPr>
      <w:r>
        <w:rPr>
          <w:rFonts w:ascii="Arial" w:hAnsi="Arial" w:eastAsia="Arial" w:cs="Arial"/>
          <w:sz w:val="22"/>
          <w:szCs w:val="22"/>
        </w:rPr>
        <w:t>期限结构演变：从当前的「倒挂末段」过渡到「陡峭化熊市」（Bear Steepener）——长端涨幅 &gt; 短端涨幅。持有长端久期在该情景下的总回报可能为负。</w:t>
      </w:r>
    </w:p>
    <w:p w14:paraId="067E0EFD">
      <w:pPr>
        <w:spacing w:before="60" w:after="60" w:line="360" w:lineRule="auto"/>
      </w:pPr>
      <w:r>
        <w:rPr>
          <w:rFonts w:ascii="Arial" w:hAnsi="Arial" w:eastAsia="Arial" w:cs="Arial"/>
          <w:b/>
          <w:bCs/>
          <w:sz w:val="22"/>
          <w:szCs w:val="22"/>
        </w:rPr>
        <w:t>激进情景（25%）：</w:t>
      </w:r>
    </w:p>
    <w:p w14:paraId="61B80609">
      <w:pPr>
        <w:pStyle w:val="16"/>
        <w:numPr>
          <w:ilvl w:val="0"/>
          <w:numId w:val="2"/>
        </w:numPr>
        <w:spacing w:before="40" w:after="40" w:line="340" w:lineRule="auto"/>
      </w:pPr>
      <w:r>
        <w:rPr>
          <w:rFonts w:ascii="Arial" w:hAnsi="Arial" w:eastAsia="Arial" w:cs="Arial"/>
          <w:sz w:val="22"/>
          <w:szCs w:val="22"/>
        </w:rPr>
        <w:t>10Y 冲击 5%+，持续 1–3 个月。</w:t>
      </w:r>
    </w:p>
    <w:p w14:paraId="140A1A9D">
      <w:pPr>
        <w:pStyle w:val="16"/>
        <w:numPr>
          <w:ilvl w:val="0"/>
          <w:numId w:val="2"/>
        </w:numPr>
        <w:spacing w:before="40" w:after="40" w:line="340" w:lineRule="auto"/>
      </w:pPr>
      <w:r>
        <w:rPr>
          <w:rFonts w:ascii="Arial" w:hAnsi="Arial" w:eastAsia="Arial" w:cs="Arial"/>
          <w:sz w:val="22"/>
          <w:szCs w:val="22"/>
        </w:rPr>
        <w:t>风险扩散：MBS 利差扩张、信用利差走扩、股市回撤 15–25%。</w:t>
      </w:r>
    </w:p>
    <w:p w14:paraId="3E9E34D2">
      <w:pPr>
        <w:pStyle w:val="16"/>
        <w:numPr>
          <w:ilvl w:val="0"/>
          <w:numId w:val="2"/>
        </w:numPr>
        <w:spacing w:before="40" w:after="40" w:line="340" w:lineRule="auto"/>
      </w:pPr>
      <w:r>
        <w:rPr>
          <w:rFonts w:ascii="Arial" w:hAnsi="Arial" w:eastAsia="Arial" w:cs="Arial"/>
          <w:sz w:val="22"/>
          <w:szCs w:val="22"/>
        </w:rPr>
        <w:t>政策反转：Fed 被迫暂停 QT，类似 2019 年 Q4 的回购危机翻版。</w:t>
      </w:r>
    </w:p>
    <w:p w14:paraId="60371666">
      <w:pPr>
        <w:pStyle w:val="16"/>
        <w:numPr>
          <w:ilvl w:val="0"/>
          <w:numId w:val="2"/>
        </w:numPr>
        <w:spacing w:before="40" w:after="40" w:line="340" w:lineRule="auto"/>
      </w:pPr>
      <w:r>
        <w:rPr>
          <w:rFonts w:ascii="Arial" w:hAnsi="Arial" w:eastAsia="Arial" w:cs="Arial"/>
          <w:sz w:val="22"/>
          <w:szCs w:val="22"/>
        </w:rPr>
        <w:t>后续：长端快速回落至 3.8–4.3%，做多长端美债的时点出现在 Fed 暂停 QT 的信号之后。</w:t>
      </w:r>
    </w:p>
    <w:p w14:paraId="63734642">
      <w:pPr>
        <w:spacing w:before="60" w:after="60" w:line="360" w:lineRule="auto"/>
      </w:pPr>
      <w:r>
        <w:rPr>
          <w:rFonts w:ascii="Arial" w:hAnsi="Arial" w:eastAsia="Arial" w:cs="Arial"/>
          <w:b/>
          <w:bCs/>
          <w:sz w:val="22"/>
          <w:szCs w:val="22"/>
        </w:rPr>
        <w:t>受阻情景（20%）：</w:t>
      </w:r>
    </w:p>
    <w:p w14:paraId="39974175">
      <w:pPr>
        <w:pStyle w:val="16"/>
        <w:numPr>
          <w:ilvl w:val="0"/>
          <w:numId w:val="2"/>
        </w:numPr>
        <w:spacing w:before="40" w:after="40" w:line="340" w:lineRule="auto"/>
      </w:pPr>
      <w:r>
        <w:rPr>
          <w:rFonts w:ascii="Arial" w:hAnsi="Arial" w:eastAsia="Arial" w:cs="Arial"/>
          <w:sz w:val="22"/>
          <w:szCs w:val="22"/>
        </w:rPr>
        <w:t>10Y 区间：3.2–4.0%，较基础情景低 50–100bp。</w:t>
      </w:r>
    </w:p>
    <w:p w14:paraId="405E1601">
      <w:pPr>
        <w:pStyle w:val="16"/>
        <w:numPr>
          <w:ilvl w:val="0"/>
          <w:numId w:val="2"/>
        </w:numPr>
        <w:spacing w:before="40" w:after="40" w:line="340" w:lineRule="auto"/>
      </w:pPr>
      <w:r>
        <w:rPr>
          <w:rFonts w:ascii="Arial" w:hAnsi="Arial" w:eastAsia="Arial" w:cs="Arial"/>
          <w:sz w:val="22"/>
          <w:szCs w:val="22"/>
        </w:rPr>
        <w:t>机制：QT 搁置 + 降息 = 名义利率下行。</w:t>
      </w:r>
    </w:p>
    <w:p w14:paraId="20B15397">
      <w:pPr>
        <w:pStyle w:val="16"/>
        <w:numPr>
          <w:ilvl w:val="0"/>
          <w:numId w:val="2"/>
        </w:numPr>
        <w:spacing w:before="40" w:after="40" w:line="340" w:lineRule="auto"/>
      </w:pPr>
      <w:r>
        <w:rPr>
          <w:rFonts w:ascii="Arial" w:hAnsi="Arial" w:eastAsia="Arial" w:cs="Arial"/>
          <w:sz w:val="22"/>
          <w:szCs w:val="22"/>
        </w:rPr>
        <w:t>陷阱：但背景是通胀粘性，实际利率可能转负 → 长端实际回报仍为负。</w:t>
      </w:r>
    </w:p>
    <w:p w14:paraId="466963D7">
      <w:pPr>
        <w:spacing w:before="60" w:after="60" w:line="360" w:lineRule="auto"/>
      </w:pPr>
      <w:r>
        <w:rPr>
          <w:rFonts w:ascii="Arial" w:hAnsi="Arial" w:eastAsia="Arial" w:cs="Arial"/>
          <w:b/>
          <w:bCs/>
          <w:sz w:val="22"/>
          <w:szCs w:val="22"/>
        </w:rPr>
        <w:t>核心判断：</w:t>
      </w:r>
      <w:r>
        <w:rPr>
          <w:rFonts w:ascii="Arial" w:hAnsi="Arial" w:eastAsia="Arial" w:cs="Arial"/>
          <w:sz w:val="22"/>
          <w:szCs w:val="22"/>
        </w:rPr>
        <w:t>久期风险系统性偏高。无论基础情景还是受阻情景，长端美债都不是「避风港」——基础情景是名义损失，受阻情景是实际损失。</w:t>
      </w:r>
    </w:p>
    <w:p w14:paraId="2DD73C6F">
      <w:pPr>
        <w:spacing w:before="60" w:after="60" w:line="360" w:lineRule="auto"/>
      </w:pPr>
      <w:r>
        <w:rPr>
          <w:rFonts w:ascii="Arial" w:hAnsi="Arial" w:eastAsia="Arial" w:cs="Arial"/>
          <w:b/>
          <w:bCs/>
          <w:sz w:val="22"/>
          <w:szCs w:val="22"/>
        </w:rPr>
        <w:t>配置建议：</w:t>
      </w:r>
    </w:p>
    <w:p w14:paraId="416C4144">
      <w:pPr>
        <w:pStyle w:val="16"/>
        <w:numPr>
          <w:ilvl w:val="0"/>
          <w:numId w:val="2"/>
        </w:numPr>
        <w:spacing w:before="40" w:after="40" w:line="340" w:lineRule="auto"/>
      </w:pPr>
      <w:r>
        <w:rPr>
          <w:rFonts w:ascii="Arial" w:hAnsi="Arial" w:eastAsia="Arial" w:cs="Arial"/>
          <w:sz w:val="22"/>
          <w:szCs w:val="22"/>
        </w:rPr>
        <w:t>减配长端（10Y+），控制久期敞口；</w:t>
      </w:r>
    </w:p>
    <w:p w14:paraId="3D81359E">
      <w:pPr>
        <w:pStyle w:val="16"/>
        <w:numPr>
          <w:ilvl w:val="0"/>
          <w:numId w:val="2"/>
        </w:numPr>
        <w:spacing w:before="40" w:after="40" w:line="340" w:lineRule="auto"/>
      </w:pPr>
      <w:r>
        <w:rPr>
          <w:rFonts w:ascii="Arial" w:hAnsi="Arial" w:eastAsia="Arial" w:cs="Arial"/>
          <w:sz w:val="22"/>
          <w:szCs w:val="22"/>
        </w:rPr>
        <w:t>超配 2–5Y 国债（受益降息，久期可控）；</w:t>
      </w:r>
    </w:p>
    <w:p w14:paraId="696B53D4">
      <w:pPr>
        <w:pStyle w:val="16"/>
        <w:numPr>
          <w:ilvl w:val="0"/>
          <w:numId w:val="2"/>
        </w:numPr>
        <w:spacing w:before="40" w:after="40" w:line="340" w:lineRule="auto"/>
      </w:pPr>
      <w:r>
        <w:rPr>
          <w:rFonts w:ascii="Arial" w:hAnsi="Arial" w:eastAsia="Arial" w:cs="Arial"/>
          <w:sz w:val="22"/>
          <w:szCs w:val="22"/>
        </w:rPr>
        <w:t>适度配置 TIPS（对抗受阻情景的实际利率下行陷阱）；</w:t>
      </w:r>
    </w:p>
    <w:p w14:paraId="55C5483F">
      <w:pPr>
        <w:pStyle w:val="16"/>
        <w:numPr>
          <w:ilvl w:val="0"/>
          <w:numId w:val="2"/>
        </w:numPr>
        <w:spacing w:before="40" w:after="40" w:line="340" w:lineRule="auto"/>
      </w:pPr>
      <w:r>
        <w:rPr>
          <w:rFonts w:ascii="Arial" w:hAnsi="Arial" w:eastAsia="Arial" w:cs="Arial"/>
          <w:sz w:val="22"/>
          <w:szCs w:val="22"/>
        </w:rPr>
        <w:t>警惕 MBS 利差：QT 优先削减 MBS 将持续推高 MBS 相对国债的利差。</w:t>
      </w:r>
    </w:p>
    <w:p w14:paraId="040D2DD9">
      <w:pPr>
        <w:pStyle w:val="3"/>
      </w:pPr>
      <w:r>
        <w:rPr>
          <w:rFonts w:ascii="Arial" w:hAnsi="Arial" w:eastAsia="Arial" w:cs="Arial"/>
          <w:b/>
          <w:bCs/>
          <w:sz w:val="26"/>
          <w:szCs w:val="26"/>
        </w:rPr>
        <w:t>6.5 美股 SPX：牛短熊长，分化加剧</w:t>
      </w:r>
    </w:p>
    <w:p w14:paraId="69F91772">
      <w:pPr>
        <w:spacing w:before="60" w:after="60" w:line="360" w:lineRule="auto"/>
      </w:pPr>
      <w:r>
        <w:rPr>
          <w:rFonts w:ascii="Arial" w:hAnsi="Arial" w:eastAsia="Arial" w:cs="Arial"/>
          <w:b/>
          <w:bCs/>
          <w:sz w:val="22"/>
          <w:szCs w:val="22"/>
        </w:rPr>
        <w:t>基础情景（55%）：</w:t>
      </w:r>
    </w:p>
    <w:p w14:paraId="293FB127">
      <w:pPr>
        <w:pStyle w:val="16"/>
        <w:numPr>
          <w:ilvl w:val="0"/>
          <w:numId w:val="2"/>
        </w:numPr>
        <w:spacing w:before="40" w:after="40" w:line="340" w:lineRule="auto"/>
      </w:pPr>
      <w:r>
        <w:rPr>
          <w:rFonts w:ascii="Arial" w:hAnsi="Arial" w:eastAsia="Arial" w:cs="Arial"/>
          <w:sz w:val="22"/>
          <w:szCs w:val="22"/>
        </w:rPr>
        <w:t>SPX 年化回报：3–8%，远低于 2009–2024 年均值（~12%）。</w:t>
      </w:r>
    </w:p>
    <w:p w14:paraId="33FF242F">
      <w:pPr>
        <w:pStyle w:val="16"/>
        <w:numPr>
          <w:ilvl w:val="0"/>
          <w:numId w:val="2"/>
        </w:numPr>
        <w:spacing w:before="40" w:after="40" w:line="340" w:lineRule="auto"/>
      </w:pPr>
      <w:r>
        <w:rPr>
          <w:rFonts w:ascii="Arial" w:hAnsi="Arial" w:eastAsia="Arial" w:cs="Arial"/>
          <w:sz w:val="22"/>
          <w:szCs w:val="22"/>
        </w:rPr>
        <w:t>估值压力：QT 不降贴现率 → PE 难以扩张；Fed Put 弱化 → 回撤保护降级。</w:t>
      </w:r>
    </w:p>
    <w:p w14:paraId="038F77B1">
      <w:pPr>
        <w:pStyle w:val="16"/>
        <w:numPr>
          <w:ilvl w:val="0"/>
          <w:numId w:val="2"/>
        </w:numPr>
        <w:spacing w:before="40" w:after="40" w:line="340" w:lineRule="auto"/>
      </w:pPr>
      <w:r>
        <w:rPr>
          <w:rFonts w:ascii="Arial" w:hAnsi="Arial" w:eastAsia="Arial" w:cs="Arial"/>
          <w:sz w:val="22"/>
          <w:szCs w:val="22"/>
        </w:rPr>
        <w:t>盈利支撑：AI 生产率兑现 → 头部科技股盈利韧性强。</w:t>
      </w:r>
    </w:p>
    <w:p w14:paraId="7CFBA84A">
      <w:pPr>
        <w:pStyle w:val="16"/>
        <w:numPr>
          <w:ilvl w:val="0"/>
          <w:numId w:val="2"/>
        </w:numPr>
        <w:spacing w:before="40" w:after="40" w:line="340" w:lineRule="auto"/>
      </w:pPr>
      <w:r>
        <w:rPr>
          <w:rFonts w:ascii="Arial" w:hAnsi="Arial" w:eastAsia="Arial" w:cs="Arial"/>
          <w:sz w:val="22"/>
          <w:szCs w:val="22"/>
        </w:rPr>
        <w:t>结构分化（按方向性）：</w:t>
      </w:r>
    </w:p>
    <w:tbl>
      <w:tblPr>
        <w:tblStyle w:val="11"/>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800"/>
        <w:gridCol w:w="2000"/>
        <w:gridCol w:w="4560"/>
      </w:tblGrid>
      <w:tr w14:paraId="5BAFE8EC">
        <w:trPr>
          <w:tblHeader/>
        </w:trPr>
        <w:tc>
          <w:tcPr>
            <w:tcW w:w="2800" w:type="dxa"/>
            <w:shd w:val="clear" w:color="auto" w:fill="1F3864"/>
            <w:tcMar>
              <w:top w:w="80" w:type="dxa"/>
              <w:left w:w="120" w:type="dxa"/>
              <w:bottom w:w="80" w:type="dxa"/>
              <w:right w:w="120" w:type="dxa"/>
            </w:tcMar>
            <w:vAlign w:val="center"/>
          </w:tcPr>
          <w:p w14:paraId="7AC4F6CB">
            <w:pPr>
              <w:spacing w:before="20" w:after="20" w:line="320" w:lineRule="auto"/>
              <w:jc w:val="center"/>
            </w:pPr>
            <w:r>
              <w:rPr>
                <w:rFonts w:ascii="Arial" w:hAnsi="Arial" w:eastAsia="Arial" w:cs="Arial"/>
                <w:b/>
                <w:bCs/>
                <w:color w:val="FFFFFF"/>
                <w:sz w:val="20"/>
                <w:szCs w:val="20"/>
              </w:rPr>
              <w:t>板块</w:t>
            </w:r>
          </w:p>
        </w:tc>
        <w:tc>
          <w:tcPr>
            <w:tcW w:w="2000" w:type="dxa"/>
            <w:shd w:val="clear" w:color="auto" w:fill="1F3864"/>
            <w:tcMar>
              <w:top w:w="80" w:type="dxa"/>
              <w:left w:w="120" w:type="dxa"/>
              <w:bottom w:w="80" w:type="dxa"/>
              <w:right w:w="120" w:type="dxa"/>
            </w:tcMar>
            <w:vAlign w:val="center"/>
          </w:tcPr>
          <w:p w14:paraId="70EFFF9C">
            <w:pPr>
              <w:spacing w:before="20" w:after="20" w:line="320" w:lineRule="auto"/>
              <w:jc w:val="center"/>
            </w:pPr>
            <w:r>
              <w:rPr>
                <w:rFonts w:ascii="Arial" w:hAnsi="Arial" w:eastAsia="Arial" w:cs="Arial"/>
                <w:b/>
                <w:bCs/>
                <w:color w:val="FFFFFF"/>
                <w:sz w:val="20"/>
                <w:szCs w:val="20"/>
              </w:rPr>
              <w:t>方向</w:t>
            </w:r>
          </w:p>
        </w:tc>
        <w:tc>
          <w:tcPr>
            <w:tcW w:w="4560" w:type="dxa"/>
            <w:shd w:val="clear" w:color="auto" w:fill="1F3864"/>
            <w:tcMar>
              <w:top w:w="80" w:type="dxa"/>
              <w:left w:w="120" w:type="dxa"/>
              <w:bottom w:w="80" w:type="dxa"/>
              <w:right w:w="120" w:type="dxa"/>
            </w:tcMar>
            <w:vAlign w:val="center"/>
          </w:tcPr>
          <w:p w14:paraId="69271809">
            <w:pPr>
              <w:spacing w:before="20" w:after="20" w:line="320" w:lineRule="auto"/>
              <w:jc w:val="center"/>
            </w:pPr>
            <w:r>
              <w:rPr>
                <w:rFonts w:ascii="Arial" w:hAnsi="Arial" w:eastAsia="Arial" w:cs="Arial"/>
                <w:b/>
                <w:bCs/>
                <w:color w:val="FFFFFF"/>
                <w:sz w:val="20"/>
                <w:szCs w:val="20"/>
              </w:rPr>
              <w:t>机制</w:t>
            </w:r>
          </w:p>
        </w:tc>
      </w:tr>
      <w:tr w14:paraId="3FA741A5">
        <w:tc>
          <w:tcPr>
            <w:tcW w:w="2800" w:type="dxa"/>
            <w:tcMar>
              <w:top w:w="80" w:type="dxa"/>
              <w:left w:w="120" w:type="dxa"/>
              <w:bottom w:w="80" w:type="dxa"/>
              <w:right w:w="120" w:type="dxa"/>
            </w:tcMar>
            <w:vAlign w:val="center"/>
          </w:tcPr>
          <w:p w14:paraId="5B8882E3">
            <w:pPr>
              <w:spacing w:before="20" w:after="20" w:line="320" w:lineRule="auto"/>
              <w:jc w:val="left"/>
            </w:pPr>
            <w:r>
              <w:rPr>
                <w:rFonts w:ascii="Arial" w:hAnsi="Arial" w:eastAsia="Arial" w:cs="Arial"/>
                <w:b w:val="0"/>
                <w:bCs w:val="0"/>
                <w:sz w:val="20"/>
                <w:szCs w:val="20"/>
              </w:rPr>
              <w:t>大盘科技（AI 受益）</w:t>
            </w:r>
          </w:p>
        </w:tc>
        <w:tc>
          <w:tcPr>
            <w:tcW w:w="2000" w:type="dxa"/>
            <w:tcMar>
              <w:top w:w="80" w:type="dxa"/>
              <w:left w:w="120" w:type="dxa"/>
              <w:bottom w:w="80" w:type="dxa"/>
              <w:right w:w="120" w:type="dxa"/>
            </w:tcMar>
            <w:vAlign w:val="center"/>
          </w:tcPr>
          <w:p w14:paraId="65DBFD9C">
            <w:pPr>
              <w:spacing w:before="20" w:after="20" w:line="320" w:lineRule="auto"/>
              <w:jc w:val="left"/>
            </w:pPr>
            <w:r>
              <w:rPr>
                <w:rFonts w:ascii="Arial" w:hAnsi="Arial" w:eastAsia="Arial" w:cs="Arial"/>
                <w:b w:val="0"/>
                <w:bCs w:val="0"/>
                <w:sz w:val="20"/>
                <w:szCs w:val="20"/>
              </w:rPr>
              <w:t>超配</w:t>
            </w:r>
          </w:p>
        </w:tc>
        <w:tc>
          <w:tcPr>
            <w:tcW w:w="4560" w:type="dxa"/>
            <w:tcMar>
              <w:top w:w="80" w:type="dxa"/>
              <w:left w:w="120" w:type="dxa"/>
              <w:bottom w:w="80" w:type="dxa"/>
              <w:right w:w="120" w:type="dxa"/>
            </w:tcMar>
            <w:vAlign w:val="center"/>
          </w:tcPr>
          <w:p w14:paraId="4BF269EC">
            <w:pPr>
              <w:spacing w:before="20" w:after="20" w:line="320" w:lineRule="auto"/>
              <w:jc w:val="left"/>
            </w:pPr>
            <w:r>
              <w:rPr>
                <w:rFonts w:ascii="Arial" w:hAnsi="Arial" w:eastAsia="Arial" w:cs="Arial"/>
                <w:b w:val="0"/>
                <w:bCs w:val="0"/>
                <w:sz w:val="20"/>
                <w:szCs w:val="20"/>
              </w:rPr>
              <w:t>生产率红利，现金流充沛，抗利率</w:t>
            </w:r>
          </w:p>
        </w:tc>
      </w:tr>
      <w:tr w14:paraId="47B5DC53">
        <w:tc>
          <w:tcPr>
            <w:tcW w:w="2800" w:type="dxa"/>
            <w:tcMar>
              <w:top w:w="80" w:type="dxa"/>
              <w:left w:w="120" w:type="dxa"/>
              <w:bottom w:w="80" w:type="dxa"/>
              <w:right w:w="120" w:type="dxa"/>
            </w:tcMar>
            <w:vAlign w:val="center"/>
          </w:tcPr>
          <w:p w14:paraId="5AD1D4E8">
            <w:pPr>
              <w:spacing w:before="20" w:after="20" w:line="320" w:lineRule="auto"/>
              <w:jc w:val="left"/>
            </w:pPr>
            <w:r>
              <w:rPr>
                <w:rFonts w:ascii="Arial" w:hAnsi="Arial" w:eastAsia="Arial" w:cs="Arial"/>
                <w:b w:val="0"/>
                <w:bCs w:val="0"/>
                <w:sz w:val="20"/>
                <w:szCs w:val="20"/>
              </w:rPr>
              <w:t>金融（曲线陡峭化）</w:t>
            </w:r>
          </w:p>
        </w:tc>
        <w:tc>
          <w:tcPr>
            <w:tcW w:w="2000" w:type="dxa"/>
            <w:tcMar>
              <w:top w:w="80" w:type="dxa"/>
              <w:left w:w="120" w:type="dxa"/>
              <w:bottom w:w="80" w:type="dxa"/>
              <w:right w:w="120" w:type="dxa"/>
            </w:tcMar>
            <w:vAlign w:val="center"/>
          </w:tcPr>
          <w:p w14:paraId="2C11C2A6">
            <w:pPr>
              <w:spacing w:before="20" w:after="20" w:line="320" w:lineRule="auto"/>
              <w:jc w:val="left"/>
            </w:pPr>
            <w:r>
              <w:rPr>
                <w:rFonts w:ascii="Arial" w:hAnsi="Arial" w:eastAsia="Arial" w:cs="Arial"/>
                <w:b w:val="0"/>
                <w:bCs w:val="0"/>
                <w:sz w:val="20"/>
                <w:szCs w:val="20"/>
              </w:rPr>
              <w:t>温和偏多</w:t>
            </w:r>
          </w:p>
        </w:tc>
        <w:tc>
          <w:tcPr>
            <w:tcW w:w="4560" w:type="dxa"/>
            <w:tcMar>
              <w:top w:w="80" w:type="dxa"/>
              <w:left w:w="120" w:type="dxa"/>
              <w:bottom w:w="80" w:type="dxa"/>
              <w:right w:w="120" w:type="dxa"/>
            </w:tcMar>
            <w:vAlign w:val="center"/>
          </w:tcPr>
          <w:p w14:paraId="68E25E44">
            <w:pPr>
              <w:spacing w:before="20" w:after="20" w:line="320" w:lineRule="auto"/>
              <w:jc w:val="left"/>
            </w:pPr>
            <w:r>
              <w:rPr>
                <w:rFonts w:ascii="Arial" w:hAnsi="Arial" w:eastAsia="Arial" w:cs="Arial"/>
                <w:b w:val="0"/>
                <w:bCs w:val="0"/>
                <w:sz w:val="20"/>
                <w:szCs w:val="20"/>
              </w:rPr>
              <w:t>净息差扩大，沃什支持回购松绑</w:t>
            </w:r>
          </w:p>
        </w:tc>
      </w:tr>
      <w:tr w14:paraId="73A650A2">
        <w:tc>
          <w:tcPr>
            <w:tcW w:w="2800" w:type="dxa"/>
            <w:tcMar>
              <w:top w:w="80" w:type="dxa"/>
              <w:left w:w="120" w:type="dxa"/>
              <w:bottom w:w="80" w:type="dxa"/>
              <w:right w:w="120" w:type="dxa"/>
            </w:tcMar>
            <w:vAlign w:val="center"/>
          </w:tcPr>
          <w:p w14:paraId="008595E3">
            <w:pPr>
              <w:spacing w:before="20" w:after="20" w:line="320" w:lineRule="auto"/>
              <w:jc w:val="left"/>
            </w:pPr>
            <w:r>
              <w:rPr>
                <w:rFonts w:ascii="Arial" w:hAnsi="Arial" w:eastAsia="Arial" w:cs="Arial"/>
                <w:b w:val="0"/>
                <w:bCs w:val="0"/>
                <w:sz w:val="20"/>
                <w:szCs w:val="20"/>
              </w:rPr>
              <w:t>能源</w:t>
            </w:r>
          </w:p>
        </w:tc>
        <w:tc>
          <w:tcPr>
            <w:tcW w:w="2000" w:type="dxa"/>
            <w:tcMar>
              <w:top w:w="80" w:type="dxa"/>
              <w:left w:w="120" w:type="dxa"/>
              <w:bottom w:w="80" w:type="dxa"/>
              <w:right w:w="120" w:type="dxa"/>
            </w:tcMar>
            <w:vAlign w:val="center"/>
          </w:tcPr>
          <w:p w14:paraId="3B51CF11">
            <w:pPr>
              <w:spacing w:before="20" w:after="20" w:line="320" w:lineRule="auto"/>
              <w:jc w:val="left"/>
            </w:pPr>
            <w:r>
              <w:rPr>
                <w:rFonts w:ascii="Arial" w:hAnsi="Arial" w:eastAsia="Arial" w:cs="Arial"/>
                <w:b w:val="0"/>
                <w:bCs w:val="0"/>
                <w:sz w:val="20"/>
                <w:szCs w:val="20"/>
              </w:rPr>
              <w:t>中性</w:t>
            </w:r>
          </w:p>
        </w:tc>
        <w:tc>
          <w:tcPr>
            <w:tcW w:w="4560" w:type="dxa"/>
            <w:tcMar>
              <w:top w:w="80" w:type="dxa"/>
              <w:left w:w="120" w:type="dxa"/>
              <w:bottom w:w="80" w:type="dxa"/>
              <w:right w:w="120" w:type="dxa"/>
            </w:tcMar>
            <w:vAlign w:val="center"/>
          </w:tcPr>
          <w:p w14:paraId="3B2B1553">
            <w:pPr>
              <w:spacing w:before="20" w:after="20" w:line="320" w:lineRule="auto"/>
              <w:jc w:val="left"/>
            </w:pPr>
            <w:r>
              <w:rPr>
                <w:rFonts w:ascii="Arial" w:hAnsi="Arial" w:eastAsia="Arial" w:cs="Arial"/>
                <w:b w:val="0"/>
                <w:bCs w:val="0"/>
                <w:sz w:val="20"/>
                <w:szCs w:val="20"/>
              </w:rPr>
              <w:t>需求疲弱 vs 供给安全溢价</w:t>
            </w:r>
          </w:p>
        </w:tc>
      </w:tr>
      <w:tr w14:paraId="4B496F02">
        <w:tc>
          <w:tcPr>
            <w:tcW w:w="2800" w:type="dxa"/>
            <w:tcMar>
              <w:top w:w="80" w:type="dxa"/>
              <w:left w:w="120" w:type="dxa"/>
              <w:bottom w:w="80" w:type="dxa"/>
              <w:right w:w="120" w:type="dxa"/>
            </w:tcMar>
            <w:vAlign w:val="center"/>
          </w:tcPr>
          <w:p w14:paraId="1E0720B5">
            <w:pPr>
              <w:spacing w:before="20" w:after="20" w:line="320" w:lineRule="auto"/>
              <w:jc w:val="left"/>
            </w:pPr>
            <w:r>
              <w:rPr>
                <w:rFonts w:ascii="Arial" w:hAnsi="Arial" w:eastAsia="Arial" w:cs="Arial"/>
                <w:b w:val="0"/>
                <w:bCs w:val="0"/>
                <w:sz w:val="20"/>
                <w:szCs w:val="20"/>
              </w:rPr>
              <w:t>工业 / 基建</w:t>
            </w:r>
          </w:p>
        </w:tc>
        <w:tc>
          <w:tcPr>
            <w:tcW w:w="2000" w:type="dxa"/>
            <w:tcMar>
              <w:top w:w="80" w:type="dxa"/>
              <w:left w:w="120" w:type="dxa"/>
              <w:bottom w:w="80" w:type="dxa"/>
              <w:right w:w="120" w:type="dxa"/>
            </w:tcMar>
            <w:vAlign w:val="center"/>
          </w:tcPr>
          <w:p w14:paraId="4C426B0A">
            <w:pPr>
              <w:spacing w:before="20" w:after="20" w:line="320" w:lineRule="auto"/>
              <w:jc w:val="left"/>
            </w:pPr>
            <w:r>
              <w:rPr>
                <w:rFonts w:ascii="Arial" w:hAnsi="Arial" w:eastAsia="Arial" w:cs="Arial"/>
                <w:b w:val="0"/>
                <w:bCs w:val="0"/>
                <w:sz w:val="20"/>
                <w:szCs w:val="20"/>
              </w:rPr>
              <w:t>中性偏多</w:t>
            </w:r>
          </w:p>
        </w:tc>
        <w:tc>
          <w:tcPr>
            <w:tcW w:w="4560" w:type="dxa"/>
            <w:tcMar>
              <w:top w:w="80" w:type="dxa"/>
              <w:left w:w="120" w:type="dxa"/>
              <w:bottom w:w="80" w:type="dxa"/>
              <w:right w:w="120" w:type="dxa"/>
            </w:tcMar>
            <w:vAlign w:val="center"/>
          </w:tcPr>
          <w:p w14:paraId="61211266">
            <w:pPr>
              <w:spacing w:before="20" w:after="20" w:line="320" w:lineRule="auto"/>
              <w:jc w:val="left"/>
            </w:pPr>
            <w:r>
              <w:rPr>
                <w:rFonts w:ascii="Arial" w:hAnsi="Arial" w:eastAsia="Arial" w:cs="Arial"/>
                <w:b w:val="0"/>
                <w:bCs w:val="0"/>
                <w:sz w:val="20"/>
                <w:szCs w:val="20"/>
              </w:rPr>
              <w:t>再工业化政策配合</w:t>
            </w:r>
          </w:p>
        </w:tc>
      </w:tr>
      <w:tr w14:paraId="26FF4B32">
        <w:tc>
          <w:tcPr>
            <w:tcW w:w="2800" w:type="dxa"/>
            <w:tcMar>
              <w:top w:w="80" w:type="dxa"/>
              <w:left w:w="120" w:type="dxa"/>
              <w:bottom w:w="80" w:type="dxa"/>
              <w:right w:w="120" w:type="dxa"/>
            </w:tcMar>
            <w:vAlign w:val="center"/>
          </w:tcPr>
          <w:p w14:paraId="18C18F1B">
            <w:pPr>
              <w:spacing w:before="20" w:after="20" w:line="320" w:lineRule="auto"/>
              <w:jc w:val="left"/>
            </w:pPr>
            <w:r>
              <w:rPr>
                <w:rFonts w:ascii="Arial" w:hAnsi="Arial" w:eastAsia="Arial" w:cs="Arial"/>
                <w:b w:val="0"/>
                <w:bCs w:val="0"/>
                <w:sz w:val="20"/>
                <w:szCs w:val="20"/>
              </w:rPr>
              <w:t>消费必需</w:t>
            </w:r>
          </w:p>
        </w:tc>
        <w:tc>
          <w:tcPr>
            <w:tcW w:w="2000" w:type="dxa"/>
            <w:tcMar>
              <w:top w:w="80" w:type="dxa"/>
              <w:left w:w="120" w:type="dxa"/>
              <w:bottom w:w="80" w:type="dxa"/>
              <w:right w:w="120" w:type="dxa"/>
            </w:tcMar>
            <w:vAlign w:val="center"/>
          </w:tcPr>
          <w:p w14:paraId="7723B041">
            <w:pPr>
              <w:spacing w:before="20" w:after="20" w:line="320" w:lineRule="auto"/>
              <w:jc w:val="left"/>
            </w:pPr>
            <w:r>
              <w:rPr>
                <w:rFonts w:ascii="Arial" w:hAnsi="Arial" w:eastAsia="Arial" w:cs="Arial"/>
                <w:b w:val="0"/>
                <w:bCs w:val="0"/>
                <w:sz w:val="20"/>
                <w:szCs w:val="20"/>
              </w:rPr>
              <w:t>中性偏空</w:t>
            </w:r>
          </w:p>
        </w:tc>
        <w:tc>
          <w:tcPr>
            <w:tcW w:w="4560" w:type="dxa"/>
            <w:tcMar>
              <w:top w:w="80" w:type="dxa"/>
              <w:left w:w="120" w:type="dxa"/>
              <w:bottom w:w="80" w:type="dxa"/>
              <w:right w:w="120" w:type="dxa"/>
            </w:tcMar>
            <w:vAlign w:val="center"/>
          </w:tcPr>
          <w:p w14:paraId="1F39E1D2">
            <w:pPr>
              <w:spacing w:before="20" w:after="20" w:line="320" w:lineRule="auto"/>
              <w:jc w:val="left"/>
            </w:pPr>
            <w:r>
              <w:rPr>
                <w:rFonts w:ascii="Arial" w:hAnsi="Arial" w:eastAsia="Arial" w:cs="Arial"/>
                <w:b w:val="0"/>
                <w:bCs w:val="0"/>
                <w:sz w:val="20"/>
                <w:szCs w:val="20"/>
              </w:rPr>
              <w:t>防御性被降息部分抵消</w:t>
            </w:r>
          </w:p>
        </w:tc>
      </w:tr>
      <w:tr w14:paraId="0B0E192A">
        <w:tc>
          <w:tcPr>
            <w:tcW w:w="2800" w:type="dxa"/>
            <w:tcMar>
              <w:top w:w="80" w:type="dxa"/>
              <w:left w:w="120" w:type="dxa"/>
              <w:bottom w:w="80" w:type="dxa"/>
              <w:right w:w="120" w:type="dxa"/>
            </w:tcMar>
            <w:vAlign w:val="center"/>
          </w:tcPr>
          <w:p w14:paraId="4689D3F9">
            <w:pPr>
              <w:spacing w:before="20" w:after="20" w:line="320" w:lineRule="auto"/>
              <w:jc w:val="left"/>
            </w:pPr>
            <w:r>
              <w:rPr>
                <w:rFonts w:ascii="Arial" w:hAnsi="Arial" w:eastAsia="Arial" w:cs="Arial"/>
                <w:b w:val="0"/>
                <w:bCs w:val="0"/>
                <w:sz w:val="20"/>
                <w:szCs w:val="20"/>
              </w:rPr>
              <w:t>消费非必需</w:t>
            </w:r>
          </w:p>
        </w:tc>
        <w:tc>
          <w:tcPr>
            <w:tcW w:w="2000" w:type="dxa"/>
            <w:tcMar>
              <w:top w:w="80" w:type="dxa"/>
              <w:left w:w="120" w:type="dxa"/>
              <w:bottom w:w="80" w:type="dxa"/>
              <w:right w:w="120" w:type="dxa"/>
            </w:tcMar>
            <w:vAlign w:val="center"/>
          </w:tcPr>
          <w:p w14:paraId="74FE4311">
            <w:pPr>
              <w:spacing w:before="20" w:after="20" w:line="320" w:lineRule="auto"/>
              <w:jc w:val="left"/>
            </w:pPr>
            <w:r>
              <w:rPr>
                <w:rFonts w:ascii="Arial" w:hAnsi="Arial" w:eastAsia="Arial" w:cs="Arial"/>
                <w:b w:val="0"/>
                <w:bCs w:val="0"/>
                <w:sz w:val="20"/>
                <w:szCs w:val="20"/>
              </w:rPr>
              <w:t>偏空</w:t>
            </w:r>
          </w:p>
        </w:tc>
        <w:tc>
          <w:tcPr>
            <w:tcW w:w="4560" w:type="dxa"/>
            <w:tcMar>
              <w:top w:w="80" w:type="dxa"/>
              <w:left w:w="120" w:type="dxa"/>
              <w:bottom w:w="80" w:type="dxa"/>
              <w:right w:w="120" w:type="dxa"/>
            </w:tcMar>
            <w:vAlign w:val="center"/>
          </w:tcPr>
          <w:p w14:paraId="60C6AB25">
            <w:pPr>
              <w:spacing w:before="20" w:after="20" w:line="320" w:lineRule="auto"/>
              <w:jc w:val="left"/>
            </w:pPr>
            <w:r>
              <w:rPr>
                <w:rFonts w:ascii="Arial" w:hAnsi="Arial" w:eastAsia="Arial" w:cs="Arial"/>
                <w:b w:val="0"/>
                <w:bCs w:val="0"/>
                <w:sz w:val="20"/>
                <w:szCs w:val="20"/>
              </w:rPr>
              <w:t>利率敏感，估值压缩</w:t>
            </w:r>
          </w:p>
        </w:tc>
      </w:tr>
      <w:tr w14:paraId="1BB7CD62">
        <w:tc>
          <w:tcPr>
            <w:tcW w:w="2800" w:type="dxa"/>
            <w:tcMar>
              <w:top w:w="80" w:type="dxa"/>
              <w:left w:w="120" w:type="dxa"/>
              <w:bottom w:w="80" w:type="dxa"/>
              <w:right w:w="120" w:type="dxa"/>
            </w:tcMar>
            <w:vAlign w:val="center"/>
          </w:tcPr>
          <w:p w14:paraId="3B290447">
            <w:pPr>
              <w:spacing w:before="20" w:after="20" w:line="320" w:lineRule="auto"/>
              <w:jc w:val="left"/>
            </w:pPr>
            <w:r>
              <w:rPr>
                <w:rFonts w:ascii="Arial" w:hAnsi="Arial" w:eastAsia="Arial" w:cs="Arial"/>
                <w:b w:val="0"/>
                <w:bCs w:val="0"/>
                <w:sz w:val="20"/>
                <w:szCs w:val="20"/>
              </w:rPr>
              <w:t>小盘（Russell 2000）</w:t>
            </w:r>
          </w:p>
        </w:tc>
        <w:tc>
          <w:tcPr>
            <w:tcW w:w="2000" w:type="dxa"/>
            <w:tcMar>
              <w:top w:w="80" w:type="dxa"/>
              <w:left w:w="120" w:type="dxa"/>
              <w:bottom w:w="80" w:type="dxa"/>
              <w:right w:w="120" w:type="dxa"/>
            </w:tcMar>
            <w:vAlign w:val="center"/>
          </w:tcPr>
          <w:p w14:paraId="1A416F89">
            <w:pPr>
              <w:spacing w:before="20" w:after="20" w:line="320" w:lineRule="auto"/>
              <w:jc w:val="left"/>
            </w:pPr>
            <w:r>
              <w:rPr>
                <w:rFonts w:ascii="Arial" w:hAnsi="Arial" w:eastAsia="Arial" w:cs="Arial"/>
                <w:b w:val="0"/>
                <w:bCs w:val="0"/>
                <w:sz w:val="20"/>
                <w:szCs w:val="20"/>
              </w:rPr>
              <w:t>偏空</w:t>
            </w:r>
          </w:p>
        </w:tc>
        <w:tc>
          <w:tcPr>
            <w:tcW w:w="4560" w:type="dxa"/>
            <w:tcMar>
              <w:top w:w="80" w:type="dxa"/>
              <w:left w:w="120" w:type="dxa"/>
              <w:bottom w:w="80" w:type="dxa"/>
              <w:right w:w="120" w:type="dxa"/>
            </w:tcMar>
            <w:vAlign w:val="center"/>
          </w:tcPr>
          <w:p w14:paraId="1FC5CC3E">
            <w:pPr>
              <w:spacing w:before="20" w:after="20" w:line="320" w:lineRule="auto"/>
              <w:jc w:val="left"/>
            </w:pPr>
            <w:r>
              <w:rPr>
                <w:rFonts w:ascii="Arial" w:hAnsi="Arial" w:eastAsia="Arial" w:cs="Arial"/>
                <w:b w:val="0"/>
                <w:bCs w:val="0"/>
                <w:sz w:val="20"/>
                <w:szCs w:val="20"/>
              </w:rPr>
              <w:t>融资成本高，Fed Put 依赖度高</w:t>
            </w:r>
          </w:p>
        </w:tc>
      </w:tr>
      <w:tr w14:paraId="77A94E55">
        <w:tc>
          <w:tcPr>
            <w:tcW w:w="2800" w:type="dxa"/>
            <w:tcMar>
              <w:top w:w="80" w:type="dxa"/>
              <w:left w:w="120" w:type="dxa"/>
              <w:bottom w:w="80" w:type="dxa"/>
              <w:right w:w="120" w:type="dxa"/>
            </w:tcMar>
            <w:vAlign w:val="center"/>
          </w:tcPr>
          <w:p w14:paraId="09FD3A41">
            <w:pPr>
              <w:spacing w:before="20" w:after="20" w:line="320" w:lineRule="auto"/>
              <w:jc w:val="left"/>
            </w:pPr>
            <w:r>
              <w:rPr>
                <w:rFonts w:ascii="Arial" w:hAnsi="Arial" w:eastAsia="Arial" w:cs="Arial"/>
                <w:b w:val="0"/>
                <w:bCs w:val="0"/>
                <w:sz w:val="20"/>
                <w:szCs w:val="20"/>
              </w:rPr>
              <w:t>REITs / 公用</w:t>
            </w:r>
          </w:p>
        </w:tc>
        <w:tc>
          <w:tcPr>
            <w:tcW w:w="2000" w:type="dxa"/>
            <w:tcMar>
              <w:top w:w="80" w:type="dxa"/>
              <w:left w:w="120" w:type="dxa"/>
              <w:bottom w:w="80" w:type="dxa"/>
              <w:right w:w="120" w:type="dxa"/>
            </w:tcMar>
            <w:vAlign w:val="center"/>
          </w:tcPr>
          <w:p w14:paraId="031124BC">
            <w:pPr>
              <w:spacing w:before="20" w:after="20" w:line="320" w:lineRule="auto"/>
              <w:jc w:val="left"/>
            </w:pPr>
            <w:r>
              <w:rPr>
                <w:rFonts w:ascii="Arial" w:hAnsi="Arial" w:eastAsia="Arial" w:cs="Arial"/>
                <w:b w:val="0"/>
                <w:bCs w:val="0"/>
                <w:sz w:val="20"/>
                <w:szCs w:val="20"/>
              </w:rPr>
              <w:t>偏空</w:t>
            </w:r>
          </w:p>
        </w:tc>
        <w:tc>
          <w:tcPr>
            <w:tcW w:w="4560" w:type="dxa"/>
            <w:tcMar>
              <w:top w:w="80" w:type="dxa"/>
              <w:left w:w="120" w:type="dxa"/>
              <w:bottom w:w="80" w:type="dxa"/>
              <w:right w:w="120" w:type="dxa"/>
            </w:tcMar>
            <w:vAlign w:val="center"/>
          </w:tcPr>
          <w:p w14:paraId="0BF965F4">
            <w:pPr>
              <w:spacing w:before="20" w:after="20" w:line="320" w:lineRule="auto"/>
              <w:jc w:val="left"/>
            </w:pPr>
            <w:r>
              <w:rPr>
                <w:rFonts w:ascii="Arial" w:hAnsi="Arial" w:eastAsia="Arial" w:cs="Arial"/>
                <w:b w:val="0"/>
                <w:bCs w:val="0"/>
                <w:sz w:val="20"/>
                <w:szCs w:val="20"/>
              </w:rPr>
              <w:t>久期敞口大</w:t>
            </w:r>
          </w:p>
        </w:tc>
      </w:tr>
    </w:tbl>
    <w:p w14:paraId="1D32ADBD">
      <w:pPr>
        <w:spacing w:before="120" w:after="0"/>
      </w:pPr>
    </w:p>
    <w:p w14:paraId="26FA52B2">
      <w:pPr>
        <w:spacing w:before="60" w:after="60" w:line="360" w:lineRule="auto"/>
      </w:pPr>
      <w:r>
        <w:rPr>
          <w:rFonts w:ascii="Arial" w:hAnsi="Arial" w:eastAsia="Arial" w:cs="Arial"/>
          <w:b/>
          <w:bCs/>
          <w:sz w:val="22"/>
          <w:szCs w:val="22"/>
        </w:rPr>
        <w:t>激进情景（25%）：</w:t>
      </w:r>
    </w:p>
    <w:p w14:paraId="08F96BD5">
      <w:pPr>
        <w:pStyle w:val="16"/>
        <w:numPr>
          <w:ilvl w:val="0"/>
          <w:numId w:val="2"/>
        </w:numPr>
        <w:spacing w:before="40" w:after="40" w:line="340" w:lineRule="auto"/>
      </w:pPr>
      <w:r>
        <w:rPr>
          <w:rFonts w:ascii="Arial" w:hAnsi="Arial" w:eastAsia="Arial" w:cs="Arial"/>
          <w:sz w:val="22"/>
          <w:szCs w:val="22"/>
        </w:rPr>
        <w:t>回调幅度：15–25%（SPX 4200–4800）。</w:t>
      </w:r>
    </w:p>
    <w:p w14:paraId="2C592698">
      <w:pPr>
        <w:pStyle w:val="16"/>
        <w:numPr>
          <w:ilvl w:val="0"/>
          <w:numId w:val="2"/>
        </w:numPr>
        <w:spacing w:before="40" w:after="40" w:line="340" w:lineRule="auto"/>
      </w:pPr>
      <w:r>
        <w:rPr>
          <w:rFonts w:ascii="Arial" w:hAnsi="Arial" w:eastAsia="Arial" w:cs="Arial"/>
          <w:sz w:val="22"/>
          <w:szCs w:val="22"/>
        </w:rPr>
        <w:t>V 型反弹：Fed 暂停 QT 后 6–12 个月收复大部分失地。</w:t>
      </w:r>
    </w:p>
    <w:p w14:paraId="0EBD6013">
      <w:pPr>
        <w:pStyle w:val="16"/>
        <w:numPr>
          <w:ilvl w:val="0"/>
          <w:numId w:val="2"/>
        </w:numPr>
        <w:spacing w:before="40" w:after="40" w:line="340" w:lineRule="auto"/>
      </w:pPr>
      <w:r>
        <w:rPr>
          <w:rFonts w:ascii="Arial" w:hAnsi="Arial" w:eastAsia="Arial" w:cs="Arial"/>
          <w:sz w:val="22"/>
          <w:szCs w:val="22"/>
        </w:rPr>
        <w:t>买点：流动性事件 + 政策反转信号同时出现。</w:t>
      </w:r>
    </w:p>
    <w:p w14:paraId="084F989D">
      <w:pPr>
        <w:spacing w:before="60" w:after="60" w:line="360" w:lineRule="auto"/>
      </w:pPr>
      <w:r>
        <w:rPr>
          <w:rFonts w:ascii="Arial" w:hAnsi="Arial" w:eastAsia="Arial" w:cs="Arial"/>
          <w:b/>
          <w:bCs/>
          <w:sz w:val="22"/>
          <w:szCs w:val="22"/>
        </w:rPr>
        <w:t>受阻情景（20%）：</w:t>
      </w:r>
    </w:p>
    <w:p w14:paraId="4CE9306A">
      <w:pPr>
        <w:pStyle w:val="16"/>
        <w:numPr>
          <w:ilvl w:val="0"/>
          <w:numId w:val="2"/>
        </w:numPr>
        <w:spacing w:before="40" w:after="40" w:line="340" w:lineRule="auto"/>
      </w:pPr>
      <w:r>
        <w:rPr>
          <w:rFonts w:ascii="Arial" w:hAnsi="Arial" w:eastAsia="Arial" w:cs="Arial"/>
          <w:sz w:val="22"/>
          <w:szCs w:val="22"/>
        </w:rPr>
        <w:t>短期表现：受益于宽松重启，SPX 可能冲击新高。</w:t>
      </w:r>
    </w:p>
    <w:p w14:paraId="07CE4E39">
      <w:pPr>
        <w:pStyle w:val="16"/>
        <w:numPr>
          <w:ilvl w:val="0"/>
          <w:numId w:val="2"/>
        </w:numPr>
        <w:spacing w:before="40" w:after="40" w:line="340" w:lineRule="auto"/>
      </w:pPr>
      <w:r>
        <w:rPr>
          <w:rFonts w:ascii="Arial" w:hAnsi="Arial" w:eastAsia="Arial" w:cs="Arial"/>
          <w:sz w:val="22"/>
          <w:szCs w:val="22"/>
        </w:rPr>
        <w:t>中期陷阱：类似 2000 年互联网泡沫前的「鲁莽繁荣」，财政不可持续的长期担忧压制估值天花板。</w:t>
      </w:r>
    </w:p>
    <w:p w14:paraId="04C59CB6">
      <w:pPr>
        <w:pStyle w:val="16"/>
        <w:numPr>
          <w:ilvl w:val="0"/>
          <w:numId w:val="2"/>
        </w:numPr>
        <w:spacing w:before="40" w:after="40" w:line="340" w:lineRule="auto"/>
      </w:pPr>
      <w:r>
        <w:rPr>
          <w:rFonts w:ascii="Arial" w:hAnsi="Arial" w:eastAsia="Arial" w:cs="Arial"/>
          <w:sz w:val="22"/>
          <w:szCs w:val="22"/>
        </w:rPr>
        <w:t>退出信号：美元持续贬值 + 长端利率失控同时出现时，应减仓。</w:t>
      </w:r>
    </w:p>
    <w:p w14:paraId="0EDE3AA6">
      <w:pPr>
        <w:spacing w:before="60" w:after="60" w:line="360" w:lineRule="auto"/>
      </w:pPr>
      <w:r>
        <w:rPr>
          <w:rFonts w:ascii="Arial" w:hAnsi="Arial" w:eastAsia="Arial" w:cs="Arial"/>
          <w:b/>
          <w:bCs/>
          <w:sz w:val="22"/>
          <w:szCs w:val="22"/>
        </w:rPr>
        <w:t>核心判断：</w:t>
      </w:r>
      <w:r>
        <w:rPr>
          <w:rFonts w:ascii="Arial" w:hAnsi="Arial" w:eastAsia="Arial" w:cs="Arial"/>
          <w:sz w:val="22"/>
          <w:szCs w:val="22"/>
        </w:rPr>
        <w:t>「牛短熊长」可能成为中长期常态，板块选择 &gt; Beta。</w:t>
      </w:r>
    </w:p>
    <w:p w14:paraId="642816DC">
      <w:pPr>
        <w:spacing w:before="60" w:after="60" w:line="360" w:lineRule="auto"/>
      </w:pPr>
      <w:r>
        <w:rPr>
          <w:rFonts w:ascii="Arial" w:hAnsi="Arial" w:eastAsia="Arial" w:cs="Arial"/>
          <w:b/>
          <w:bCs/>
          <w:sz w:val="22"/>
          <w:szCs w:val="22"/>
        </w:rPr>
        <w:t>配置建议：</w:t>
      </w:r>
    </w:p>
    <w:p w14:paraId="61B34B54">
      <w:pPr>
        <w:pStyle w:val="16"/>
        <w:numPr>
          <w:ilvl w:val="0"/>
          <w:numId w:val="2"/>
        </w:numPr>
        <w:spacing w:before="40" w:after="40" w:line="340" w:lineRule="auto"/>
      </w:pPr>
      <w:r>
        <w:rPr>
          <w:rFonts w:ascii="Arial" w:hAnsi="Arial" w:eastAsia="Arial" w:cs="Arial"/>
          <w:sz w:val="22"/>
          <w:szCs w:val="22"/>
        </w:rPr>
        <w:t>Beta 敞口适度降低；</w:t>
      </w:r>
    </w:p>
    <w:p w14:paraId="75AE9B01">
      <w:pPr>
        <w:pStyle w:val="16"/>
        <w:numPr>
          <w:ilvl w:val="0"/>
          <w:numId w:val="2"/>
        </w:numPr>
        <w:spacing w:before="40" w:after="40" w:line="340" w:lineRule="auto"/>
      </w:pPr>
      <w:r>
        <w:rPr>
          <w:rFonts w:ascii="Arial" w:hAnsi="Arial" w:eastAsia="Arial" w:cs="Arial"/>
          <w:sz w:val="22"/>
          <w:szCs w:val="22"/>
        </w:rPr>
        <w:t>超配 AI 科技（Hyperscaler + Infra + Enabler）；</w:t>
      </w:r>
    </w:p>
    <w:p w14:paraId="46602E78">
      <w:pPr>
        <w:pStyle w:val="16"/>
        <w:numPr>
          <w:ilvl w:val="0"/>
          <w:numId w:val="2"/>
        </w:numPr>
        <w:spacing w:before="40" w:after="40" w:line="340" w:lineRule="auto"/>
      </w:pPr>
      <w:r>
        <w:rPr>
          <w:rFonts w:ascii="Arial" w:hAnsi="Arial" w:eastAsia="Arial" w:cs="Arial"/>
          <w:sz w:val="22"/>
          <w:szCs w:val="22"/>
        </w:rPr>
        <w:t>标配金融（大型银行 + 保险）；</w:t>
      </w:r>
    </w:p>
    <w:p w14:paraId="05BFC6D6">
      <w:pPr>
        <w:pStyle w:val="16"/>
        <w:numPr>
          <w:ilvl w:val="0"/>
          <w:numId w:val="2"/>
        </w:numPr>
        <w:spacing w:before="40" w:after="40" w:line="340" w:lineRule="auto"/>
      </w:pPr>
      <w:r>
        <w:rPr>
          <w:rFonts w:ascii="Arial" w:hAnsi="Arial" w:eastAsia="Arial" w:cs="Arial"/>
          <w:sz w:val="22"/>
          <w:szCs w:val="22"/>
        </w:rPr>
        <w:t>低配 REITs、小盘、利率敏感消费；</w:t>
      </w:r>
    </w:p>
    <w:p w14:paraId="25AA112F">
      <w:pPr>
        <w:pStyle w:val="16"/>
        <w:numPr>
          <w:ilvl w:val="0"/>
          <w:numId w:val="2"/>
        </w:numPr>
        <w:spacing w:before="40" w:after="40" w:line="340" w:lineRule="auto"/>
      </w:pPr>
      <w:r>
        <w:rPr>
          <w:rFonts w:ascii="Arial" w:hAnsi="Arial" w:eastAsia="Arial" w:cs="Arial"/>
          <w:sz w:val="22"/>
          <w:szCs w:val="22"/>
        </w:rPr>
        <w:t>保留 15–20% 现金头寸以在激进情景中抄底。</w:t>
      </w:r>
    </w:p>
    <w:p w14:paraId="4462B67A">
      <w:pPr>
        <w:pStyle w:val="3"/>
      </w:pPr>
      <w:r>
        <w:rPr>
          <w:rFonts w:ascii="Arial" w:hAnsi="Arial" w:eastAsia="Arial" w:cs="Arial"/>
          <w:b/>
          <w:bCs/>
          <w:sz w:val="26"/>
          <w:szCs w:val="26"/>
        </w:rPr>
        <w:t>6.6 综合配置矩阵</w:t>
      </w:r>
    </w:p>
    <w:p w14:paraId="1467A188">
      <w:pPr>
        <w:spacing w:before="60" w:after="60" w:line="360" w:lineRule="auto"/>
      </w:pPr>
      <w:r>
        <w:rPr>
          <w:rFonts w:ascii="Arial" w:hAnsi="Arial" w:eastAsia="Arial" w:cs="Arial"/>
          <w:sz w:val="22"/>
          <w:szCs w:val="22"/>
        </w:rPr>
        <w:t>沃什框架下的投资组合（相对中性基准）：</w:t>
      </w:r>
    </w:p>
    <w:tbl>
      <w:tblPr>
        <w:tblStyle w:val="11"/>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00"/>
        <w:gridCol w:w="1200"/>
        <w:gridCol w:w="1600"/>
        <w:gridCol w:w="1000"/>
        <w:gridCol w:w="3160"/>
      </w:tblGrid>
      <w:tr w14:paraId="66964E2E">
        <w:trPr>
          <w:tblHeader/>
        </w:trPr>
        <w:tc>
          <w:tcPr>
            <w:tcW w:w="2400" w:type="dxa"/>
            <w:shd w:val="clear" w:color="auto" w:fill="1F3864"/>
            <w:tcMar>
              <w:top w:w="80" w:type="dxa"/>
              <w:left w:w="120" w:type="dxa"/>
              <w:bottom w:w="80" w:type="dxa"/>
              <w:right w:w="120" w:type="dxa"/>
            </w:tcMar>
            <w:vAlign w:val="center"/>
          </w:tcPr>
          <w:p w14:paraId="171DD67A">
            <w:pPr>
              <w:spacing w:before="20" w:after="20" w:line="320" w:lineRule="auto"/>
              <w:jc w:val="center"/>
            </w:pPr>
            <w:r>
              <w:rPr>
                <w:rFonts w:ascii="Arial" w:hAnsi="Arial" w:eastAsia="Arial" w:cs="Arial"/>
                <w:b/>
                <w:bCs/>
                <w:color w:val="FFFFFF"/>
                <w:sz w:val="20"/>
                <w:szCs w:val="20"/>
              </w:rPr>
              <w:t>资产</w:t>
            </w:r>
          </w:p>
        </w:tc>
        <w:tc>
          <w:tcPr>
            <w:tcW w:w="1200" w:type="dxa"/>
            <w:shd w:val="clear" w:color="auto" w:fill="1F3864"/>
            <w:tcMar>
              <w:top w:w="80" w:type="dxa"/>
              <w:left w:w="120" w:type="dxa"/>
              <w:bottom w:w="80" w:type="dxa"/>
              <w:right w:w="120" w:type="dxa"/>
            </w:tcMar>
            <w:vAlign w:val="center"/>
          </w:tcPr>
          <w:p w14:paraId="2DA90673">
            <w:pPr>
              <w:spacing w:before="20" w:after="20" w:line="320" w:lineRule="auto"/>
              <w:jc w:val="center"/>
            </w:pPr>
            <w:r>
              <w:rPr>
                <w:rFonts w:ascii="Arial" w:hAnsi="Arial" w:eastAsia="Arial" w:cs="Arial"/>
                <w:b/>
                <w:bCs/>
                <w:color w:val="FFFFFF"/>
                <w:sz w:val="20"/>
                <w:szCs w:val="20"/>
              </w:rPr>
              <w:t>中性基准</w:t>
            </w:r>
          </w:p>
        </w:tc>
        <w:tc>
          <w:tcPr>
            <w:tcW w:w="1600" w:type="dxa"/>
            <w:shd w:val="clear" w:color="auto" w:fill="1F3864"/>
            <w:tcMar>
              <w:top w:w="80" w:type="dxa"/>
              <w:left w:w="120" w:type="dxa"/>
              <w:bottom w:w="80" w:type="dxa"/>
              <w:right w:w="120" w:type="dxa"/>
            </w:tcMar>
            <w:vAlign w:val="center"/>
          </w:tcPr>
          <w:p w14:paraId="3CD2191D">
            <w:pPr>
              <w:spacing w:before="20" w:after="20" w:line="320" w:lineRule="auto"/>
              <w:jc w:val="center"/>
            </w:pPr>
            <w:r>
              <w:rPr>
                <w:rFonts w:ascii="Arial" w:hAnsi="Arial" w:eastAsia="Arial" w:cs="Arial"/>
                <w:b/>
                <w:bCs/>
                <w:color w:val="FFFFFF"/>
                <w:sz w:val="20"/>
                <w:szCs w:val="20"/>
              </w:rPr>
              <w:t>沃什基础情景</w:t>
            </w:r>
          </w:p>
        </w:tc>
        <w:tc>
          <w:tcPr>
            <w:tcW w:w="1000" w:type="dxa"/>
            <w:shd w:val="clear" w:color="auto" w:fill="1F3864"/>
            <w:tcMar>
              <w:top w:w="80" w:type="dxa"/>
              <w:left w:w="120" w:type="dxa"/>
              <w:bottom w:w="80" w:type="dxa"/>
              <w:right w:w="120" w:type="dxa"/>
            </w:tcMar>
            <w:vAlign w:val="center"/>
          </w:tcPr>
          <w:p w14:paraId="05F20D34">
            <w:pPr>
              <w:spacing w:before="20" w:after="20" w:line="320" w:lineRule="auto"/>
              <w:jc w:val="center"/>
            </w:pPr>
            <w:r>
              <w:rPr>
                <w:rFonts w:ascii="Arial" w:hAnsi="Arial" w:eastAsia="Arial" w:cs="Arial"/>
                <w:b/>
                <w:bCs/>
                <w:color w:val="FFFFFF"/>
                <w:sz w:val="20"/>
                <w:szCs w:val="20"/>
              </w:rPr>
              <w:t>偏离</w:t>
            </w:r>
          </w:p>
        </w:tc>
        <w:tc>
          <w:tcPr>
            <w:tcW w:w="3160" w:type="dxa"/>
            <w:shd w:val="clear" w:color="auto" w:fill="1F3864"/>
            <w:tcMar>
              <w:top w:w="80" w:type="dxa"/>
              <w:left w:w="120" w:type="dxa"/>
              <w:bottom w:w="80" w:type="dxa"/>
              <w:right w:w="120" w:type="dxa"/>
            </w:tcMar>
            <w:vAlign w:val="center"/>
          </w:tcPr>
          <w:p w14:paraId="7BE89D6A">
            <w:pPr>
              <w:spacing w:before="20" w:after="20" w:line="320" w:lineRule="auto"/>
              <w:jc w:val="center"/>
            </w:pPr>
            <w:r>
              <w:rPr>
                <w:rFonts w:ascii="Arial" w:hAnsi="Arial" w:eastAsia="Arial" w:cs="Arial"/>
                <w:b/>
                <w:bCs/>
                <w:color w:val="FFFFFF"/>
                <w:sz w:val="20"/>
                <w:szCs w:val="20"/>
              </w:rPr>
              <w:t>理由</w:t>
            </w:r>
          </w:p>
        </w:tc>
      </w:tr>
      <w:tr w14:paraId="427F5E6A">
        <w:tc>
          <w:tcPr>
            <w:tcW w:w="2400" w:type="dxa"/>
            <w:tcMar>
              <w:top w:w="80" w:type="dxa"/>
              <w:left w:w="120" w:type="dxa"/>
              <w:bottom w:w="80" w:type="dxa"/>
              <w:right w:w="120" w:type="dxa"/>
            </w:tcMar>
            <w:vAlign w:val="center"/>
          </w:tcPr>
          <w:p w14:paraId="01AB78E5">
            <w:pPr>
              <w:spacing w:before="20" w:after="20" w:line="320" w:lineRule="auto"/>
              <w:jc w:val="left"/>
            </w:pPr>
            <w:r>
              <w:rPr>
                <w:rFonts w:ascii="Arial" w:hAnsi="Arial" w:eastAsia="Arial" w:cs="Arial"/>
                <w:b w:val="0"/>
                <w:bCs w:val="0"/>
                <w:sz w:val="20"/>
                <w:szCs w:val="20"/>
              </w:rPr>
              <w:t>黄金</w:t>
            </w:r>
          </w:p>
        </w:tc>
        <w:tc>
          <w:tcPr>
            <w:tcW w:w="1200" w:type="dxa"/>
            <w:tcMar>
              <w:top w:w="80" w:type="dxa"/>
              <w:left w:w="120" w:type="dxa"/>
              <w:bottom w:w="80" w:type="dxa"/>
              <w:right w:w="120" w:type="dxa"/>
            </w:tcMar>
            <w:vAlign w:val="center"/>
          </w:tcPr>
          <w:p w14:paraId="27753960">
            <w:pPr>
              <w:spacing w:before="20" w:after="20" w:line="320" w:lineRule="auto"/>
              <w:jc w:val="left"/>
            </w:pPr>
            <w:r>
              <w:rPr>
                <w:rFonts w:ascii="Arial" w:hAnsi="Arial" w:eastAsia="Arial" w:cs="Arial"/>
                <w:b w:val="0"/>
                <w:bCs w:val="0"/>
                <w:sz w:val="20"/>
                <w:szCs w:val="20"/>
              </w:rPr>
              <w:t>10%</w:t>
            </w:r>
          </w:p>
        </w:tc>
        <w:tc>
          <w:tcPr>
            <w:tcW w:w="1600" w:type="dxa"/>
            <w:tcMar>
              <w:top w:w="80" w:type="dxa"/>
              <w:left w:w="120" w:type="dxa"/>
              <w:bottom w:w="80" w:type="dxa"/>
              <w:right w:w="120" w:type="dxa"/>
            </w:tcMar>
            <w:vAlign w:val="center"/>
          </w:tcPr>
          <w:p w14:paraId="05A8D4D4">
            <w:pPr>
              <w:spacing w:before="20" w:after="20" w:line="320" w:lineRule="auto"/>
              <w:jc w:val="left"/>
            </w:pPr>
            <w:r>
              <w:rPr>
                <w:rFonts w:ascii="Arial" w:hAnsi="Arial" w:eastAsia="Arial" w:cs="Arial"/>
                <w:b w:val="0"/>
                <w:bCs w:val="0"/>
                <w:sz w:val="20"/>
                <w:szCs w:val="20"/>
              </w:rPr>
              <w:t>18%</w:t>
            </w:r>
          </w:p>
        </w:tc>
        <w:tc>
          <w:tcPr>
            <w:tcW w:w="1000" w:type="dxa"/>
            <w:tcMar>
              <w:top w:w="80" w:type="dxa"/>
              <w:left w:w="120" w:type="dxa"/>
              <w:bottom w:w="80" w:type="dxa"/>
              <w:right w:w="120" w:type="dxa"/>
            </w:tcMar>
            <w:vAlign w:val="center"/>
          </w:tcPr>
          <w:p w14:paraId="2ACC5D51">
            <w:pPr>
              <w:spacing w:before="20" w:after="20" w:line="320" w:lineRule="auto"/>
              <w:jc w:val="left"/>
            </w:pPr>
            <w:r>
              <w:rPr>
                <w:rFonts w:ascii="Arial" w:hAnsi="Arial" w:eastAsia="Arial" w:cs="Arial"/>
                <w:b w:val="0"/>
                <w:bCs w:val="0"/>
                <w:sz w:val="20"/>
                <w:szCs w:val="20"/>
              </w:rPr>
              <w:t>+8pp</w:t>
            </w:r>
          </w:p>
        </w:tc>
        <w:tc>
          <w:tcPr>
            <w:tcW w:w="3160" w:type="dxa"/>
            <w:tcMar>
              <w:top w:w="80" w:type="dxa"/>
              <w:left w:w="120" w:type="dxa"/>
              <w:bottom w:w="80" w:type="dxa"/>
              <w:right w:w="120" w:type="dxa"/>
            </w:tcMar>
            <w:vAlign w:val="center"/>
          </w:tcPr>
          <w:p w14:paraId="45ED68E1">
            <w:pPr>
              <w:spacing w:before="20" w:after="20" w:line="320" w:lineRule="auto"/>
              <w:jc w:val="left"/>
            </w:pPr>
            <w:r>
              <w:rPr>
                <w:rFonts w:ascii="Arial" w:hAnsi="Arial" w:eastAsia="Arial" w:cs="Arial"/>
                <w:b w:val="0"/>
                <w:bCs w:val="0"/>
                <w:sz w:val="20"/>
                <w:szCs w:val="20"/>
              </w:rPr>
              <w:t>三情景均为多头，风险回报最优</w:t>
            </w:r>
          </w:p>
        </w:tc>
      </w:tr>
      <w:tr w14:paraId="0E8AA4F4">
        <w:tc>
          <w:tcPr>
            <w:tcW w:w="2400" w:type="dxa"/>
            <w:tcMar>
              <w:top w:w="80" w:type="dxa"/>
              <w:left w:w="120" w:type="dxa"/>
              <w:bottom w:w="80" w:type="dxa"/>
              <w:right w:w="120" w:type="dxa"/>
            </w:tcMar>
            <w:vAlign w:val="center"/>
          </w:tcPr>
          <w:p w14:paraId="2F5420A1">
            <w:pPr>
              <w:spacing w:before="20" w:after="20" w:line="320" w:lineRule="auto"/>
              <w:jc w:val="left"/>
            </w:pPr>
            <w:r>
              <w:rPr>
                <w:rFonts w:ascii="Arial" w:hAnsi="Arial" w:eastAsia="Arial" w:cs="Arial"/>
                <w:b w:val="0"/>
                <w:bCs w:val="0"/>
                <w:sz w:val="20"/>
                <w:szCs w:val="20"/>
              </w:rPr>
              <w:t>美元现金 / 短端</w:t>
            </w:r>
          </w:p>
        </w:tc>
        <w:tc>
          <w:tcPr>
            <w:tcW w:w="1200" w:type="dxa"/>
            <w:tcMar>
              <w:top w:w="80" w:type="dxa"/>
              <w:left w:w="120" w:type="dxa"/>
              <w:bottom w:w="80" w:type="dxa"/>
              <w:right w:w="120" w:type="dxa"/>
            </w:tcMar>
            <w:vAlign w:val="center"/>
          </w:tcPr>
          <w:p w14:paraId="05E794AC">
            <w:pPr>
              <w:spacing w:before="20" w:after="20" w:line="320" w:lineRule="auto"/>
              <w:jc w:val="left"/>
            </w:pPr>
            <w:r>
              <w:rPr>
                <w:rFonts w:ascii="Arial" w:hAnsi="Arial" w:eastAsia="Arial" w:cs="Arial"/>
                <w:b w:val="0"/>
                <w:bCs w:val="0"/>
                <w:sz w:val="20"/>
                <w:szCs w:val="20"/>
              </w:rPr>
              <w:t>15%</w:t>
            </w:r>
          </w:p>
        </w:tc>
        <w:tc>
          <w:tcPr>
            <w:tcW w:w="1600" w:type="dxa"/>
            <w:tcMar>
              <w:top w:w="80" w:type="dxa"/>
              <w:left w:w="120" w:type="dxa"/>
              <w:bottom w:w="80" w:type="dxa"/>
              <w:right w:w="120" w:type="dxa"/>
            </w:tcMar>
            <w:vAlign w:val="center"/>
          </w:tcPr>
          <w:p w14:paraId="5466BB34">
            <w:pPr>
              <w:spacing w:before="20" w:after="20" w:line="320" w:lineRule="auto"/>
              <w:jc w:val="left"/>
            </w:pPr>
            <w:r>
              <w:rPr>
                <w:rFonts w:ascii="Arial" w:hAnsi="Arial" w:eastAsia="Arial" w:cs="Arial"/>
                <w:b w:val="0"/>
                <w:bCs w:val="0"/>
                <w:sz w:val="20"/>
                <w:szCs w:val="20"/>
              </w:rPr>
              <w:t>12%</w:t>
            </w:r>
          </w:p>
        </w:tc>
        <w:tc>
          <w:tcPr>
            <w:tcW w:w="1000" w:type="dxa"/>
            <w:tcMar>
              <w:top w:w="80" w:type="dxa"/>
              <w:left w:w="120" w:type="dxa"/>
              <w:bottom w:w="80" w:type="dxa"/>
              <w:right w:w="120" w:type="dxa"/>
            </w:tcMar>
            <w:vAlign w:val="center"/>
          </w:tcPr>
          <w:p w14:paraId="0A0B91FA">
            <w:pPr>
              <w:spacing w:before="20" w:after="20" w:line="320" w:lineRule="auto"/>
              <w:jc w:val="left"/>
            </w:pPr>
            <w:r>
              <w:rPr>
                <w:rFonts w:ascii="Arial" w:hAnsi="Arial" w:eastAsia="Arial" w:cs="Arial"/>
                <w:b w:val="0"/>
                <w:bCs w:val="0"/>
                <w:sz w:val="20"/>
                <w:szCs w:val="20"/>
              </w:rPr>
              <w:t>-3pp</w:t>
            </w:r>
          </w:p>
        </w:tc>
        <w:tc>
          <w:tcPr>
            <w:tcW w:w="3160" w:type="dxa"/>
            <w:tcMar>
              <w:top w:w="80" w:type="dxa"/>
              <w:left w:w="120" w:type="dxa"/>
              <w:bottom w:w="80" w:type="dxa"/>
              <w:right w:w="120" w:type="dxa"/>
            </w:tcMar>
            <w:vAlign w:val="center"/>
          </w:tcPr>
          <w:p w14:paraId="186C89C8">
            <w:pPr>
              <w:spacing w:before="20" w:after="20" w:line="320" w:lineRule="auto"/>
              <w:jc w:val="left"/>
            </w:pPr>
            <w:r>
              <w:rPr>
                <w:rFonts w:ascii="Arial" w:hAnsi="Arial" w:eastAsia="Arial" w:cs="Arial"/>
                <w:b w:val="0"/>
                <w:bCs w:val="0"/>
                <w:sz w:val="20"/>
                <w:szCs w:val="20"/>
              </w:rPr>
              <w:t>结构性走弱，但保留应急流动性</w:t>
            </w:r>
          </w:p>
        </w:tc>
      </w:tr>
      <w:tr w14:paraId="3F665F23">
        <w:tc>
          <w:tcPr>
            <w:tcW w:w="2400" w:type="dxa"/>
            <w:tcMar>
              <w:top w:w="80" w:type="dxa"/>
              <w:left w:w="120" w:type="dxa"/>
              <w:bottom w:w="80" w:type="dxa"/>
              <w:right w:w="120" w:type="dxa"/>
            </w:tcMar>
            <w:vAlign w:val="center"/>
          </w:tcPr>
          <w:p w14:paraId="598D6AF5">
            <w:pPr>
              <w:spacing w:before="20" w:after="20" w:line="320" w:lineRule="auto"/>
              <w:jc w:val="left"/>
            </w:pPr>
            <w:r>
              <w:rPr>
                <w:rFonts w:ascii="Arial" w:hAnsi="Arial" w:eastAsia="Arial" w:cs="Arial"/>
                <w:b w:val="0"/>
                <w:bCs w:val="0"/>
                <w:sz w:val="20"/>
                <w:szCs w:val="20"/>
              </w:rPr>
              <w:t>美债（2–5Y）</w:t>
            </w:r>
          </w:p>
        </w:tc>
        <w:tc>
          <w:tcPr>
            <w:tcW w:w="1200" w:type="dxa"/>
            <w:tcMar>
              <w:top w:w="80" w:type="dxa"/>
              <w:left w:w="120" w:type="dxa"/>
              <w:bottom w:w="80" w:type="dxa"/>
              <w:right w:w="120" w:type="dxa"/>
            </w:tcMar>
            <w:vAlign w:val="center"/>
          </w:tcPr>
          <w:p w14:paraId="1300F257">
            <w:pPr>
              <w:spacing w:before="20" w:after="20" w:line="320" w:lineRule="auto"/>
              <w:jc w:val="left"/>
            </w:pPr>
            <w:r>
              <w:rPr>
                <w:rFonts w:ascii="Arial" w:hAnsi="Arial" w:eastAsia="Arial" w:cs="Arial"/>
                <w:b w:val="0"/>
                <w:bCs w:val="0"/>
                <w:sz w:val="20"/>
                <w:szCs w:val="20"/>
              </w:rPr>
              <w:t>20%</w:t>
            </w:r>
          </w:p>
        </w:tc>
        <w:tc>
          <w:tcPr>
            <w:tcW w:w="1600" w:type="dxa"/>
            <w:tcMar>
              <w:top w:w="80" w:type="dxa"/>
              <w:left w:w="120" w:type="dxa"/>
              <w:bottom w:w="80" w:type="dxa"/>
              <w:right w:w="120" w:type="dxa"/>
            </w:tcMar>
            <w:vAlign w:val="center"/>
          </w:tcPr>
          <w:p w14:paraId="62C3EEA6">
            <w:pPr>
              <w:spacing w:before="20" w:after="20" w:line="320" w:lineRule="auto"/>
              <w:jc w:val="left"/>
            </w:pPr>
            <w:r>
              <w:rPr>
                <w:rFonts w:ascii="Arial" w:hAnsi="Arial" w:eastAsia="Arial" w:cs="Arial"/>
                <w:b w:val="0"/>
                <w:bCs w:val="0"/>
                <w:sz w:val="20"/>
                <w:szCs w:val="20"/>
              </w:rPr>
              <w:t>22%</w:t>
            </w:r>
          </w:p>
        </w:tc>
        <w:tc>
          <w:tcPr>
            <w:tcW w:w="1000" w:type="dxa"/>
            <w:tcMar>
              <w:top w:w="80" w:type="dxa"/>
              <w:left w:w="120" w:type="dxa"/>
              <w:bottom w:w="80" w:type="dxa"/>
              <w:right w:w="120" w:type="dxa"/>
            </w:tcMar>
            <w:vAlign w:val="center"/>
          </w:tcPr>
          <w:p w14:paraId="18D31B57">
            <w:pPr>
              <w:spacing w:before="20" w:after="20" w:line="320" w:lineRule="auto"/>
              <w:jc w:val="left"/>
            </w:pPr>
            <w:r>
              <w:rPr>
                <w:rFonts w:ascii="Arial" w:hAnsi="Arial" w:eastAsia="Arial" w:cs="Arial"/>
                <w:b w:val="0"/>
                <w:bCs w:val="0"/>
                <w:sz w:val="20"/>
                <w:szCs w:val="20"/>
              </w:rPr>
              <w:t>+2pp</w:t>
            </w:r>
          </w:p>
        </w:tc>
        <w:tc>
          <w:tcPr>
            <w:tcW w:w="3160" w:type="dxa"/>
            <w:tcMar>
              <w:top w:w="80" w:type="dxa"/>
              <w:left w:w="120" w:type="dxa"/>
              <w:bottom w:w="80" w:type="dxa"/>
              <w:right w:w="120" w:type="dxa"/>
            </w:tcMar>
            <w:vAlign w:val="center"/>
          </w:tcPr>
          <w:p w14:paraId="74CD1C02">
            <w:pPr>
              <w:spacing w:before="20" w:after="20" w:line="320" w:lineRule="auto"/>
              <w:jc w:val="left"/>
            </w:pPr>
            <w:r>
              <w:rPr>
                <w:rFonts w:ascii="Arial" w:hAnsi="Arial" w:eastAsia="Arial" w:cs="Arial"/>
                <w:b w:val="0"/>
                <w:bCs w:val="0"/>
                <w:sz w:val="20"/>
                <w:szCs w:val="20"/>
              </w:rPr>
              <w:t>降息受益，久期可控</w:t>
            </w:r>
          </w:p>
        </w:tc>
      </w:tr>
      <w:tr w14:paraId="3D028406">
        <w:tc>
          <w:tcPr>
            <w:tcW w:w="2400" w:type="dxa"/>
            <w:tcMar>
              <w:top w:w="80" w:type="dxa"/>
              <w:left w:w="120" w:type="dxa"/>
              <w:bottom w:w="80" w:type="dxa"/>
              <w:right w:w="120" w:type="dxa"/>
            </w:tcMar>
            <w:vAlign w:val="center"/>
          </w:tcPr>
          <w:p w14:paraId="1167DD25">
            <w:pPr>
              <w:spacing w:before="20" w:after="20" w:line="320" w:lineRule="auto"/>
              <w:jc w:val="left"/>
            </w:pPr>
            <w:r>
              <w:rPr>
                <w:rFonts w:ascii="Arial" w:hAnsi="Arial" w:eastAsia="Arial" w:cs="Arial"/>
                <w:b w:val="0"/>
                <w:bCs w:val="0"/>
                <w:sz w:val="20"/>
                <w:szCs w:val="20"/>
              </w:rPr>
              <w:t>美债（10Y+）</w:t>
            </w:r>
          </w:p>
        </w:tc>
        <w:tc>
          <w:tcPr>
            <w:tcW w:w="1200" w:type="dxa"/>
            <w:tcMar>
              <w:top w:w="80" w:type="dxa"/>
              <w:left w:w="120" w:type="dxa"/>
              <w:bottom w:w="80" w:type="dxa"/>
              <w:right w:w="120" w:type="dxa"/>
            </w:tcMar>
            <w:vAlign w:val="center"/>
          </w:tcPr>
          <w:p w14:paraId="1B553AF3">
            <w:pPr>
              <w:spacing w:before="20" w:after="20" w:line="320" w:lineRule="auto"/>
              <w:jc w:val="left"/>
            </w:pPr>
            <w:r>
              <w:rPr>
                <w:rFonts w:ascii="Arial" w:hAnsi="Arial" w:eastAsia="Arial" w:cs="Arial"/>
                <w:b w:val="0"/>
                <w:bCs w:val="0"/>
                <w:sz w:val="20"/>
                <w:szCs w:val="20"/>
              </w:rPr>
              <w:t>5%</w:t>
            </w:r>
          </w:p>
        </w:tc>
        <w:tc>
          <w:tcPr>
            <w:tcW w:w="1600" w:type="dxa"/>
            <w:tcMar>
              <w:top w:w="80" w:type="dxa"/>
              <w:left w:w="120" w:type="dxa"/>
              <w:bottom w:w="80" w:type="dxa"/>
              <w:right w:w="120" w:type="dxa"/>
            </w:tcMar>
            <w:vAlign w:val="center"/>
          </w:tcPr>
          <w:p w14:paraId="1FE8494B">
            <w:pPr>
              <w:spacing w:before="20" w:after="20" w:line="320" w:lineRule="auto"/>
              <w:jc w:val="left"/>
            </w:pPr>
            <w:r>
              <w:rPr>
                <w:rFonts w:ascii="Arial" w:hAnsi="Arial" w:eastAsia="Arial" w:cs="Arial"/>
                <w:b w:val="0"/>
                <w:bCs w:val="0"/>
                <w:sz w:val="20"/>
                <w:szCs w:val="20"/>
              </w:rPr>
              <w:t>0%</w:t>
            </w:r>
          </w:p>
        </w:tc>
        <w:tc>
          <w:tcPr>
            <w:tcW w:w="1000" w:type="dxa"/>
            <w:tcMar>
              <w:top w:w="80" w:type="dxa"/>
              <w:left w:w="120" w:type="dxa"/>
              <w:bottom w:w="80" w:type="dxa"/>
              <w:right w:w="120" w:type="dxa"/>
            </w:tcMar>
            <w:vAlign w:val="center"/>
          </w:tcPr>
          <w:p w14:paraId="016CE7E8">
            <w:pPr>
              <w:spacing w:before="20" w:after="20" w:line="320" w:lineRule="auto"/>
              <w:jc w:val="left"/>
            </w:pPr>
            <w:r>
              <w:rPr>
                <w:rFonts w:ascii="Arial" w:hAnsi="Arial" w:eastAsia="Arial" w:cs="Arial"/>
                <w:b w:val="0"/>
                <w:bCs w:val="0"/>
                <w:sz w:val="20"/>
                <w:szCs w:val="20"/>
              </w:rPr>
              <w:t>-5pp</w:t>
            </w:r>
          </w:p>
        </w:tc>
        <w:tc>
          <w:tcPr>
            <w:tcW w:w="3160" w:type="dxa"/>
            <w:tcMar>
              <w:top w:w="80" w:type="dxa"/>
              <w:left w:w="120" w:type="dxa"/>
              <w:bottom w:w="80" w:type="dxa"/>
              <w:right w:w="120" w:type="dxa"/>
            </w:tcMar>
            <w:vAlign w:val="center"/>
          </w:tcPr>
          <w:p w14:paraId="61DBEBB0">
            <w:pPr>
              <w:spacing w:before="20" w:after="20" w:line="320" w:lineRule="auto"/>
              <w:jc w:val="left"/>
            </w:pPr>
            <w:r>
              <w:rPr>
                <w:rFonts w:ascii="Arial" w:hAnsi="Arial" w:eastAsia="Arial" w:cs="Arial"/>
                <w:b w:val="0"/>
                <w:bCs w:val="0"/>
                <w:sz w:val="20"/>
                <w:szCs w:val="20"/>
              </w:rPr>
              <w:t>久期风险系统性偏高</w:t>
            </w:r>
          </w:p>
        </w:tc>
      </w:tr>
      <w:tr w14:paraId="4767ED04">
        <w:tc>
          <w:tcPr>
            <w:tcW w:w="2400" w:type="dxa"/>
            <w:tcMar>
              <w:top w:w="80" w:type="dxa"/>
              <w:left w:w="120" w:type="dxa"/>
              <w:bottom w:w="80" w:type="dxa"/>
              <w:right w:w="120" w:type="dxa"/>
            </w:tcMar>
            <w:vAlign w:val="center"/>
          </w:tcPr>
          <w:p w14:paraId="16334AA1">
            <w:pPr>
              <w:spacing w:before="20" w:after="20" w:line="320" w:lineRule="auto"/>
              <w:jc w:val="left"/>
            </w:pPr>
            <w:r>
              <w:rPr>
                <w:rFonts w:ascii="Arial" w:hAnsi="Arial" w:eastAsia="Arial" w:cs="Arial"/>
                <w:b w:val="0"/>
                <w:bCs w:val="0"/>
                <w:sz w:val="20"/>
                <w:szCs w:val="20"/>
              </w:rPr>
              <w:t>TIPS</w:t>
            </w:r>
          </w:p>
        </w:tc>
        <w:tc>
          <w:tcPr>
            <w:tcW w:w="1200" w:type="dxa"/>
            <w:tcMar>
              <w:top w:w="80" w:type="dxa"/>
              <w:left w:w="120" w:type="dxa"/>
              <w:bottom w:w="80" w:type="dxa"/>
              <w:right w:w="120" w:type="dxa"/>
            </w:tcMar>
            <w:vAlign w:val="center"/>
          </w:tcPr>
          <w:p w14:paraId="46CB5299">
            <w:pPr>
              <w:spacing w:before="20" w:after="20" w:line="320" w:lineRule="auto"/>
              <w:jc w:val="left"/>
            </w:pPr>
            <w:r>
              <w:rPr>
                <w:rFonts w:ascii="Arial" w:hAnsi="Arial" w:eastAsia="Arial" w:cs="Arial"/>
                <w:b w:val="0"/>
                <w:bCs w:val="0"/>
                <w:sz w:val="20"/>
                <w:szCs w:val="20"/>
              </w:rPr>
              <w:t>0%</w:t>
            </w:r>
          </w:p>
        </w:tc>
        <w:tc>
          <w:tcPr>
            <w:tcW w:w="1600" w:type="dxa"/>
            <w:tcMar>
              <w:top w:w="80" w:type="dxa"/>
              <w:left w:w="120" w:type="dxa"/>
              <w:bottom w:w="80" w:type="dxa"/>
              <w:right w:w="120" w:type="dxa"/>
            </w:tcMar>
            <w:vAlign w:val="center"/>
          </w:tcPr>
          <w:p w14:paraId="0CA1D600">
            <w:pPr>
              <w:spacing w:before="20" w:after="20" w:line="320" w:lineRule="auto"/>
              <w:jc w:val="left"/>
            </w:pPr>
            <w:r>
              <w:rPr>
                <w:rFonts w:ascii="Arial" w:hAnsi="Arial" w:eastAsia="Arial" w:cs="Arial"/>
                <w:b w:val="0"/>
                <w:bCs w:val="0"/>
                <w:sz w:val="20"/>
                <w:szCs w:val="20"/>
              </w:rPr>
              <w:t>5%</w:t>
            </w:r>
          </w:p>
        </w:tc>
        <w:tc>
          <w:tcPr>
            <w:tcW w:w="1000" w:type="dxa"/>
            <w:tcMar>
              <w:top w:w="80" w:type="dxa"/>
              <w:left w:w="120" w:type="dxa"/>
              <w:bottom w:w="80" w:type="dxa"/>
              <w:right w:w="120" w:type="dxa"/>
            </w:tcMar>
            <w:vAlign w:val="center"/>
          </w:tcPr>
          <w:p w14:paraId="4F191B14">
            <w:pPr>
              <w:spacing w:before="20" w:after="20" w:line="320" w:lineRule="auto"/>
              <w:jc w:val="left"/>
            </w:pPr>
            <w:r>
              <w:rPr>
                <w:rFonts w:ascii="Arial" w:hAnsi="Arial" w:eastAsia="Arial" w:cs="Arial"/>
                <w:b w:val="0"/>
                <w:bCs w:val="0"/>
                <w:sz w:val="20"/>
                <w:szCs w:val="20"/>
              </w:rPr>
              <w:t>+5pp</w:t>
            </w:r>
          </w:p>
        </w:tc>
        <w:tc>
          <w:tcPr>
            <w:tcW w:w="3160" w:type="dxa"/>
            <w:tcMar>
              <w:top w:w="80" w:type="dxa"/>
              <w:left w:w="120" w:type="dxa"/>
              <w:bottom w:w="80" w:type="dxa"/>
              <w:right w:w="120" w:type="dxa"/>
            </w:tcMar>
            <w:vAlign w:val="center"/>
          </w:tcPr>
          <w:p w14:paraId="4474A770">
            <w:pPr>
              <w:spacing w:before="20" w:after="20" w:line="320" w:lineRule="auto"/>
              <w:jc w:val="left"/>
            </w:pPr>
            <w:r>
              <w:rPr>
                <w:rFonts w:ascii="Arial" w:hAnsi="Arial" w:eastAsia="Arial" w:cs="Arial"/>
                <w:b w:val="0"/>
                <w:bCs w:val="0"/>
                <w:sz w:val="20"/>
                <w:szCs w:val="20"/>
              </w:rPr>
              <w:t>对抗受阻情景实际利率下行陷阱</w:t>
            </w:r>
          </w:p>
        </w:tc>
      </w:tr>
      <w:tr w14:paraId="4F0EA34F">
        <w:tc>
          <w:tcPr>
            <w:tcW w:w="2400" w:type="dxa"/>
            <w:tcMar>
              <w:top w:w="80" w:type="dxa"/>
              <w:left w:w="120" w:type="dxa"/>
              <w:bottom w:w="80" w:type="dxa"/>
              <w:right w:w="120" w:type="dxa"/>
            </w:tcMar>
            <w:vAlign w:val="center"/>
          </w:tcPr>
          <w:p w14:paraId="5AEFC896">
            <w:pPr>
              <w:spacing w:before="20" w:after="20" w:line="320" w:lineRule="auto"/>
              <w:jc w:val="left"/>
            </w:pPr>
            <w:r>
              <w:rPr>
                <w:rFonts w:ascii="Arial" w:hAnsi="Arial" w:eastAsia="Arial" w:cs="Arial"/>
                <w:b w:val="0"/>
                <w:bCs w:val="0"/>
                <w:sz w:val="20"/>
                <w:szCs w:val="20"/>
              </w:rPr>
              <w:t>美股</w:t>
            </w:r>
          </w:p>
        </w:tc>
        <w:tc>
          <w:tcPr>
            <w:tcW w:w="1200" w:type="dxa"/>
            <w:tcMar>
              <w:top w:w="80" w:type="dxa"/>
              <w:left w:w="120" w:type="dxa"/>
              <w:bottom w:w="80" w:type="dxa"/>
              <w:right w:w="120" w:type="dxa"/>
            </w:tcMar>
            <w:vAlign w:val="center"/>
          </w:tcPr>
          <w:p w14:paraId="203D9E20">
            <w:pPr>
              <w:spacing w:before="20" w:after="20" w:line="320" w:lineRule="auto"/>
              <w:jc w:val="left"/>
            </w:pPr>
            <w:r>
              <w:rPr>
                <w:rFonts w:ascii="Arial" w:hAnsi="Arial" w:eastAsia="Arial" w:cs="Arial"/>
                <w:b w:val="0"/>
                <w:bCs w:val="0"/>
                <w:sz w:val="20"/>
                <w:szCs w:val="20"/>
              </w:rPr>
              <w:t>45%</w:t>
            </w:r>
          </w:p>
        </w:tc>
        <w:tc>
          <w:tcPr>
            <w:tcW w:w="1600" w:type="dxa"/>
            <w:tcMar>
              <w:top w:w="80" w:type="dxa"/>
              <w:left w:w="120" w:type="dxa"/>
              <w:bottom w:w="80" w:type="dxa"/>
              <w:right w:w="120" w:type="dxa"/>
            </w:tcMar>
            <w:vAlign w:val="center"/>
          </w:tcPr>
          <w:p w14:paraId="4EA231A8">
            <w:pPr>
              <w:spacing w:before="20" w:after="20" w:line="320" w:lineRule="auto"/>
              <w:jc w:val="left"/>
            </w:pPr>
            <w:r>
              <w:rPr>
                <w:rFonts w:ascii="Arial" w:hAnsi="Arial" w:eastAsia="Arial" w:cs="Arial"/>
                <w:b w:val="0"/>
                <w:bCs w:val="0"/>
                <w:sz w:val="20"/>
                <w:szCs w:val="20"/>
              </w:rPr>
              <w:t>38%</w:t>
            </w:r>
          </w:p>
        </w:tc>
        <w:tc>
          <w:tcPr>
            <w:tcW w:w="1000" w:type="dxa"/>
            <w:tcMar>
              <w:top w:w="80" w:type="dxa"/>
              <w:left w:w="120" w:type="dxa"/>
              <w:bottom w:w="80" w:type="dxa"/>
              <w:right w:w="120" w:type="dxa"/>
            </w:tcMar>
            <w:vAlign w:val="center"/>
          </w:tcPr>
          <w:p w14:paraId="6FB2F59F">
            <w:pPr>
              <w:spacing w:before="20" w:after="20" w:line="320" w:lineRule="auto"/>
              <w:jc w:val="left"/>
            </w:pPr>
            <w:r>
              <w:rPr>
                <w:rFonts w:ascii="Arial" w:hAnsi="Arial" w:eastAsia="Arial" w:cs="Arial"/>
                <w:b w:val="0"/>
                <w:bCs w:val="0"/>
                <w:sz w:val="20"/>
                <w:szCs w:val="20"/>
              </w:rPr>
              <w:t>-7pp</w:t>
            </w:r>
          </w:p>
        </w:tc>
        <w:tc>
          <w:tcPr>
            <w:tcW w:w="3160" w:type="dxa"/>
            <w:tcMar>
              <w:top w:w="80" w:type="dxa"/>
              <w:left w:w="120" w:type="dxa"/>
              <w:bottom w:w="80" w:type="dxa"/>
              <w:right w:w="120" w:type="dxa"/>
            </w:tcMar>
            <w:vAlign w:val="center"/>
          </w:tcPr>
          <w:p w14:paraId="395D87CF">
            <w:pPr>
              <w:spacing w:before="20" w:after="20" w:line="320" w:lineRule="auto"/>
              <w:jc w:val="left"/>
            </w:pPr>
            <w:r>
              <w:rPr>
                <w:rFonts w:ascii="Arial" w:hAnsi="Arial" w:eastAsia="Arial" w:cs="Arial"/>
                <w:b w:val="0"/>
                <w:bCs w:val="0"/>
                <w:sz w:val="20"/>
                <w:szCs w:val="20"/>
              </w:rPr>
              <w:t>估值压力 + Fed Put 弱化</w:t>
            </w:r>
          </w:p>
        </w:tc>
      </w:tr>
      <w:tr w14:paraId="0A078B4A">
        <w:tc>
          <w:tcPr>
            <w:tcW w:w="2400" w:type="dxa"/>
            <w:tcMar>
              <w:top w:w="80" w:type="dxa"/>
              <w:left w:w="120" w:type="dxa"/>
              <w:bottom w:w="80" w:type="dxa"/>
              <w:right w:w="120" w:type="dxa"/>
            </w:tcMar>
            <w:vAlign w:val="center"/>
          </w:tcPr>
          <w:p w14:paraId="4E468A63">
            <w:pPr>
              <w:spacing w:before="20" w:after="20" w:line="320" w:lineRule="auto"/>
              <w:jc w:val="left"/>
            </w:pPr>
            <w:r>
              <w:rPr>
                <w:rFonts w:ascii="Arial" w:hAnsi="Arial" w:eastAsia="Arial" w:cs="Arial"/>
                <w:b w:val="0"/>
                <w:bCs w:val="0"/>
                <w:sz w:val="20"/>
                <w:szCs w:val="20"/>
              </w:rPr>
              <w:t>非美权益（新兴+欧日）</w:t>
            </w:r>
          </w:p>
        </w:tc>
        <w:tc>
          <w:tcPr>
            <w:tcW w:w="1200" w:type="dxa"/>
            <w:tcMar>
              <w:top w:w="80" w:type="dxa"/>
              <w:left w:w="120" w:type="dxa"/>
              <w:bottom w:w="80" w:type="dxa"/>
              <w:right w:w="120" w:type="dxa"/>
            </w:tcMar>
            <w:vAlign w:val="center"/>
          </w:tcPr>
          <w:p w14:paraId="745BE4F1">
            <w:pPr>
              <w:spacing w:before="20" w:after="20" w:line="320" w:lineRule="auto"/>
              <w:jc w:val="left"/>
            </w:pPr>
            <w:r>
              <w:rPr>
                <w:rFonts w:ascii="Arial" w:hAnsi="Arial" w:eastAsia="Arial" w:cs="Arial"/>
                <w:b w:val="0"/>
                <w:bCs w:val="0"/>
                <w:sz w:val="20"/>
                <w:szCs w:val="20"/>
              </w:rPr>
              <w:t>5%</w:t>
            </w:r>
          </w:p>
        </w:tc>
        <w:tc>
          <w:tcPr>
            <w:tcW w:w="1600" w:type="dxa"/>
            <w:tcMar>
              <w:top w:w="80" w:type="dxa"/>
              <w:left w:w="120" w:type="dxa"/>
              <w:bottom w:w="80" w:type="dxa"/>
              <w:right w:w="120" w:type="dxa"/>
            </w:tcMar>
            <w:vAlign w:val="center"/>
          </w:tcPr>
          <w:p w14:paraId="6A63B42E">
            <w:pPr>
              <w:spacing w:before="20" w:after="20" w:line="320" w:lineRule="auto"/>
              <w:jc w:val="left"/>
            </w:pPr>
            <w:r>
              <w:rPr>
                <w:rFonts w:ascii="Arial" w:hAnsi="Arial" w:eastAsia="Arial" w:cs="Arial"/>
                <w:b w:val="0"/>
                <w:bCs w:val="0"/>
                <w:sz w:val="20"/>
                <w:szCs w:val="20"/>
              </w:rPr>
              <w:t>5%</w:t>
            </w:r>
          </w:p>
        </w:tc>
        <w:tc>
          <w:tcPr>
            <w:tcW w:w="1000" w:type="dxa"/>
            <w:tcMar>
              <w:top w:w="80" w:type="dxa"/>
              <w:left w:w="120" w:type="dxa"/>
              <w:bottom w:w="80" w:type="dxa"/>
              <w:right w:w="120" w:type="dxa"/>
            </w:tcMar>
            <w:vAlign w:val="center"/>
          </w:tcPr>
          <w:p w14:paraId="131DC0EA">
            <w:pPr>
              <w:spacing w:before="20" w:after="20" w:line="320" w:lineRule="auto"/>
              <w:jc w:val="left"/>
            </w:pPr>
            <w:r>
              <w:rPr>
                <w:rFonts w:ascii="Arial" w:hAnsi="Arial" w:eastAsia="Arial" w:cs="Arial"/>
                <w:b w:val="0"/>
                <w:bCs w:val="0"/>
                <w:sz w:val="20"/>
                <w:szCs w:val="20"/>
              </w:rPr>
              <w:t>0pp</w:t>
            </w:r>
          </w:p>
        </w:tc>
        <w:tc>
          <w:tcPr>
            <w:tcW w:w="3160" w:type="dxa"/>
            <w:tcMar>
              <w:top w:w="80" w:type="dxa"/>
              <w:left w:w="120" w:type="dxa"/>
              <w:bottom w:w="80" w:type="dxa"/>
              <w:right w:w="120" w:type="dxa"/>
            </w:tcMar>
            <w:vAlign w:val="center"/>
          </w:tcPr>
          <w:p w14:paraId="3A43FF78">
            <w:pPr>
              <w:spacing w:before="20" w:after="20" w:line="320" w:lineRule="auto"/>
              <w:jc w:val="left"/>
            </w:pPr>
            <w:r>
              <w:rPr>
                <w:rFonts w:ascii="Arial" w:hAnsi="Arial" w:eastAsia="Arial" w:cs="Arial"/>
                <w:b w:val="0"/>
                <w:bCs w:val="0"/>
                <w:sz w:val="20"/>
                <w:szCs w:val="20"/>
              </w:rPr>
              <w:t>保留多元化</w:t>
            </w:r>
          </w:p>
        </w:tc>
      </w:tr>
    </w:tbl>
    <w:p w14:paraId="174FC1AC">
      <w:pPr>
        <w:spacing w:before="120" w:after="0"/>
      </w:pPr>
    </w:p>
    <w:p w14:paraId="610D179B">
      <w:pPr>
        <w:pStyle w:val="2"/>
        <w:pageBreakBefore/>
      </w:pPr>
      <w:r>
        <w:rPr>
          <w:rFonts w:ascii="Arial" w:hAnsi="Arial" w:eastAsia="Arial" w:cs="Arial"/>
          <w:b/>
          <w:bCs/>
          <w:sz w:val="32"/>
          <w:szCs w:val="32"/>
        </w:rPr>
        <w:t>7. 关键观察指标与触发条件</w:t>
      </w:r>
    </w:p>
    <w:p w14:paraId="54257D3C">
      <w:pPr>
        <w:spacing w:before="60" w:after="60" w:line="360" w:lineRule="auto"/>
      </w:pPr>
      <w:r>
        <w:rPr>
          <w:rFonts w:ascii="Arial" w:hAnsi="Arial" w:eastAsia="Arial" w:cs="Arial"/>
          <w:sz w:val="22"/>
          <w:szCs w:val="22"/>
        </w:rPr>
        <w:t>以下指标锚定在 InflationMonitor IPS 框架的 P/E/D/F/N 五分项上：</w:t>
      </w:r>
    </w:p>
    <w:p w14:paraId="09CB231C">
      <w:pPr>
        <w:pStyle w:val="3"/>
      </w:pPr>
      <w:r>
        <w:rPr>
          <w:rFonts w:ascii="Arial" w:hAnsi="Arial" w:eastAsia="Arial" w:cs="Arial"/>
          <w:b/>
          <w:bCs/>
          <w:sz w:val="26"/>
          <w:szCs w:val="26"/>
        </w:rPr>
        <w:t>7.1 P（价格）</w:t>
      </w:r>
    </w:p>
    <w:p w14:paraId="2F2DD4B2">
      <w:pPr>
        <w:pStyle w:val="16"/>
        <w:numPr>
          <w:ilvl w:val="0"/>
          <w:numId w:val="2"/>
        </w:numPr>
        <w:spacing w:before="40" w:after="40" w:line="340" w:lineRule="auto"/>
      </w:pPr>
      <w:r>
        <w:rPr>
          <w:rFonts w:ascii="Arial" w:hAnsi="Arial" w:eastAsia="Arial" w:cs="Arial"/>
          <w:sz w:val="22"/>
          <w:szCs w:val="22"/>
        </w:rPr>
        <w:t>Core PCE 3m 年化：破 3% 持续 3 个月 → 沃什框架「信誉重建」受挑战；破 2.5% 持续 6 个月 → 降息路径确立。</w:t>
      </w:r>
    </w:p>
    <w:p w14:paraId="77B3EE0C">
      <w:pPr>
        <w:pStyle w:val="16"/>
        <w:numPr>
          <w:ilvl w:val="0"/>
          <w:numId w:val="2"/>
        </w:numPr>
        <w:spacing w:before="40" w:after="40" w:line="340" w:lineRule="auto"/>
      </w:pPr>
      <w:r>
        <w:rPr>
          <w:rFonts w:ascii="Arial" w:hAnsi="Arial" w:eastAsia="Arial" w:cs="Arial"/>
          <w:sz w:val="22"/>
          <w:szCs w:val="22"/>
        </w:rPr>
        <w:t>Truflation 实时：领先 CPI 约 1 个月，Truflation &lt; 2.3% 持续 6 周 → 短期通胀压力明显缓解。</w:t>
      </w:r>
    </w:p>
    <w:p w14:paraId="31B12667">
      <w:pPr>
        <w:pStyle w:val="16"/>
        <w:numPr>
          <w:ilvl w:val="0"/>
          <w:numId w:val="2"/>
        </w:numPr>
        <w:spacing w:before="40" w:after="40" w:line="340" w:lineRule="auto"/>
      </w:pPr>
      <w:r>
        <w:rPr>
          <w:rFonts w:ascii="Arial" w:hAnsi="Arial" w:eastAsia="Arial" w:cs="Arial"/>
          <w:sz w:val="22"/>
          <w:szCs w:val="22"/>
        </w:rPr>
        <w:t>服务 ex-shelter 3m 年化：最粘性分项，破 3% → 首次降息确认。</w:t>
      </w:r>
    </w:p>
    <w:p w14:paraId="740BBBA5">
      <w:pPr>
        <w:pStyle w:val="3"/>
      </w:pPr>
      <w:r>
        <w:rPr>
          <w:rFonts w:ascii="Arial" w:hAnsi="Arial" w:eastAsia="Arial" w:cs="Arial"/>
          <w:b/>
          <w:bCs/>
          <w:sz w:val="26"/>
          <w:szCs w:val="26"/>
        </w:rPr>
        <w:t>7.2 E（预期）</w:t>
      </w:r>
    </w:p>
    <w:p w14:paraId="1B9A6E59">
      <w:pPr>
        <w:pStyle w:val="16"/>
        <w:numPr>
          <w:ilvl w:val="0"/>
          <w:numId w:val="2"/>
        </w:numPr>
        <w:spacing w:before="40" w:after="40" w:line="340" w:lineRule="auto"/>
      </w:pPr>
      <w:r>
        <w:rPr>
          <w:rFonts w:ascii="Arial" w:hAnsi="Arial" w:eastAsia="Arial" w:cs="Arial"/>
          <w:sz w:val="22"/>
          <w:szCs w:val="22"/>
        </w:rPr>
        <w:t>5Y5Y Forward BEI：维持 2.2–2.5% → 预期锚定；破 2.6% 或跌破 2.0% → 信誉危机。</w:t>
      </w:r>
    </w:p>
    <w:p w14:paraId="3E41D317">
      <w:pPr>
        <w:pStyle w:val="16"/>
        <w:numPr>
          <w:ilvl w:val="0"/>
          <w:numId w:val="2"/>
        </w:numPr>
        <w:spacing w:before="40" w:after="40" w:line="340" w:lineRule="auto"/>
      </w:pPr>
      <w:r>
        <w:rPr>
          <w:rFonts w:ascii="Arial" w:hAnsi="Arial" w:eastAsia="Arial" w:cs="Arial"/>
          <w:sz w:val="22"/>
          <w:szCs w:val="22"/>
        </w:rPr>
        <w:t>Michigan 1Y：稳定在 2.5–3.5% 区间 → 家庭端锚定；持续 &gt; 4% → 政策信誉警报。</w:t>
      </w:r>
    </w:p>
    <w:p w14:paraId="111929C1">
      <w:pPr>
        <w:pStyle w:val="3"/>
      </w:pPr>
      <w:r>
        <w:rPr>
          <w:rFonts w:ascii="Arial" w:hAnsi="Arial" w:eastAsia="Arial" w:cs="Arial"/>
          <w:b/>
          <w:bCs/>
          <w:sz w:val="26"/>
          <w:szCs w:val="26"/>
        </w:rPr>
        <w:t>7.3 D（驱动）</w:t>
      </w:r>
    </w:p>
    <w:p w14:paraId="6AA4C879">
      <w:pPr>
        <w:pStyle w:val="16"/>
        <w:numPr>
          <w:ilvl w:val="0"/>
          <w:numId w:val="2"/>
        </w:numPr>
        <w:spacing w:before="40" w:after="40" w:line="340" w:lineRule="auto"/>
      </w:pPr>
      <w:r>
        <w:rPr>
          <w:rFonts w:ascii="Arial" w:hAnsi="Arial" w:eastAsia="Arial" w:cs="Arial"/>
          <w:sz w:val="22"/>
          <w:szCs w:val="22"/>
        </w:rPr>
        <w:t>WTI × GSCPI 复合指数：供给侧通胀压力合成指标，&gt; 1.5σ → 激活滞胀预警。</w:t>
      </w:r>
    </w:p>
    <w:p w14:paraId="150B7960">
      <w:pPr>
        <w:pStyle w:val="16"/>
        <w:numPr>
          <w:ilvl w:val="0"/>
          <w:numId w:val="2"/>
        </w:numPr>
        <w:spacing w:before="40" w:after="40" w:line="340" w:lineRule="auto"/>
      </w:pPr>
      <w:r>
        <w:rPr>
          <w:rFonts w:ascii="Arial" w:hAnsi="Arial" w:eastAsia="Arial" w:cs="Arial"/>
          <w:sz w:val="22"/>
          <w:szCs w:val="22"/>
        </w:rPr>
        <w:t>BLS 劳动生产率：年化 &gt; 2% → AI 红利兑现；&lt; 1% → 沃什「AI 乐观论」受挑战。</w:t>
      </w:r>
    </w:p>
    <w:p w14:paraId="5C8D3130">
      <w:pPr>
        <w:pStyle w:val="3"/>
      </w:pPr>
      <w:r>
        <w:rPr>
          <w:rFonts w:ascii="Arial" w:hAnsi="Arial" w:eastAsia="Arial" w:cs="Arial"/>
          <w:b/>
          <w:bCs/>
          <w:sz w:val="26"/>
          <w:szCs w:val="26"/>
        </w:rPr>
        <w:t>7.4 F（财政）</w:t>
      </w:r>
    </w:p>
    <w:p w14:paraId="516213CC">
      <w:pPr>
        <w:pStyle w:val="16"/>
        <w:numPr>
          <w:ilvl w:val="0"/>
          <w:numId w:val="2"/>
        </w:numPr>
        <w:spacing w:before="40" w:after="40" w:line="340" w:lineRule="auto"/>
      </w:pPr>
      <w:r>
        <w:rPr>
          <w:rFonts w:ascii="Arial" w:hAnsi="Arial" w:eastAsia="Arial" w:cs="Arial"/>
          <w:sz w:val="22"/>
          <w:szCs w:val="22"/>
        </w:rPr>
        <w:t>赤字/GDP 12M 滚动：持续 &gt; 6% → QT 执行压力加大；回落至 4–5% → 沃什「倒逼财政纪律」逻辑成立。</w:t>
      </w:r>
    </w:p>
    <w:p w14:paraId="33DE5909">
      <w:pPr>
        <w:pStyle w:val="16"/>
        <w:numPr>
          <w:ilvl w:val="0"/>
          <w:numId w:val="2"/>
        </w:numPr>
        <w:spacing w:before="40" w:after="40" w:line="340" w:lineRule="auto"/>
      </w:pPr>
      <w:r>
        <w:rPr>
          <w:rFonts w:ascii="Arial" w:hAnsi="Arial" w:eastAsia="Arial" w:cs="Arial"/>
          <w:sz w:val="22"/>
          <w:szCs w:val="22"/>
        </w:rPr>
        <w:t>TGA 余额：突然大幅释放 → 隐性财政脉冲，可能抵消 QT 效应。</w:t>
      </w:r>
    </w:p>
    <w:p w14:paraId="1ED2494B">
      <w:pPr>
        <w:pStyle w:val="16"/>
        <w:numPr>
          <w:ilvl w:val="0"/>
          <w:numId w:val="2"/>
        </w:numPr>
        <w:spacing w:before="40" w:after="40" w:line="340" w:lineRule="auto"/>
      </w:pPr>
      <w:r>
        <w:rPr>
          <w:rFonts w:ascii="Arial" w:hAnsi="Arial" w:eastAsia="Arial" w:cs="Arial"/>
          <w:sz w:val="22"/>
          <w:szCs w:val="22"/>
        </w:rPr>
        <w:t>10Y 国债拍卖尾差：&gt; 3bp 持续 3 次 → 长端供给承受力达到极限，激进情景预警。</w:t>
      </w:r>
    </w:p>
    <w:p w14:paraId="112BDB63">
      <w:pPr>
        <w:pStyle w:val="3"/>
      </w:pPr>
      <w:r>
        <w:rPr>
          <w:rFonts w:ascii="Arial" w:hAnsi="Arial" w:eastAsia="Arial" w:cs="Arial"/>
          <w:b/>
          <w:bCs/>
          <w:sz w:val="26"/>
          <w:szCs w:val="26"/>
        </w:rPr>
        <w:t>7.5 N（叙事 / 政策反射）</w:t>
      </w:r>
    </w:p>
    <w:p w14:paraId="7D37F2B7">
      <w:pPr>
        <w:pStyle w:val="16"/>
        <w:numPr>
          <w:ilvl w:val="0"/>
          <w:numId w:val="2"/>
        </w:numPr>
        <w:spacing w:before="40" w:after="40" w:line="340" w:lineRule="auto"/>
      </w:pPr>
      <w:r>
        <w:rPr>
          <w:rFonts w:ascii="Arial" w:hAnsi="Arial" w:eastAsia="Arial" w:cs="Arial"/>
          <w:sz w:val="22"/>
          <w:szCs w:val="22"/>
        </w:rPr>
        <w:t>FOMC 鹰鸽 MA5：维持在 +0.5 以上 → 鹰派框架确立；回落至 0 以下 → 框架松动。</w:t>
      </w:r>
    </w:p>
    <w:p w14:paraId="5D49973F">
      <w:pPr>
        <w:pStyle w:val="16"/>
        <w:numPr>
          <w:ilvl w:val="0"/>
          <w:numId w:val="2"/>
        </w:numPr>
        <w:spacing w:before="40" w:after="40" w:line="340" w:lineRule="auto"/>
      </w:pPr>
      <w:r>
        <w:rPr>
          <w:rFonts w:ascii="Arial" w:hAnsi="Arial" w:eastAsia="Arial" w:cs="Arial"/>
          <w:sz w:val="22"/>
          <w:szCs w:val="22"/>
        </w:rPr>
        <w:t>CME FedWatch 2026 年降息次数：定价 3–4 次 → 沃什路径符合市场预期；&gt; 5 次 → 市场预期过鸽。</w:t>
      </w:r>
    </w:p>
    <w:p w14:paraId="4056AC4C">
      <w:pPr>
        <w:pStyle w:val="16"/>
        <w:numPr>
          <w:ilvl w:val="0"/>
          <w:numId w:val="2"/>
        </w:numPr>
        <w:spacing w:before="40" w:after="40" w:line="340" w:lineRule="auto"/>
      </w:pPr>
      <w:r>
        <w:rPr>
          <w:rFonts w:ascii="Arial" w:hAnsi="Arial" w:eastAsia="Arial" w:cs="Arial"/>
          <w:sz w:val="22"/>
          <w:szCs w:val="22"/>
        </w:rPr>
        <w:t>QT 月度缩减规模：启动时每月 $250 亿 → 目标 $600 亿/月 内。</w:t>
      </w:r>
    </w:p>
    <w:p w14:paraId="44DEB92C">
      <w:pPr>
        <w:pStyle w:val="16"/>
        <w:numPr>
          <w:ilvl w:val="0"/>
          <w:numId w:val="2"/>
        </w:numPr>
        <w:spacing w:before="40" w:after="40" w:line="340" w:lineRule="auto"/>
      </w:pPr>
      <w:r>
        <w:rPr>
          <w:rFonts w:ascii="Arial" w:hAnsi="Arial" w:eastAsia="Arial" w:cs="Arial"/>
          <w:sz w:val="22"/>
          <w:szCs w:val="22"/>
        </w:rPr>
        <w:t>MBS 占总资产比例：从当前 31% 降至 25% 以下 → QT 框架按设计推进。</w:t>
      </w:r>
    </w:p>
    <w:p w14:paraId="60A43D77">
      <w:pPr>
        <w:pStyle w:val="3"/>
      </w:pPr>
      <w:r>
        <w:rPr>
          <w:rFonts w:ascii="Arial" w:hAnsi="Arial" w:eastAsia="Arial" w:cs="Arial"/>
          <w:b/>
          <w:bCs/>
          <w:sz w:val="26"/>
          <w:szCs w:val="26"/>
        </w:rPr>
        <w:t>7.6 沃什专属观察点</w:t>
      </w:r>
    </w:p>
    <w:p w14:paraId="162F9851">
      <w:pPr>
        <w:pStyle w:val="16"/>
        <w:numPr>
          <w:ilvl w:val="0"/>
          <w:numId w:val="2"/>
        </w:numPr>
        <w:spacing w:before="40" w:after="40" w:line="340" w:lineRule="auto"/>
      </w:pPr>
      <w:r>
        <w:rPr>
          <w:rFonts w:ascii="Arial" w:hAnsi="Arial" w:eastAsia="Arial" w:cs="Arial"/>
          <w:sz w:val="22"/>
          <w:szCs w:val="22"/>
        </w:rPr>
        <w:t>沃什公开演讲频率 + 内容：每月 &gt; 2 次演讲且「信誉」、「独立性」关键词高频 → 框架在加固。</w:t>
      </w:r>
    </w:p>
    <w:p w14:paraId="7742431D">
      <w:pPr>
        <w:pStyle w:val="16"/>
        <w:numPr>
          <w:ilvl w:val="0"/>
          <w:numId w:val="2"/>
        </w:numPr>
        <w:spacing w:before="40" w:after="40" w:line="340" w:lineRule="auto"/>
      </w:pPr>
      <w:r>
        <w:rPr>
          <w:rFonts w:ascii="Arial" w:hAnsi="Arial" w:eastAsia="Arial" w:cs="Arial"/>
          <w:sz w:val="22"/>
          <w:szCs w:val="22"/>
        </w:rPr>
        <w:t>点阵图权重：若 SEP 发布时点阵图被「降级展示」（如不再放在前页）→ 沃什具体改革在兑现。</w:t>
      </w:r>
    </w:p>
    <w:p w14:paraId="457F1B80">
      <w:pPr>
        <w:pStyle w:val="16"/>
        <w:numPr>
          <w:ilvl w:val="0"/>
          <w:numId w:val="2"/>
        </w:numPr>
        <w:spacing w:before="40" w:after="40" w:line="340" w:lineRule="auto"/>
      </w:pPr>
      <w:r>
        <w:rPr>
          <w:rFonts w:ascii="Arial" w:hAnsi="Arial" w:eastAsia="Arial" w:cs="Arial"/>
          <w:sz w:val="22"/>
          <w:szCs w:val="22"/>
        </w:rPr>
        <w:t>与财政部协调声明：出现明确「分工」表述（货币 vs 财政责任）→ 制度安排推进。</w:t>
      </w:r>
    </w:p>
    <w:p w14:paraId="28832D32">
      <w:pPr>
        <w:pStyle w:val="2"/>
        <w:pageBreakBefore/>
      </w:pPr>
      <w:r>
        <w:rPr>
          <w:rFonts w:ascii="Arial" w:hAnsi="Arial" w:eastAsia="Arial" w:cs="Arial"/>
          <w:b/>
          <w:bCs/>
          <w:sz w:val="32"/>
          <w:szCs w:val="32"/>
        </w:rPr>
        <w:t>8. 风险、边界与假设失败路径</w:t>
      </w:r>
    </w:p>
    <w:p w14:paraId="67913D0A">
      <w:pPr>
        <w:pStyle w:val="3"/>
      </w:pPr>
      <w:r>
        <w:rPr>
          <w:rFonts w:ascii="Arial" w:hAnsi="Arial" w:eastAsia="Arial" w:cs="Arial"/>
          <w:b/>
          <w:bCs/>
          <w:sz w:val="26"/>
          <w:szCs w:val="26"/>
        </w:rPr>
        <w:t>8.1 沃什未能上任</w:t>
      </w:r>
    </w:p>
    <w:p w14:paraId="64BDBF6F">
      <w:pPr>
        <w:spacing w:before="60" w:after="60" w:line="360" w:lineRule="auto"/>
      </w:pPr>
      <w:r>
        <w:rPr>
          <w:rFonts w:ascii="Arial" w:hAnsi="Arial" w:eastAsia="Arial" w:cs="Arial"/>
          <w:sz w:val="22"/>
          <w:szCs w:val="22"/>
        </w:rPr>
        <w:t>Trump 可能临时换人（候选人还有 Warsh、Waller、Hassett 等）。若提名被撤，框架连续性受损——但 Waller 和 Hassett 在关键议题上与沃什立场高度重合（QT 鹰派、AIT 批评），仅具体节奏可能差异。对四资产方向影响小于 20%。</w:t>
      </w:r>
    </w:p>
    <w:p w14:paraId="09EF58B6">
      <w:pPr>
        <w:pStyle w:val="3"/>
      </w:pPr>
      <w:r>
        <w:rPr>
          <w:rFonts w:ascii="Arial" w:hAnsi="Arial" w:eastAsia="Arial" w:cs="Arial"/>
          <w:b/>
          <w:bCs/>
          <w:sz w:val="26"/>
          <w:szCs w:val="26"/>
        </w:rPr>
        <w:t>8.2 财政主导（Fiscal Dominance）硬约束</w:t>
      </w:r>
    </w:p>
    <w:p w14:paraId="643404E4">
      <w:pPr>
        <w:spacing w:before="60" w:after="60" w:line="360" w:lineRule="auto"/>
      </w:pPr>
      <w:r>
        <w:rPr>
          <w:rFonts w:ascii="Arial" w:hAnsi="Arial" w:eastAsia="Arial" w:cs="Arial"/>
          <w:sz w:val="22"/>
          <w:szCs w:val="22"/>
        </w:rPr>
        <w:t>若赤字持续 &gt; 6%，国会无法在未来 3 年内压缩至 &lt; 4%，则 QT 几乎必然受阻。这是最大的单一风险。触发信号：</w:t>
      </w:r>
    </w:p>
    <w:p w14:paraId="3CFDD554">
      <w:pPr>
        <w:pStyle w:val="16"/>
        <w:numPr>
          <w:ilvl w:val="0"/>
          <w:numId w:val="2"/>
        </w:numPr>
        <w:spacing w:before="40" w:after="40" w:line="340" w:lineRule="auto"/>
      </w:pPr>
      <w:r>
        <w:rPr>
          <w:rFonts w:ascii="Arial" w:hAnsi="Arial" w:eastAsia="Arial" w:cs="Arial"/>
          <w:sz w:val="22"/>
          <w:szCs w:val="22"/>
        </w:rPr>
        <w:t>10Y 拍卖尾差持续 &gt; 3bp；</w:t>
      </w:r>
    </w:p>
    <w:p w14:paraId="2709E272">
      <w:pPr>
        <w:pStyle w:val="16"/>
        <w:numPr>
          <w:ilvl w:val="0"/>
          <w:numId w:val="2"/>
        </w:numPr>
        <w:spacing w:before="40" w:after="40" w:line="340" w:lineRule="auto"/>
      </w:pPr>
      <w:r>
        <w:rPr>
          <w:rFonts w:ascii="Arial" w:hAnsi="Arial" w:eastAsia="Arial" w:cs="Arial"/>
          <w:sz w:val="22"/>
          <w:szCs w:val="22"/>
        </w:rPr>
        <w:t>外国央行美债持有占比加速下降；</w:t>
      </w:r>
    </w:p>
    <w:p w14:paraId="592E3EF4">
      <w:pPr>
        <w:pStyle w:val="16"/>
        <w:numPr>
          <w:ilvl w:val="0"/>
          <w:numId w:val="2"/>
        </w:numPr>
        <w:spacing w:before="40" w:after="40" w:line="340" w:lineRule="auto"/>
      </w:pPr>
      <w:r>
        <w:rPr>
          <w:rFonts w:ascii="Arial" w:hAnsi="Arial" w:eastAsia="Arial" w:cs="Arial"/>
          <w:sz w:val="22"/>
          <w:szCs w:val="22"/>
        </w:rPr>
        <w:t>美联储公开讨论「Yield Curve Control」（YCC）——若出现此讨论，沃什框架即宣告失败。</w:t>
      </w:r>
    </w:p>
    <w:p w14:paraId="4A443884">
      <w:pPr>
        <w:pStyle w:val="3"/>
      </w:pPr>
      <w:r>
        <w:rPr>
          <w:rFonts w:ascii="Arial" w:hAnsi="Arial" w:eastAsia="Arial" w:cs="Arial"/>
          <w:b/>
          <w:bCs/>
          <w:sz w:val="26"/>
          <w:szCs w:val="26"/>
        </w:rPr>
        <w:t>8.3 地缘冲击</w:t>
      </w:r>
    </w:p>
    <w:p w14:paraId="06004F5F">
      <w:pPr>
        <w:spacing w:before="60" w:after="60" w:line="360" w:lineRule="auto"/>
      </w:pPr>
      <w:r>
        <w:rPr>
          <w:rFonts w:ascii="Arial" w:hAnsi="Arial" w:eastAsia="Arial" w:cs="Arial"/>
          <w:sz w:val="22"/>
          <w:szCs w:val="22"/>
        </w:rPr>
        <w:t>油价 &gt; $110 持续 6 个月 / 中东 / 台海热战 / 供应链二次冲击（如半导体 / 稀土 / 医药）。任何一项都会：</w:t>
      </w:r>
    </w:p>
    <w:p w14:paraId="181675F8">
      <w:pPr>
        <w:pStyle w:val="16"/>
        <w:numPr>
          <w:ilvl w:val="0"/>
          <w:numId w:val="2"/>
        </w:numPr>
        <w:spacing w:before="40" w:after="40" w:line="340" w:lineRule="auto"/>
      </w:pPr>
      <w:r>
        <w:rPr>
          <w:rFonts w:ascii="Arial" w:hAnsi="Arial" w:eastAsia="Arial" w:cs="Arial"/>
          <w:sz w:val="22"/>
          <w:szCs w:val="22"/>
        </w:rPr>
        <w:t>推高通胀 → 削弱降息空间；</w:t>
      </w:r>
    </w:p>
    <w:p w14:paraId="118ADFDD">
      <w:pPr>
        <w:pStyle w:val="16"/>
        <w:numPr>
          <w:ilvl w:val="0"/>
          <w:numId w:val="2"/>
        </w:numPr>
        <w:spacing w:before="40" w:after="40" w:line="340" w:lineRule="auto"/>
      </w:pPr>
      <w:r>
        <w:rPr>
          <w:rFonts w:ascii="Arial" w:hAnsi="Arial" w:eastAsia="Arial" w:cs="Arial"/>
          <w:sz w:val="22"/>
          <w:szCs w:val="22"/>
        </w:rPr>
        <w:t>强化避险需求 → 短期美元和美债反弹；</w:t>
      </w:r>
    </w:p>
    <w:p w14:paraId="4B9DC949">
      <w:pPr>
        <w:pStyle w:val="16"/>
        <w:numPr>
          <w:ilvl w:val="0"/>
          <w:numId w:val="2"/>
        </w:numPr>
        <w:spacing w:before="40" w:after="40" w:line="340" w:lineRule="auto"/>
      </w:pPr>
      <w:r>
        <w:rPr>
          <w:rFonts w:ascii="Arial" w:hAnsi="Arial" w:eastAsia="Arial" w:cs="Arial"/>
          <w:sz w:val="22"/>
          <w:szCs w:val="22"/>
        </w:rPr>
        <w:t>但：黄金在地缘冲击中受益最大，其多头确定性被进一步强化。</w:t>
      </w:r>
    </w:p>
    <w:p w14:paraId="4EA04F7F">
      <w:pPr>
        <w:pStyle w:val="3"/>
      </w:pPr>
      <w:r>
        <w:rPr>
          <w:rFonts w:ascii="Arial" w:hAnsi="Arial" w:eastAsia="Arial" w:cs="Arial"/>
          <w:b/>
          <w:bCs/>
          <w:sz w:val="26"/>
          <w:szCs w:val="26"/>
        </w:rPr>
        <w:t>8.4 AI 宏观幅度落空</w:t>
      </w:r>
    </w:p>
    <w:p w14:paraId="6F90FBB6">
      <w:pPr>
        <w:spacing w:before="60" w:after="60" w:line="360" w:lineRule="auto"/>
      </w:pPr>
      <w:r>
        <w:rPr>
          <w:rFonts w:ascii="Arial" w:hAnsi="Arial" w:eastAsia="Arial" w:cs="Arial"/>
          <w:sz w:val="22"/>
          <w:szCs w:val="22"/>
        </w:rPr>
        <w:t>若 AI 未能在 2026–2028 年兑现可测量的生产率红利（BLS 年化劳动生产率 &lt; 1.5%），则沃什「AI 乐观论」证伪，D 分项的结构性通缩因子消失。后果：</w:t>
      </w:r>
    </w:p>
    <w:p w14:paraId="34065C28">
      <w:pPr>
        <w:pStyle w:val="16"/>
        <w:numPr>
          <w:ilvl w:val="0"/>
          <w:numId w:val="2"/>
        </w:numPr>
        <w:spacing w:before="40" w:after="40" w:line="340" w:lineRule="auto"/>
      </w:pPr>
      <w:r>
        <w:rPr>
          <w:rFonts w:ascii="Arial" w:hAnsi="Arial" w:eastAsia="Arial" w:cs="Arial"/>
          <w:sz w:val="22"/>
          <w:szCs w:val="22"/>
        </w:rPr>
        <w:t>通胀粘性持续，降息空间被压缩；</w:t>
      </w:r>
    </w:p>
    <w:p w14:paraId="2D240795">
      <w:pPr>
        <w:pStyle w:val="16"/>
        <w:numPr>
          <w:ilvl w:val="0"/>
          <w:numId w:val="2"/>
        </w:numPr>
        <w:spacing w:before="40" w:after="40" w:line="340" w:lineRule="auto"/>
      </w:pPr>
      <w:r>
        <w:rPr>
          <w:rFonts w:ascii="Arial" w:hAnsi="Arial" w:eastAsia="Arial" w:cs="Arial"/>
          <w:sz w:val="22"/>
          <w:szCs w:val="22"/>
        </w:rPr>
        <w:t>科技股估值承压；</w:t>
      </w:r>
    </w:p>
    <w:p w14:paraId="66368261">
      <w:pPr>
        <w:pStyle w:val="16"/>
        <w:numPr>
          <w:ilvl w:val="0"/>
          <w:numId w:val="2"/>
        </w:numPr>
        <w:spacing w:before="40" w:after="40" w:line="340" w:lineRule="auto"/>
      </w:pPr>
      <w:r>
        <w:rPr>
          <w:rFonts w:ascii="Arial" w:hAnsi="Arial" w:eastAsia="Arial" w:cs="Arial"/>
          <w:sz w:val="22"/>
          <w:szCs w:val="22"/>
        </w:rPr>
        <w:t>基础情景概率从 55% 下修至 35–40%。</w:t>
      </w:r>
    </w:p>
    <w:p w14:paraId="1F2E64D5">
      <w:pPr>
        <w:pStyle w:val="3"/>
      </w:pPr>
      <w:r>
        <w:rPr>
          <w:rFonts w:ascii="Arial" w:hAnsi="Arial" w:eastAsia="Arial" w:cs="Arial"/>
          <w:b/>
          <w:bCs/>
          <w:sz w:val="26"/>
          <w:szCs w:val="26"/>
        </w:rPr>
        <w:t>8.5 美元信誉拐点</w:t>
      </w:r>
    </w:p>
    <w:p w14:paraId="7FD03E94">
      <w:pPr>
        <w:spacing w:before="60" w:after="60" w:line="360" w:lineRule="auto"/>
      </w:pPr>
      <w:r>
        <w:rPr>
          <w:rFonts w:ascii="Arial" w:hAnsi="Arial" w:eastAsia="Arial" w:cs="Arial"/>
          <w:sz w:val="22"/>
          <w:szCs w:val="22"/>
        </w:rPr>
        <w:t>如去美元化超预期加速（BRICS 支付体系突破、沙特放弃石油美元、中国人民币国际化加速），则：</w:t>
      </w:r>
    </w:p>
    <w:p w14:paraId="75205730">
      <w:pPr>
        <w:pStyle w:val="16"/>
        <w:numPr>
          <w:ilvl w:val="0"/>
          <w:numId w:val="2"/>
        </w:numPr>
        <w:spacing w:before="40" w:after="40" w:line="340" w:lineRule="auto"/>
      </w:pPr>
      <w:r>
        <w:rPr>
          <w:rFonts w:ascii="Arial" w:hAnsi="Arial" w:eastAsia="Arial" w:cs="Arial"/>
          <w:sz w:val="22"/>
          <w:szCs w:val="22"/>
        </w:rPr>
        <w:t>黄金大幅超预期（$5000+ 不再科幻）；</w:t>
      </w:r>
    </w:p>
    <w:p w14:paraId="3E621994">
      <w:pPr>
        <w:pStyle w:val="16"/>
        <w:numPr>
          <w:ilvl w:val="0"/>
          <w:numId w:val="2"/>
        </w:numPr>
        <w:spacing w:before="40" w:after="40" w:line="340" w:lineRule="auto"/>
      </w:pPr>
      <w:r>
        <w:rPr>
          <w:rFonts w:ascii="Arial" w:hAnsi="Arial" w:eastAsia="Arial" w:cs="Arial"/>
          <w:sz w:val="22"/>
          <w:szCs w:val="22"/>
        </w:rPr>
        <w:t>美元 DXY 可能跌破 90；</w:t>
      </w:r>
    </w:p>
    <w:p w14:paraId="3416B28E">
      <w:pPr>
        <w:pStyle w:val="16"/>
        <w:numPr>
          <w:ilvl w:val="0"/>
          <w:numId w:val="2"/>
        </w:numPr>
        <w:spacing w:before="40" w:after="40" w:line="340" w:lineRule="auto"/>
      </w:pPr>
      <w:r>
        <w:rPr>
          <w:rFonts w:ascii="Arial" w:hAnsi="Arial" w:eastAsia="Arial" w:cs="Arial"/>
          <w:sz w:val="22"/>
          <w:szCs w:val="22"/>
        </w:rPr>
        <w:t>美债需求结构性收缩，10Y 可能破 5.5%；</w:t>
      </w:r>
    </w:p>
    <w:p w14:paraId="3F416E32">
      <w:pPr>
        <w:pStyle w:val="16"/>
        <w:numPr>
          <w:ilvl w:val="0"/>
          <w:numId w:val="2"/>
        </w:numPr>
        <w:spacing w:before="40" w:after="40" w:line="340" w:lineRule="auto"/>
      </w:pPr>
      <w:r>
        <w:rPr>
          <w:rFonts w:ascii="Arial" w:hAnsi="Arial" w:eastAsia="Arial" w:cs="Arial"/>
          <w:sz w:val="22"/>
          <w:szCs w:val="22"/>
        </w:rPr>
        <w:t>美股短期受益于美元贬值但中期受长端利率冲击。</w:t>
      </w:r>
    </w:p>
    <w:p w14:paraId="106AE8E5">
      <w:pPr>
        <w:spacing w:before="60" w:after="60" w:line="360" w:lineRule="auto"/>
      </w:pPr>
      <w:r>
        <w:rPr>
          <w:rFonts w:ascii="Arial" w:hAnsi="Arial" w:eastAsia="Arial" w:cs="Arial"/>
          <w:sz w:val="22"/>
          <w:szCs w:val="22"/>
        </w:rPr>
        <w:t>这是低概率、高影响的尾部风险，但也是沃什框架「货币主权回归」逻辑的必然副作用——你无法单方面宣告货币主权而不削弱其全球地位。</w:t>
      </w:r>
    </w:p>
    <w:p w14:paraId="46672759">
      <w:pPr>
        <w:pStyle w:val="2"/>
        <w:pageBreakBefore/>
      </w:pPr>
      <w:r>
        <w:rPr>
          <w:rFonts w:ascii="Arial" w:hAnsi="Arial" w:eastAsia="Arial" w:cs="Arial"/>
          <w:b/>
          <w:bCs/>
          <w:sz w:val="32"/>
          <w:szCs w:val="32"/>
        </w:rPr>
        <w:t>9. 结论与投资组合建议</w:t>
      </w:r>
    </w:p>
    <w:p w14:paraId="1C9C7B5A">
      <w:pPr>
        <w:pStyle w:val="3"/>
      </w:pPr>
      <w:r>
        <w:rPr>
          <w:rFonts w:ascii="Arial" w:hAnsi="Arial" w:eastAsia="Arial" w:cs="Arial"/>
          <w:b/>
          <w:bCs/>
          <w:sz w:val="26"/>
          <w:szCs w:val="26"/>
        </w:rPr>
        <w:t>9.1 三个核心结论</w:t>
      </w:r>
    </w:p>
    <w:p w14:paraId="4BEFB31C">
      <w:pPr>
        <w:spacing w:before="60" w:after="60" w:line="360" w:lineRule="auto"/>
      </w:pPr>
      <w:r>
        <w:rPr>
          <w:rFonts w:ascii="Arial" w:hAnsi="Arial" w:eastAsia="Arial" w:cs="Arial"/>
          <w:b/>
          <w:bCs/>
          <w:sz w:val="22"/>
          <w:szCs w:val="22"/>
        </w:rPr>
        <w:t>结论一：沃什框架是一次货币政策范式的回归，而非调整。</w:t>
      </w:r>
    </w:p>
    <w:p w14:paraId="3350AAF7">
      <w:pPr>
        <w:spacing w:before="60" w:after="60" w:line="360" w:lineRule="auto"/>
      </w:pPr>
      <w:r>
        <w:rPr>
          <w:rFonts w:ascii="Arial" w:hAnsi="Arial" w:eastAsia="Arial" w:cs="Arial"/>
          <w:sz w:val="22"/>
          <w:szCs w:val="22"/>
        </w:rPr>
        <w:t>从沃尔克到格林斯潘到伯南克，美联储的边界在不断扩张；沃什试图把这个扩张方向完整地倒回去——从全球央行退回美国央行，从金融稳定退回通胀锚定，从 QE 常态退回 QE 应急。这种回归的阻力在于 46 年积累的制度惯性和资产价格中隐含的 Fed Put 期权。范式转换的代价必然出现在资产价格上。</w:t>
      </w:r>
    </w:p>
    <w:p w14:paraId="6E77AE15">
      <w:pPr>
        <w:spacing w:before="60" w:after="60" w:line="360" w:lineRule="auto"/>
      </w:pPr>
      <w:r>
        <w:rPr>
          <w:rFonts w:ascii="Arial" w:hAnsi="Arial" w:eastAsia="Arial" w:cs="Arial"/>
          <w:b/>
          <w:bCs/>
          <w:sz w:val="22"/>
          <w:szCs w:val="22"/>
        </w:rPr>
        <w:t>结论二：黄金是沃什框架下风险回报最优的资产。</w:t>
      </w:r>
    </w:p>
    <w:p w14:paraId="6C72C31A">
      <w:pPr>
        <w:spacing w:before="60" w:after="60" w:line="360" w:lineRule="auto"/>
      </w:pPr>
      <w:r>
        <w:rPr>
          <w:rFonts w:ascii="Arial" w:hAnsi="Arial" w:eastAsia="Arial" w:cs="Arial"/>
          <w:sz w:val="22"/>
          <w:szCs w:val="22"/>
        </w:rPr>
        <w:t>三情景概率加权下，黄金在 1–3 年时间维度的回报确定性最高、回撤保护最强、尾部风险最受益。基础情景温和上行，激进情景短跌中涨，受阻情景最大受益。黄金的核心逻辑不是「反通胀」，而是「反美元信誉扩张」——沃什框架恰恰是对美元信誉的主动紧缩。</w:t>
      </w:r>
    </w:p>
    <w:p w14:paraId="74A81D2A">
      <w:pPr>
        <w:spacing w:before="60" w:after="60" w:line="360" w:lineRule="auto"/>
      </w:pPr>
      <w:r>
        <w:rPr>
          <w:rFonts w:ascii="Arial" w:hAnsi="Arial" w:eastAsia="Arial" w:cs="Arial"/>
          <w:b/>
          <w:bCs/>
          <w:sz w:val="22"/>
          <w:szCs w:val="22"/>
        </w:rPr>
        <w:t>结论三：久期风险系统性偏高，「牛短熊长」是美股中长期常态。</w:t>
      </w:r>
    </w:p>
    <w:p w14:paraId="1C67D627">
      <w:pPr>
        <w:spacing w:before="60" w:after="60" w:line="360" w:lineRule="auto"/>
      </w:pPr>
      <w:r>
        <w:rPr>
          <w:rFonts w:ascii="Arial" w:hAnsi="Arial" w:eastAsia="Arial" w:cs="Arial"/>
          <w:sz w:val="22"/>
          <w:szCs w:val="22"/>
        </w:rPr>
        <w:t>QT 压制贴现率下行空间、Fed Put 弱化抬高波动率中枢，这两个因素共同导致长久期资产（长端美债、REITs、高估值成长股、小盘股）的风险溢价需要结构性抬升。这不是一次周期性回撤，而是定价基础的重构。</w:t>
      </w:r>
    </w:p>
    <w:p w14:paraId="25E09B22">
      <w:pPr>
        <w:pStyle w:val="3"/>
      </w:pPr>
      <w:r>
        <w:rPr>
          <w:rFonts w:ascii="Arial" w:hAnsi="Arial" w:eastAsia="Arial" w:cs="Arial"/>
          <w:b/>
          <w:bCs/>
          <w:sz w:val="26"/>
          <w:szCs w:val="26"/>
        </w:rPr>
        <w:t>9.2 投资组合建议（中长期 / 1–3 年）</w:t>
      </w:r>
    </w:p>
    <w:p w14:paraId="311CC245">
      <w:pPr>
        <w:spacing w:before="60" w:after="60" w:line="360" w:lineRule="auto"/>
      </w:pPr>
      <w:r>
        <w:rPr>
          <w:rFonts w:ascii="Arial" w:hAnsi="Arial" w:eastAsia="Arial" w:cs="Arial"/>
          <w:b/>
          <w:bCs/>
          <w:sz w:val="22"/>
          <w:szCs w:val="22"/>
        </w:rPr>
        <w:t>核心超配：</w:t>
      </w:r>
    </w:p>
    <w:p w14:paraId="1E4021EF">
      <w:pPr>
        <w:pStyle w:val="16"/>
        <w:numPr>
          <w:ilvl w:val="0"/>
          <w:numId w:val="2"/>
        </w:numPr>
        <w:spacing w:before="40" w:after="40" w:line="340" w:lineRule="auto"/>
      </w:pPr>
      <w:r>
        <w:rPr>
          <w:rFonts w:ascii="Arial" w:hAnsi="Arial" w:eastAsia="Arial" w:cs="Arial"/>
          <w:sz w:val="22"/>
          <w:szCs w:val="22"/>
        </w:rPr>
        <w:t>黄金（+8pp）：三情景均多头，配置为首选。</w:t>
      </w:r>
    </w:p>
    <w:p w14:paraId="7D9DDA97">
      <w:pPr>
        <w:pStyle w:val="16"/>
        <w:numPr>
          <w:ilvl w:val="0"/>
          <w:numId w:val="2"/>
        </w:numPr>
        <w:spacing w:before="40" w:after="40" w:line="340" w:lineRule="auto"/>
      </w:pPr>
      <w:r>
        <w:rPr>
          <w:rFonts w:ascii="Arial" w:hAnsi="Arial" w:eastAsia="Arial" w:cs="Arial"/>
          <w:sz w:val="22"/>
          <w:szCs w:val="22"/>
        </w:rPr>
        <w:t>大盘科技（AI 受益）：超配 5pp，但分散至 Hyperscaler / 基础设施 / Enabler 三层。</w:t>
      </w:r>
    </w:p>
    <w:p w14:paraId="6E36FA66">
      <w:pPr>
        <w:pStyle w:val="16"/>
        <w:numPr>
          <w:ilvl w:val="0"/>
          <w:numId w:val="2"/>
        </w:numPr>
        <w:spacing w:before="40" w:after="40" w:line="340" w:lineRule="auto"/>
      </w:pPr>
      <w:r>
        <w:rPr>
          <w:rFonts w:ascii="Arial" w:hAnsi="Arial" w:eastAsia="Arial" w:cs="Arial"/>
          <w:sz w:val="22"/>
          <w:szCs w:val="22"/>
        </w:rPr>
        <w:t>TIPS（+5pp）：对抗受阻情景的实际利率下行陷阱。</w:t>
      </w:r>
    </w:p>
    <w:p w14:paraId="2D840CC3">
      <w:pPr>
        <w:spacing w:before="60" w:after="60" w:line="360" w:lineRule="auto"/>
      </w:pPr>
      <w:r>
        <w:rPr>
          <w:rFonts w:ascii="Arial" w:hAnsi="Arial" w:eastAsia="Arial" w:cs="Arial"/>
          <w:b/>
          <w:bCs/>
          <w:sz w:val="22"/>
          <w:szCs w:val="22"/>
        </w:rPr>
        <w:t>核心低配：</w:t>
      </w:r>
    </w:p>
    <w:p w14:paraId="7C0DD9F0">
      <w:pPr>
        <w:pStyle w:val="16"/>
        <w:numPr>
          <w:ilvl w:val="0"/>
          <w:numId w:val="2"/>
        </w:numPr>
        <w:spacing w:before="40" w:after="40" w:line="340" w:lineRule="auto"/>
      </w:pPr>
      <w:r>
        <w:rPr>
          <w:rFonts w:ascii="Arial" w:hAnsi="Arial" w:eastAsia="Arial" w:cs="Arial"/>
          <w:sz w:val="22"/>
          <w:szCs w:val="22"/>
        </w:rPr>
        <w:t>长端美债（-5pp）：久期风险系统性偏高。</w:t>
      </w:r>
    </w:p>
    <w:p w14:paraId="37FE5B8E">
      <w:pPr>
        <w:pStyle w:val="16"/>
        <w:numPr>
          <w:ilvl w:val="0"/>
          <w:numId w:val="2"/>
        </w:numPr>
        <w:spacing w:before="40" w:after="40" w:line="340" w:lineRule="auto"/>
      </w:pPr>
      <w:r>
        <w:rPr>
          <w:rFonts w:ascii="Arial" w:hAnsi="Arial" w:eastAsia="Arial" w:cs="Arial"/>
          <w:sz w:val="22"/>
          <w:szCs w:val="22"/>
        </w:rPr>
        <w:t>利率敏感消费 + 小盘 + REITs（合计 -3pp）：Fed Put 依赖度高，估值调整压力最大。</w:t>
      </w:r>
    </w:p>
    <w:p w14:paraId="2DAFD241">
      <w:pPr>
        <w:pStyle w:val="16"/>
        <w:numPr>
          <w:ilvl w:val="0"/>
          <w:numId w:val="2"/>
        </w:numPr>
        <w:spacing w:before="40" w:after="40" w:line="340" w:lineRule="auto"/>
      </w:pPr>
      <w:r>
        <w:rPr>
          <w:rFonts w:ascii="Arial" w:hAnsi="Arial" w:eastAsia="Arial" w:cs="Arial"/>
          <w:sz w:val="22"/>
          <w:szCs w:val="22"/>
        </w:rPr>
        <w:t>美元现金（-3pp）：结构性走弱，但保留应急流动性。</w:t>
      </w:r>
    </w:p>
    <w:p w14:paraId="63839D99">
      <w:pPr>
        <w:spacing w:before="60" w:after="60" w:line="360" w:lineRule="auto"/>
      </w:pPr>
      <w:r>
        <w:rPr>
          <w:rFonts w:ascii="Arial" w:hAnsi="Arial" w:eastAsia="Arial" w:cs="Arial"/>
          <w:b/>
          <w:bCs/>
          <w:sz w:val="22"/>
          <w:szCs w:val="22"/>
        </w:rPr>
        <w:t>保留中性：</w:t>
      </w:r>
    </w:p>
    <w:p w14:paraId="134F9FB8">
      <w:pPr>
        <w:pStyle w:val="16"/>
        <w:numPr>
          <w:ilvl w:val="0"/>
          <w:numId w:val="2"/>
        </w:numPr>
        <w:spacing w:before="40" w:after="40" w:line="340" w:lineRule="auto"/>
      </w:pPr>
      <w:r>
        <w:rPr>
          <w:rFonts w:ascii="Arial" w:hAnsi="Arial" w:eastAsia="Arial" w:cs="Arial"/>
          <w:sz w:val="22"/>
          <w:szCs w:val="22"/>
        </w:rPr>
        <w:t>2–5Y 美债（+2pp）：受益降息，久期可控。</w:t>
      </w:r>
    </w:p>
    <w:p w14:paraId="4A0C0E6A">
      <w:pPr>
        <w:pStyle w:val="16"/>
        <w:numPr>
          <w:ilvl w:val="0"/>
          <w:numId w:val="2"/>
        </w:numPr>
        <w:spacing w:before="40" w:after="40" w:line="340" w:lineRule="auto"/>
      </w:pPr>
      <w:r>
        <w:rPr>
          <w:rFonts w:ascii="Arial" w:hAnsi="Arial" w:eastAsia="Arial" w:cs="Arial"/>
          <w:sz w:val="22"/>
          <w:szCs w:val="22"/>
        </w:rPr>
        <w:t>美股大盘（轻度低配 -4pp）：分化大于 Beta。</w:t>
      </w:r>
    </w:p>
    <w:p w14:paraId="37DEE5F2">
      <w:pPr>
        <w:pStyle w:val="16"/>
        <w:numPr>
          <w:ilvl w:val="0"/>
          <w:numId w:val="2"/>
        </w:numPr>
        <w:spacing w:before="40" w:after="40" w:line="340" w:lineRule="auto"/>
      </w:pPr>
      <w:r>
        <w:rPr>
          <w:rFonts w:ascii="Arial" w:hAnsi="Arial" w:eastAsia="Arial" w:cs="Arial"/>
          <w:sz w:val="22"/>
          <w:szCs w:val="22"/>
        </w:rPr>
        <w:t>非美权益（0）：保留多元化，密切观察人民币 + 黄金储备国。</w:t>
      </w:r>
    </w:p>
    <w:p w14:paraId="16294D33">
      <w:pPr>
        <w:pStyle w:val="3"/>
      </w:pPr>
      <w:r>
        <w:rPr>
          <w:rFonts w:ascii="Arial" w:hAnsi="Arial" w:eastAsia="Arial" w:cs="Arial"/>
          <w:b/>
          <w:bCs/>
          <w:sz w:val="26"/>
          <w:szCs w:val="26"/>
        </w:rPr>
        <w:t>9.3 InflationMonitor IPS 框架的持续价值</w:t>
      </w:r>
    </w:p>
    <w:p w14:paraId="5CBDEA55">
      <w:pPr>
        <w:spacing w:before="60" w:after="60" w:line="360" w:lineRule="auto"/>
      </w:pPr>
      <w:r>
        <w:rPr>
          <w:rFonts w:ascii="Arial" w:hAnsi="Arial" w:eastAsia="Arial" w:cs="Arial"/>
          <w:sz w:val="22"/>
          <w:szCs w:val="22"/>
        </w:rPr>
        <w:t>沃什改革是一个 18–36 个月的渐进过程。在这个过程中，IPS 因子模型的五分项提供了连续的政策兑现度读数：</w:t>
      </w:r>
    </w:p>
    <w:p w14:paraId="480273CF">
      <w:pPr>
        <w:pStyle w:val="16"/>
        <w:numPr>
          <w:ilvl w:val="0"/>
          <w:numId w:val="2"/>
        </w:numPr>
        <w:spacing w:before="40" w:after="40" w:line="340" w:lineRule="auto"/>
      </w:pPr>
      <w:r>
        <w:rPr>
          <w:rFonts w:ascii="Arial" w:hAnsi="Arial" w:eastAsia="Arial" w:cs="Arial"/>
          <w:sz w:val="22"/>
          <w:szCs w:val="22"/>
        </w:rPr>
        <w:t>N 分项最先响应（鹰鸽指数、QT 声明、演讲关键词），作为先行指标；</w:t>
      </w:r>
    </w:p>
    <w:p w14:paraId="51D1CFC4">
      <w:pPr>
        <w:pStyle w:val="16"/>
        <w:numPr>
          <w:ilvl w:val="0"/>
          <w:numId w:val="2"/>
        </w:numPr>
        <w:spacing w:before="40" w:after="40" w:line="340" w:lineRule="auto"/>
      </w:pPr>
      <w:r>
        <w:rPr>
          <w:rFonts w:ascii="Arial" w:hAnsi="Arial" w:eastAsia="Arial" w:cs="Arial"/>
          <w:sz w:val="22"/>
          <w:szCs w:val="22"/>
        </w:rPr>
        <w:t>F 分项是最大的制约变量（赤字 / TGA / 拍卖尾差），作为政策可行性指标；</w:t>
      </w:r>
    </w:p>
    <w:p w14:paraId="3C98E742">
      <w:pPr>
        <w:pStyle w:val="16"/>
        <w:numPr>
          <w:ilvl w:val="0"/>
          <w:numId w:val="2"/>
        </w:numPr>
        <w:spacing w:before="40" w:after="40" w:line="340" w:lineRule="auto"/>
      </w:pPr>
      <w:r>
        <w:rPr>
          <w:rFonts w:ascii="Arial" w:hAnsi="Arial" w:eastAsia="Arial" w:cs="Arial"/>
          <w:sz w:val="22"/>
          <w:szCs w:val="22"/>
        </w:rPr>
        <w:t>D 分项通过 AI 生产率读数反映沃什「长期供给侧乐观」的证伪/证实；</w:t>
      </w:r>
    </w:p>
    <w:p w14:paraId="52D26C15">
      <w:pPr>
        <w:pStyle w:val="16"/>
        <w:numPr>
          <w:ilvl w:val="0"/>
          <w:numId w:val="2"/>
        </w:numPr>
        <w:spacing w:before="40" w:after="40" w:line="340" w:lineRule="auto"/>
      </w:pPr>
      <w:r>
        <w:rPr>
          <w:rFonts w:ascii="Arial" w:hAnsi="Arial" w:eastAsia="Arial" w:cs="Arial"/>
          <w:sz w:val="22"/>
          <w:szCs w:val="22"/>
        </w:rPr>
        <w:t>P 分项的中长期锚定状态反映框架成效；</w:t>
      </w:r>
    </w:p>
    <w:p w14:paraId="5D30E37E">
      <w:pPr>
        <w:pStyle w:val="16"/>
        <w:numPr>
          <w:ilvl w:val="0"/>
          <w:numId w:val="2"/>
        </w:numPr>
        <w:spacing w:before="40" w:after="40" w:line="340" w:lineRule="auto"/>
      </w:pPr>
      <w:r>
        <w:rPr>
          <w:rFonts w:ascii="Arial" w:hAnsi="Arial" w:eastAsia="Arial" w:cs="Arial"/>
          <w:sz w:val="22"/>
          <w:szCs w:val="22"/>
        </w:rPr>
        <w:t>E 分项提供最终的政策信誉裁决。</w:t>
      </w:r>
    </w:p>
    <w:p w14:paraId="29674419">
      <w:pPr>
        <w:spacing w:before="60" w:after="60" w:line="360" w:lineRule="auto"/>
      </w:pPr>
      <w:r>
        <w:rPr>
          <w:rFonts w:ascii="Arial" w:hAnsi="Arial" w:eastAsia="Arial" w:cs="Arial"/>
          <w:b/>
          <w:bCs/>
          <w:sz w:val="22"/>
          <w:szCs w:val="22"/>
        </w:rPr>
        <w:t>建议的监测节奏：</w:t>
      </w:r>
    </w:p>
    <w:p w14:paraId="22C7BF30">
      <w:pPr>
        <w:pStyle w:val="16"/>
        <w:numPr>
          <w:ilvl w:val="0"/>
          <w:numId w:val="2"/>
        </w:numPr>
        <w:spacing w:before="40" w:after="40" w:line="340" w:lineRule="auto"/>
      </w:pPr>
      <w:r>
        <w:rPr>
          <w:rFonts w:ascii="Arial" w:hAnsi="Arial" w:eastAsia="Arial" w:cs="Arial"/>
          <w:sz w:val="22"/>
          <w:szCs w:val="22"/>
        </w:rPr>
        <w:t>日度：N 分项（鹰鸽指数 + FedWatch）；</w:t>
      </w:r>
    </w:p>
    <w:p w14:paraId="1174BE47">
      <w:pPr>
        <w:pStyle w:val="16"/>
        <w:numPr>
          <w:ilvl w:val="0"/>
          <w:numId w:val="2"/>
        </w:numPr>
        <w:spacing w:before="40" w:after="40" w:line="340" w:lineRule="auto"/>
      </w:pPr>
      <w:r>
        <w:rPr>
          <w:rFonts w:ascii="Arial" w:hAnsi="Arial" w:eastAsia="Arial" w:cs="Arial"/>
          <w:sz w:val="22"/>
          <w:szCs w:val="22"/>
        </w:rPr>
        <w:t>周度：F 分项（TGA + 国债拍卖）；</w:t>
      </w:r>
    </w:p>
    <w:p w14:paraId="792F06A3">
      <w:pPr>
        <w:pStyle w:val="16"/>
        <w:numPr>
          <w:ilvl w:val="0"/>
          <w:numId w:val="2"/>
        </w:numPr>
        <w:spacing w:before="40" w:after="40" w:line="340" w:lineRule="auto"/>
      </w:pPr>
      <w:r>
        <w:rPr>
          <w:rFonts w:ascii="Arial" w:hAnsi="Arial" w:eastAsia="Arial" w:cs="Arial"/>
          <w:sz w:val="22"/>
          <w:szCs w:val="22"/>
        </w:rPr>
        <w:t>月度：P 分项（Core PCE + Truflation）；</w:t>
      </w:r>
    </w:p>
    <w:p w14:paraId="146D4C9A">
      <w:pPr>
        <w:pStyle w:val="16"/>
        <w:numPr>
          <w:ilvl w:val="0"/>
          <w:numId w:val="2"/>
        </w:numPr>
        <w:spacing w:before="40" w:after="40" w:line="340" w:lineRule="auto"/>
      </w:pPr>
      <w:r>
        <w:rPr>
          <w:rFonts w:ascii="Arial" w:hAnsi="Arial" w:eastAsia="Arial" w:cs="Arial"/>
          <w:sz w:val="22"/>
          <w:szCs w:val="22"/>
        </w:rPr>
        <w:t>季度：E 分项（5Y5Y BEI + Michigan）；</w:t>
      </w:r>
    </w:p>
    <w:p w14:paraId="4FDAD890">
      <w:pPr>
        <w:pStyle w:val="16"/>
        <w:numPr>
          <w:ilvl w:val="0"/>
          <w:numId w:val="2"/>
        </w:numPr>
        <w:spacing w:before="40" w:after="40" w:line="340" w:lineRule="auto"/>
      </w:pPr>
      <w:r>
        <w:rPr>
          <w:rFonts w:ascii="Arial" w:hAnsi="Arial" w:eastAsia="Arial" w:cs="Arial"/>
          <w:sz w:val="22"/>
          <w:szCs w:val="22"/>
        </w:rPr>
        <w:t>年度：D 分项（AI 生产率读数）。</w:t>
      </w:r>
    </w:p>
    <w:p w14:paraId="755BA3FB">
      <w:pPr>
        <w:spacing w:before="60" w:after="60" w:line="360" w:lineRule="auto"/>
      </w:pPr>
      <w:r>
        <w:rPr>
          <w:rFonts w:ascii="Arial" w:hAnsi="Arial" w:eastAsia="Arial" w:cs="Arial"/>
          <w:sz w:val="22"/>
          <w:szCs w:val="22"/>
        </w:rPr>
        <w:t>IPS 评分的中长期中枢预计从当前 57–62 区间系统性下移至 50–55 区间，对应的通胀体制从「粘性通胀」过渡到「温和通胀偏紧」。这个下移本身，就是沃什框架兑现的量化结果。</w:t>
      </w:r>
    </w:p>
    <w:p w14:paraId="140A24A9">
      <w:pPr>
        <w:pStyle w:val="2"/>
        <w:pageBreakBefore/>
      </w:pPr>
      <w:r>
        <w:rPr>
          <w:rFonts w:ascii="Arial" w:hAnsi="Arial" w:eastAsia="Arial" w:cs="Arial"/>
          <w:b/>
          <w:bCs/>
          <w:sz w:val="32"/>
          <w:szCs w:val="32"/>
        </w:rPr>
        <w:t>附录：术语对照表</w:t>
      </w:r>
    </w:p>
    <w:tbl>
      <w:tblPr>
        <w:tblStyle w:val="11"/>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400"/>
        <w:gridCol w:w="3600"/>
        <w:gridCol w:w="4360"/>
      </w:tblGrid>
      <w:tr w14:paraId="2CD2DBC5">
        <w:trPr>
          <w:tblHeader/>
        </w:trPr>
        <w:tc>
          <w:tcPr>
            <w:tcW w:w="1400" w:type="dxa"/>
            <w:shd w:val="clear" w:color="auto" w:fill="1F3864"/>
            <w:tcMar>
              <w:top w:w="80" w:type="dxa"/>
              <w:left w:w="120" w:type="dxa"/>
              <w:bottom w:w="80" w:type="dxa"/>
              <w:right w:w="120" w:type="dxa"/>
            </w:tcMar>
            <w:vAlign w:val="center"/>
          </w:tcPr>
          <w:p w14:paraId="7F7641CA">
            <w:pPr>
              <w:spacing w:before="20" w:after="20" w:line="320" w:lineRule="auto"/>
              <w:jc w:val="center"/>
            </w:pPr>
            <w:r>
              <w:rPr>
                <w:rFonts w:ascii="Arial" w:hAnsi="Arial" w:eastAsia="Arial" w:cs="Arial"/>
                <w:b/>
                <w:bCs/>
                <w:color w:val="FFFFFF"/>
                <w:sz w:val="20"/>
                <w:szCs w:val="20"/>
              </w:rPr>
              <w:t>术语</w:t>
            </w:r>
          </w:p>
        </w:tc>
        <w:tc>
          <w:tcPr>
            <w:tcW w:w="3600" w:type="dxa"/>
            <w:shd w:val="clear" w:color="auto" w:fill="1F3864"/>
            <w:tcMar>
              <w:top w:w="80" w:type="dxa"/>
              <w:left w:w="120" w:type="dxa"/>
              <w:bottom w:w="80" w:type="dxa"/>
              <w:right w:w="120" w:type="dxa"/>
            </w:tcMar>
            <w:vAlign w:val="center"/>
          </w:tcPr>
          <w:p w14:paraId="4C691F25">
            <w:pPr>
              <w:spacing w:before="20" w:after="20" w:line="320" w:lineRule="auto"/>
              <w:jc w:val="center"/>
            </w:pPr>
            <w:r>
              <w:rPr>
                <w:rFonts w:ascii="Arial" w:hAnsi="Arial" w:eastAsia="Arial" w:cs="Arial"/>
                <w:b/>
                <w:bCs/>
                <w:color w:val="FFFFFF"/>
                <w:sz w:val="20"/>
                <w:szCs w:val="20"/>
              </w:rPr>
              <w:t>英文</w:t>
            </w:r>
          </w:p>
        </w:tc>
        <w:tc>
          <w:tcPr>
            <w:tcW w:w="4360" w:type="dxa"/>
            <w:shd w:val="clear" w:color="auto" w:fill="1F3864"/>
            <w:tcMar>
              <w:top w:w="80" w:type="dxa"/>
              <w:left w:w="120" w:type="dxa"/>
              <w:bottom w:w="80" w:type="dxa"/>
              <w:right w:w="120" w:type="dxa"/>
            </w:tcMar>
            <w:vAlign w:val="center"/>
          </w:tcPr>
          <w:p w14:paraId="544CD8F5">
            <w:pPr>
              <w:spacing w:before="20" w:after="20" w:line="320" w:lineRule="auto"/>
              <w:jc w:val="center"/>
            </w:pPr>
            <w:r>
              <w:rPr>
                <w:rFonts w:ascii="Arial" w:hAnsi="Arial" w:eastAsia="Arial" w:cs="Arial"/>
                <w:b/>
                <w:bCs/>
                <w:color w:val="FFFFFF"/>
                <w:sz w:val="20"/>
                <w:szCs w:val="20"/>
              </w:rPr>
              <w:t>解释</w:t>
            </w:r>
          </w:p>
        </w:tc>
      </w:tr>
      <w:tr w14:paraId="2603CD30">
        <w:tc>
          <w:tcPr>
            <w:tcW w:w="1400" w:type="dxa"/>
            <w:tcMar>
              <w:top w:w="80" w:type="dxa"/>
              <w:left w:w="120" w:type="dxa"/>
              <w:bottom w:w="80" w:type="dxa"/>
              <w:right w:w="120" w:type="dxa"/>
            </w:tcMar>
            <w:vAlign w:val="center"/>
          </w:tcPr>
          <w:p w14:paraId="7473D39C">
            <w:pPr>
              <w:spacing w:before="20" w:after="20" w:line="320" w:lineRule="auto"/>
              <w:jc w:val="left"/>
            </w:pPr>
            <w:r>
              <w:rPr>
                <w:rFonts w:ascii="Arial" w:hAnsi="Arial" w:eastAsia="Arial" w:cs="Arial"/>
                <w:b w:val="0"/>
                <w:bCs w:val="0"/>
                <w:sz w:val="20"/>
                <w:szCs w:val="20"/>
              </w:rPr>
              <w:t>AIT</w:t>
            </w:r>
          </w:p>
        </w:tc>
        <w:tc>
          <w:tcPr>
            <w:tcW w:w="3600" w:type="dxa"/>
            <w:tcMar>
              <w:top w:w="80" w:type="dxa"/>
              <w:left w:w="120" w:type="dxa"/>
              <w:bottom w:w="80" w:type="dxa"/>
              <w:right w:w="120" w:type="dxa"/>
            </w:tcMar>
            <w:vAlign w:val="center"/>
          </w:tcPr>
          <w:p w14:paraId="437367C8">
            <w:pPr>
              <w:spacing w:before="20" w:after="20" w:line="320" w:lineRule="auto"/>
              <w:jc w:val="left"/>
            </w:pPr>
            <w:r>
              <w:rPr>
                <w:rFonts w:ascii="Arial" w:hAnsi="Arial" w:eastAsia="Arial" w:cs="Arial"/>
                <w:b w:val="0"/>
                <w:bCs w:val="0"/>
                <w:sz w:val="20"/>
                <w:szCs w:val="20"/>
              </w:rPr>
              <w:t>Average Inflation Targeting</w:t>
            </w:r>
          </w:p>
        </w:tc>
        <w:tc>
          <w:tcPr>
            <w:tcW w:w="4360" w:type="dxa"/>
            <w:tcMar>
              <w:top w:w="80" w:type="dxa"/>
              <w:left w:w="120" w:type="dxa"/>
              <w:bottom w:w="80" w:type="dxa"/>
              <w:right w:w="120" w:type="dxa"/>
            </w:tcMar>
            <w:vAlign w:val="center"/>
          </w:tcPr>
          <w:p w14:paraId="5229BD99">
            <w:pPr>
              <w:spacing w:before="20" w:after="20" w:line="320" w:lineRule="auto"/>
              <w:jc w:val="left"/>
            </w:pPr>
            <w:r>
              <w:rPr>
                <w:rFonts w:ascii="Arial" w:hAnsi="Arial" w:eastAsia="Arial" w:cs="Arial"/>
                <w:b w:val="0"/>
                <w:bCs w:val="0"/>
                <w:sz w:val="20"/>
                <w:szCs w:val="20"/>
              </w:rPr>
              <w:t>平均通胀目标制（2020 Powell 引入）</w:t>
            </w:r>
          </w:p>
        </w:tc>
      </w:tr>
      <w:tr w14:paraId="521EB3A5">
        <w:tc>
          <w:tcPr>
            <w:tcW w:w="1400" w:type="dxa"/>
            <w:tcMar>
              <w:top w:w="80" w:type="dxa"/>
              <w:left w:w="120" w:type="dxa"/>
              <w:bottom w:w="80" w:type="dxa"/>
              <w:right w:w="120" w:type="dxa"/>
            </w:tcMar>
            <w:vAlign w:val="center"/>
          </w:tcPr>
          <w:p w14:paraId="38287EEE">
            <w:pPr>
              <w:spacing w:before="20" w:after="20" w:line="320" w:lineRule="auto"/>
              <w:jc w:val="left"/>
            </w:pPr>
            <w:r>
              <w:rPr>
                <w:rFonts w:ascii="Arial" w:hAnsi="Arial" w:eastAsia="Arial" w:cs="Arial"/>
                <w:b w:val="0"/>
                <w:bCs w:val="0"/>
                <w:sz w:val="20"/>
                <w:szCs w:val="20"/>
              </w:rPr>
              <w:t>QT</w:t>
            </w:r>
          </w:p>
        </w:tc>
        <w:tc>
          <w:tcPr>
            <w:tcW w:w="3600" w:type="dxa"/>
            <w:tcMar>
              <w:top w:w="80" w:type="dxa"/>
              <w:left w:w="120" w:type="dxa"/>
              <w:bottom w:w="80" w:type="dxa"/>
              <w:right w:w="120" w:type="dxa"/>
            </w:tcMar>
            <w:vAlign w:val="center"/>
          </w:tcPr>
          <w:p w14:paraId="37D45E9E">
            <w:pPr>
              <w:spacing w:before="20" w:after="20" w:line="320" w:lineRule="auto"/>
              <w:jc w:val="left"/>
            </w:pPr>
            <w:r>
              <w:rPr>
                <w:rFonts w:ascii="Arial" w:hAnsi="Arial" w:eastAsia="Arial" w:cs="Arial"/>
                <w:b w:val="0"/>
                <w:bCs w:val="0"/>
                <w:sz w:val="20"/>
                <w:szCs w:val="20"/>
              </w:rPr>
              <w:t>Quantitative Tightening</w:t>
            </w:r>
          </w:p>
        </w:tc>
        <w:tc>
          <w:tcPr>
            <w:tcW w:w="4360" w:type="dxa"/>
            <w:tcMar>
              <w:top w:w="80" w:type="dxa"/>
              <w:left w:w="120" w:type="dxa"/>
              <w:bottom w:w="80" w:type="dxa"/>
              <w:right w:w="120" w:type="dxa"/>
            </w:tcMar>
            <w:vAlign w:val="center"/>
          </w:tcPr>
          <w:p w14:paraId="27B406C7">
            <w:pPr>
              <w:spacing w:before="20" w:after="20" w:line="320" w:lineRule="auto"/>
              <w:jc w:val="left"/>
            </w:pPr>
            <w:r>
              <w:rPr>
                <w:rFonts w:ascii="Arial" w:hAnsi="Arial" w:eastAsia="Arial" w:cs="Arial"/>
                <w:b w:val="0"/>
                <w:bCs w:val="0"/>
                <w:sz w:val="20"/>
                <w:szCs w:val="20"/>
              </w:rPr>
              <w:t>量化紧缩，联储缩减资产负债表</w:t>
            </w:r>
          </w:p>
        </w:tc>
      </w:tr>
      <w:tr w14:paraId="5917F004">
        <w:tc>
          <w:tcPr>
            <w:tcW w:w="1400" w:type="dxa"/>
            <w:tcMar>
              <w:top w:w="80" w:type="dxa"/>
              <w:left w:w="120" w:type="dxa"/>
              <w:bottom w:w="80" w:type="dxa"/>
              <w:right w:w="120" w:type="dxa"/>
            </w:tcMar>
            <w:vAlign w:val="center"/>
          </w:tcPr>
          <w:p w14:paraId="241AEE97">
            <w:pPr>
              <w:spacing w:before="20" w:after="20" w:line="320" w:lineRule="auto"/>
              <w:jc w:val="left"/>
            </w:pPr>
            <w:r>
              <w:rPr>
                <w:rFonts w:ascii="Arial" w:hAnsi="Arial" w:eastAsia="Arial" w:cs="Arial"/>
                <w:b w:val="0"/>
                <w:bCs w:val="0"/>
                <w:sz w:val="20"/>
                <w:szCs w:val="20"/>
              </w:rPr>
              <w:t>ZLB</w:t>
            </w:r>
          </w:p>
        </w:tc>
        <w:tc>
          <w:tcPr>
            <w:tcW w:w="3600" w:type="dxa"/>
            <w:tcMar>
              <w:top w:w="80" w:type="dxa"/>
              <w:left w:w="120" w:type="dxa"/>
              <w:bottom w:w="80" w:type="dxa"/>
              <w:right w:w="120" w:type="dxa"/>
            </w:tcMar>
            <w:vAlign w:val="center"/>
          </w:tcPr>
          <w:p w14:paraId="63304FEF">
            <w:pPr>
              <w:spacing w:before="20" w:after="20" w:line="320" w:lineRule="auto"/>
              <w:jc w:val="left"/>
            </w:pPr>
            <w:r>
              <w:rPr>
                <w:rFonts w:ascii="Arial" w:hAnsi="Arial" w:eastAsia="Arial" w:cs="Arial"/>
                <w:b w:val="0"/>
                <w:bCs w:val="0"/>
                <w:sz w:val="20"/>
                <w:szCs w:val="20"/>
              </w:rPr>
              <w:t>Zero Lower Bound</w:t>
            </w:r>
          </w:p>
        </w:tc>
        <w:tc>
          <w:tcPr>
            <w:tcW w:w="4360" w:type="dxa"/>
            <w:tcMar>
              <w:top w:w="80" w:type="dxa"/>
              <w:left w:w="120" w:type="dxa"/>
              <w:bottom w:w="80" w:type="dxa"/>
              <w:right w:w="120" w:type="dxa"/>
            </w:tcMar>
            <w:vAlign w:val="center"/>
          </w:tcPr>
          <w:p w14:paraId="39F93C34">
            <w:pPr>
              <w:spacing w:before="20" w:after="20" w:line="320" w:lineRule="auto"/>
              <w:jc w:val="left"/>
            </w:pPr>
            <w:r>
              <w:rPr>
                <w:rFonts w:ascii="Arial" w:hAnsi="Arial" w:eastAsia="Arial" w:cs="Arial"/>
                <w:b w:val="0"/>
                <w:bCs w:val="0"/>
                <w:sz w:val="20"/>
                <w:szCs w:val="20"/>
              </w:rPr>
              <w:t>零利率下限</w:t>
            </w:r>
          </w:p>
        </w:tc>
      </w:tr>
      <w:tr w14:paraId="3A2A9ED2">
        <w:tc>
          <w:tcPr>
            <w:tcW w:w="1400" w:type="dxa"/>
            <w:tcMar>
              <w:top w:w="80" w:type="dxa"/>
              <w:left w:w="120" w:type="dxa"/>
              <w:bottom w:w="80" w:type="dxa"/>
              <w:right w:w="120" w:type="dxa"/>
            </w:tcMar>
            <w:vAlign w:val="center"/>
          </w:tcPr>
          <w:p w14:paraId="3B8BCF97">
            <w:pPr>
              <w:spacing w:before="20" w:after="20" w:line="320" w:lineRule="auto"/>
              <w:jc w:val="left"/>
            </w:pPr>
            <w:r>
              <w:rPr>
                <w:rFonts w:ascii="Arial" w:hAnsi="Arial" w:eastAsia="Arial" w:cs="Arial"/>
                <w:b w:val="0"/>
                <w:bCs w:val="0"/>
                <w:sz w:val="20"/>
                <w:szCs w:val="20"/>
              </w:rPr>
              <w:t>eSLR</w:t>
            </w:r>
          </w:p>
        </w:tc>
        <w:tc>
          <w:tcPr>
            <w:tcW w:w="3600" w:type="dxa"/>
            <w:tcMar>
              <w:top w:w="80" w:type="dxa"/>
              <w:left w:w="120" w:type="dxa"/>
              <w:bottom w:w="80" w:type="dxa"/>
              <w:right w:w="120" w:type="dxa"/>
            </w:tcMar>
            <w:vAlign w:val="center"/>
          </w:tcPr>
          <w:p w14:paraId="182C9E7B">
            <w:pPr>
              <w:spacing w:before="20" w:after="20" w:line="320" w:lineRule="auto"/>
              <w:jc w:val="left"/>
            </w:pPr>
            <w:r>
              <w:rPr>
                <w:rFonts w:ascii="Arial" w:hAnsi="Arial" w:eastAsia="Arial" w:cs="Arial"/>
                <w:b w:val="0"/>
                <w:bCs w:val="0"/>
                <w:sz w:val="20"/>
                <w:szCs w:val="20"/>
              </w:rPr>
              <w:t>enhanced Supplementary Leverage Ratio</w:t>
            </w:r>
          </w:p>
        </w:tc>
        <w:tc>
          <w:tcPr>
            <w:tcW w:w="4360" w:type="dxa"/>
            <w:tcMar>
              <w:top w:w="80" w:type="dxa"/>
              <w:left w:w="120" w:type="dxa"/>
              <w:bottom w:w="80" w:type="dxa"/>
              <w:right w:w="120" w:type="dxa"/>
            </w:tcMar>
            <w:vAlign w:val="center"/>
          </w:tcPr>
          <w:p w14:paraId="7185DCE5">
            <w:pPr>
              <w:spacing w:before="20" w:after="20" w:line="320" w:lineRule="auto"/>
              <w:jc w:val="left"/>
            </w:pPr>
            <w:r>
              <w:rPr>
                <w:rFonts w:ascii="Arial" w:hAnsi="Arial" w:eastAsia="Arial" w:cs="Arial"/>
                <w:b w:val="0"/>
                <w:bCs w:val="0"/>
                <w:sz w:val="20"/>
                <w:szCs w:val="20"/>
              </w:rPr>
              <w:t>补充性杠杆率，银行资本监管工具</w:t>
            </w:r>
          </w:p>
        </w:tc>
      </w:tr>
      <w:tr w14:paraId="28720CBE">
        <w:tc>
          <w:tcPr>
            <w:tcW w:w="1400" w:type="dxa"/>
            <w:tcMar>
              <w:top w:w="80" w:type="dxa"/>
              <w:left w:w="120" w:type="dxa"/>
              <w:bottom w:w="80" w:type="dxa"/>
              <w:right w:w="120" w:type="dxa"/>
            </w:tcMar>
            <w:vAlign w:val="center"/>
          </w:tcPr>
          <w:p w14:paraId="0BF58B40">
            <w:pPr>
              <w:spacing w:before="20" w:after="20" w:line="320" w:lineRule="auto"/>
              <w:jc w:val="left"/>
            </w:pPr>
            <w:r>
              <w:rPr>
                <w:rFonts w:ascii="Arial" w:hAnsi="Arial" w:eastAsia="Arial" w:cs="Arial"/>
                <w:b w:val="0"/>
                <w:bCs w:val="0"/>
                <w:sz w:val="20"/>
                <w:szCs w:val="20"/>
              </w:rPr>
              <w:t>TGA</w:t>
            </w:r>
          </w:p>
        </w:tc>
        <w:tc>
          <w:tcPr>
            <w:tcW w:w="3600" w:type="dxa"/>
            <w:tcMar>
              <w:top w:w="80" w:type="dxa"/>
              <w:left w:w="120" w:type="dxa"/>
              <w:bottom w:w="80" w:type="dxa"/>
              <w:right w:w="120" w:type="dxa"/>
            </w:tcMar>
            <w:vAlign w:val="center"/>
          </w:tcPr>
          <w:p w14:paraId="7E1C6317">
            <w:pPr>
              <w:spacing w:before="20" w:after="20" w:line="320" w:lineRule="auto"/>
              <w:jc w:val="left"/>
            </w:pPr>
            <w:r>
              <w:rPr>
                <w:rFonts w:ascii="Arial" w:hAnsi="Arial" w:eastAsia="Arial" w:cs="Arial"/>
                <w:b w:val="0"/>
                <w:bCs w:val="0"/>
                <w:sz w:val="20"/>
                <w:szCs w:val="20"/>
              </w:rPr>
              <w:t>Treasury General Account</w:t>
            </w:r>
          </w:p>
        </w:tc>
        <w:tc>
          <w:tcPr>
            <w:tcW w:w="4360" w:type="dxa"/>
            <w:tcMar>
              <w:top w:w="80" w:type="dxa"/>
              <w:left w:w="120" w:type="dxa"/>
              <w:bottom w:w="80" w:type="dxa"/>
              <w:right w:w="120" w:type="dxa"/>
            </w:tcMar>
            <w:vAlign w:val="center"/>
          </w:tcPr>
          <w:p w14:paraId="509D10A8">
            <w:pPr>
              <w:spacing w:before="20" w:after="20" w:line="320" w:lineRule="auto"/>
              <w:jc w:val="left"/>
            </w:pPr>
            <w:r>
              <w:rPr>
                <w:rFonts w:ascii="Arial" w:hAnsi="Arial" w:eastAsia="Arial" w:cs="Arial"/>
                <w:b w:val="0"/>
                <w:bCs w:val="0"/>
                <w:sz w:val="20"/>
                <w:szCs w:val="20"/>
              </w:rPr>
              <w:t>财政部一般账户，影响市场流动性</w:t>
            </w:r>
          </w:p>
        </w:tc>
      </w:tr>
      <w:tr w14:paraId="39E7C0AF">
        <w:tc>
          <w:tcPr>
            <w:tcW w:w="1400" w:type="dxa"/>
            <w:tcMar>
              <w:top w:w="80" w:type="dxa"/>
              <w:left w:w="120" w:type="dxa"/>
              <w:bottom w:w="80" w:type="dxa"/>
              <w:right w:w="120" w:type="dxa"/>
            </w:tcMar>
            <w:vAlign w:val="center"/>
          </w:tcPr>
          <w:p w14:paraId="3D6ED185">
            <w:pPr>
              <w:spacing w:before="20" w:after="20" w:line="320" w:lineRule="auto"/>
              <w:jc w:val="left"/>
            </w:pPr>
            <w:r>
              <w:rPr>
                <w:rFonts w:ascii="Arial" w:hAnsi="Arial" w:eastAsia="Arial" w:cs="Arial"/>
                <w:b w:val="0"/>
                <w:bCs w:val="0"/>
                <w:sz w:val="20"/>
                <w:szCs w:val="20"/>
              </w:rPr>
              <w:t>Fed Put</w:t>
            </w:r>
          </w:p>
        </w:tc>
        <w:tc>
          <w:tcPr>
            <w:tcW w:w="3600" w:type="dxa"/>
            <w:tcMar>
              <w:top w:w="80" w:type="dxa"/>
              <w:left w:w="120" w:type="dxa"/>
              <w:bottom w:w="80" w:type="dxa"/>
              <w:right w:w="120" w:type="dxa"/>
            </w:tcMar>
            <w:vAlign w:val="center"/>
          </w:tcPr>
          <w:p w14:paraId="766834FB">
            <w:pPr>
              <w:spacing w:before="20" w:after="20" w:line="320" w:lineRule="auto"/>
              <w:jc w:val="left"/>
            </w:pPr>
            <w:r>
              <w:rPr>
                <w:rFonts w:ascii="Arial" w:hAnsi="Arial" w:eastAsia="Arial" w:cs="Arial"/>
                <w:b w:val="0"/>
                <w:bCs w:val="0"/>
                <w:sz w:val="20"/>
                <w:szCs w:val="20"/>
              </w:rPr>
              <w:t>—</w:t>
            </w:r>
          </w:p>
        </w:tc>
        <w:tc>
          <w:tcPr>
            <w:tcW w:w="4360" w:type="dxa"/>
            <w:tcMar>
              <w:top w:w="80" w:type="dxa"/>
              <w:left w:w="120" w:type="dxa"/>
              <w:bottom w:w="80" w:type="dxa"/>
              <w:right w:w="120" w:type="dxa"/>
            </w:tcMar>
            <w:vAlign w:val="center"/>
          </w:tcPr>
          <w:p w14:paraId="51FDD8D6">
            <w:pPr>
              <w:spacing w:before="20" w:after="20" w:line="320" w:lineRule="auto"/>
              <w:jc w:val="left"/>
            </w:pPr>
            <w:r>
              <w:rPr>
                <w:rFonts w:ascii="Arial" w:hAnsi="Arial" w:eastAsia="Arial" w:cs="Arial"/>
                <w:b w:val="0"/>
                <w:bCs w:val="0"/>
                <w:sz w:val="20"/>
                <w:szCs w:val="20"/>
              </w:rPr>
              <w:t>联储「看跌期权」预期，即联储在资产价格大幅下跌时会干预</w:t>
            </w:r>
          </w:p>
        </w:tc>
      </w:tr>
      <w:tr w14:paraId="231D1504">
        <w:tc>
          <w:tcPr>
            <w:tcW w:w="1400" w:type="dxa"/>
            <w:tcMar>
              <w:top w:w="80" w:type="dxa"/>
              <w:left w:w="120" w:type="dxa"/>
              <w:bottom w:w="80" w:type="dxa"/>
              <w:right w:w="120" w:type="dxa"/>
            </w:tcMar>
            <w:vAlign w:val="center"/>
          </w:tcPr>
          <w:p w14:paraId="7CE76D8F">
            <w:pPr>
              <w:spacing w:before="20" w:after="20" w:line="320" w:lineRule="auto"/>
              <w:jc w:val="left"/>
            </w:pPr>
            <w:r>
              <w:rPr>
                <w:rFonts w:ascii="Arial" w:hAnsi="Arial" w:eastAsia="Arial" w:cs="Arial"/>
                <w:b w:val="0"/>
                <w:bCs w:val="0"/>
                <w:sz w:val="20"/>
                <w:szCs w:val="20"/>
              </w:rPr>
              <w:t>Fiscal Dominance</w:t>
            </w:r>
          </w:p>
        </w:tc>
        <w:tc>
          <w:tcPr>
            <w:tcW w:w="3600" w:type="dxa"/>
            <w:tcMar>
              <w:top w:w="80" w:type="dxa"/>
              <w:left w:w="120" w:type="dxa"/>
              <w:bottom w:w="80" w:type="dxa"/>
              <w:right w:w="120" w:type="dxa"/>
            </w:tcMar>
            <w:vAlign w:val="center"/>
          </w:tcPr>
          <w:p w14:paraId="523F1056">
            <w:pPr>
              <w:spacing w:before="20" w:after="20" w:line="320" w:lineRule="auto"/>
              <w:jc w:val="left"/>
            </w:pPr>
            <w:r>
              <w:rPr>
                <w:rFonts w:ascii="Arial" w:hAnsi="Arial" w:eastAsia="Arial" w:cs="Arial"/>
                <w:b w:val="0"/>
                <w:bCs w:val="0"/>
                <w:sz w:val="20"/>
                <w:szCs w:val="20"/>
              </w:rPr>
              <w:t>—</w:t>
            </w:r>
          </w:p>
        </w:tc>
        <w:tc>
          <w:tcPr>
            <w:tcW w:w="4360" w:type="dxa"/>
            <w:tcMar>
              <w:top w:w="80" w:type="dxa"/>
              <w:left w:w="120" w:type="dxa"/>
              <w:bottom w:w="80" w:type="dxa"/>
              <w:right w:w="120" w:type="dxa"/>
            </w:tcMar>
            <w:vAlign w:val="center"/>
          </w:tcPr>
          <w:p w14:paraId="1C8C6D1C">
            <w:pPr>
              <w:spacing w:before="20" w:after="20" w:line="320" w:lineRule="auto"/>
              <w:jc w:val="left"/>
            </w:pPr>
            <w:r>
              <w:rPr>
                <w:rFonts w:ascii="Arial" w:hAnsi="Arial" w:eastAsia="Arial" w:cs="Arial"/>
                <w:b w:val="0"/>
                <w:bCs w:val="0"/>
                <w:sz w:val="20"/>
                <w:szCs w:val="20"/>
              </w:rPr>
              <w:t>财政主导，货币政策被迫服从财政需求</w:t>
            </w:r>
          </w:p>
        </w:tc>
      </w:tr>
      <w:tr w14:paraId="59A4A203">
        <w:tc>
          <w:tcPr>
            <w:tcW w:w="1400" w:type="dxa"/>
            <w:tcMar>
              <w:top w:w="80" w:type="dxa"/>
              <w:left w:w="120" w:type="dxa"/>
              <w:bottom w:w="80" w:type="dxa"/>
              <w:right w:w="120" w:type="dxa"/>
            </w:tcMar>
            <w:vAlign w:val="center"/>
          </w:tcPr>
          <w:p w14:paraId="10CAADA6">
            <w:pPr>
              <w:spacing w:before="20" w:after="20" w:line="320" w:lineRule="auto"/>
              <w:jc w:val="left"/>
            </w:pPr>
            <w:r>
              <w:rPr>
                <w:rFonts w:ascii="Arial" w:hAnsi="Arial" w:eastAsia="Arial" w:cs="Arial"/>
                <w:b w:val="0"/>
                <w:bCs w:val="0"/>
                <w:sz w:val="20"/>
                <w:szCs w:val="20"/>
              </w:rPr>
              <w:t>Bear Steepener</w:t>
            </w:r>
          </w:p>
        </w:tc>
        <w:tc>
          <w:tcPr>
            <w:tcW w:w="3600" w:type="dxa"/>
            <w:tcMar>
              <w:top w:w="80" w:type="dxa"/>
              <w:left w:w="120" w:type="dxa"/>
              <w:bottom w:w="80" w:type="dxa"/>
              <w:right w:w="120" w:type="dxa"/>
            </w:tcMar>
            <w:vAlign w:val="center"/>
          </w:tcPr>
          <w:p w14:paraId="61664381">
            <w:pPr>
              <w:spacing w:before="20" w:after="20" w:line="320" w:lineRule="auto"/>
              <w:jc w:val="left"/>
            </w:pPr>
            <w:r>
              <w:rPr>
                <w:rFonts w:ascii="Arial" w:hAnsi="Arial" w:eastAsia="Arial" w:cs="Arial"/>
                <w:b w:val="0"/>
                <w:bCs w:val="0"/>
                <w:sz w:val="20"/>
                <w:szCs w:val="20"/>
              </w:rPr>
              <w:t>—</w:t>
            </w:r>
          </w:p>
        </w:tc>
        <w:tc>
          <w:tcPr>
            <w:tcW w:w="4360" w:type="dxa"/>
            <w:tcMar>
              <w:top w:w="80" w:type="dxa"/>
              <w:left w:w="120" w:type="dxa"/>
              <w:bottom w:w="80" w:type="dxa"/>
              <w:right w:w="120" w:type="dxa"/>
            </w:tcMar>
            <w:vAlign w:val="center"/>
          </w:tcPr>
          <w:p w14:paraId="1B55F2BC">
            <w:pPr>
              <w:spacing w:before="20" w:after="20" w:line="320" w:lineRule="auto"/>
              <w:jc w:val="left"/>
            </w:pPr>
            <w:r>
              <w:rPr>
                <w:rFonts w:ascii="Arial" w:hAnsi="Arial" w:eastAsia="Arial" w:cs="Arial"/>
                <w:b w:val="0"/>
                <w:bCs w:val="0"/>
                <w:sz w:val="20"/>
                <w:szCs w:val="20"/>
              </w:rPr>
              <w:t>熊市陡峭化，长端收益率涨幅 &gt; 短端</w:t>
            </w:r>
          </w:p>
        </w:tc>
      </w:tr>
      <w:tr w14:paraId="668C8CC9">
        <w:tc>
          <w:tcPr>
            <w:tcW w:w="1400" w:type="dxa"/>
            <w:tcMar>
              <w:top w:w="80" w:type="dxa"/>
              <w:left w:w="120" w:type="dxa"/>
              <w:bottom w:w="80" w:type="dxa"/>
              <w:right w:w="120" w:type="dxa"/>
            </w:tcMar>
            <w:vAlign w:val="center"/>
          </w:tcPr>
          <w:p w14:paraId="7F752653">
            <w:pPr>
              <w:spacing w:before="20" w:after="20" w:line="320" w:lineRule="auto"/>
              <w:jc w:val="left"/>
            </w:pPr>
            <w:r>
              <w:rPr>
                <w:rFonts w:ascii="Arial" w:hAnsi="Arial" w:eastAsia="Arial" w:cs="Arial"/>
                <w:b w:val="0"/>
                <w:bCs w:val="0"/>
                <w:sz w:val="20"/>
                <w:szCs w:val="20"/>
              </w:rPr>
              <w:t>YCC</w:t>
            </w:r>
          </w:p>
        </w:tc>
        <w:tc>
          <w:tcPr>
            <w:tcW w:w="3600" w:type="dxa"/>
            <w:tcMar>
              <w:top w:w="80" w:type="dxa"/>
              <w:left w:w="120" w:type="dxa"/>
              <w:bottom w:w="80" w:type="dxa"/>
              <w:right w:w="120" w:type="dxa"/>
            </w:tcMar>
            <w:vAlign w:val="center"/>
          </w:tcPr>
          <w:p w14:paraId="1519D8B0">
            <w:pPr>
              <w:spacing w:before="20" w:after="20" w:line="320" w:lineRule="auto"/>
              <w:jc w:val="left"/>
            </w:pPr>
            <w:r>
              <w:rPr>
                <w:rFonts w:ascii="Arial" w:hAnsi="Arial" w:eastAsia="Arial" w:cs="Arial"/>
                <w:b w:val="0"/>
                <w:bCs w:val="0"/>
                <w:sz w:val="20"/>
                <w:szCs w:val="20"/>
              </w:rPr>
              <w:t>Yield Curve Control</w:t>
            </w:r>
          </w:p>
        </w:tc>
        <w:tc>
          <w:tcPr>
            <w:tcW w:w="4360" w:type="dxa"/>
            <w:tcMar>
              <w:top w:w="80" w:type="dxa"/>
              <w:left w:w="120" w:type="dxa"/>
              <w:bottom w:w="80" w:type="dxa"/>
              <w:right w:w="120" w:type="dxa"/>
            </w:tcMar>
            <w:vAlign w:val="center"/>
          </w:tcPr>
          <w:p w14:paraId="09218B07">
            <w:pPr>
              <w:spacing w:before="20" w:after="20" w:line="320" w:lineRule="auto"/>
              <w:jc w:val="left"/>
            </w:pPr>
            <w:r>
              <w:rPr>
                <w:rFonts w:ascii="Arial" w:hAnsi="Arial" w:eastAsia="Arial" w:cs="Arial"/>
                <w:b w:val="0"/>
                <w:bCs w:val="0"/>
                <w:sz w:val="20"/>
                <w:szCs w:val="20"/>
              </w:rPr>
              <w:t>收益率曲线控制</w:t>
            </w:r>
          </w:p>
        </w:tc>
      </w:tr>
      <w:tr w14:paraId="5563890A">
        <w:tc>
          <w:tcPr>
            <w:tcW w:w="1400" w:type="dxa"/>
            <w:tcMar>
              <w:top w:w="80" w:type="dxa"/>
              <w:left w:w="120" w:type="dxa"/>
              <w:bottom w:w="80" w:type="dxa"/>
              <w:right w:w="120" w:type="dxa"/>
            </w:tcMar>
            <w:vAlign w:val="center"/>
          </w:tcPr>
          <w:p w14:paraId="45CFBF2E">
            <w:pPr>
              <w:spacing w:before="20" w:after="20" w:line="320" w:lineRule="auto"/>
              <w:jc w:val="left"/>
            </w:pPr>
            <w:r>
              <w:rPr>
                <w:rFonts w:ascii="Arial" w:hAnsi="Arial" w:eastAsia="Arial" w:cs="Arial"/>
                <w:b w:val="0"/>
                <w:bCs w:val="0"/>
                <w:sz w:val="20"/>
                <w:szCs w:val="20"/>
              </w:rPr>
              <w:t>BEI</w:t>
            </w:r>
          </w:p>
        </w:tc>
        <w:tc>
          <w:tcPr>
            <w:tcW w:w="3600" w:type="dxa"/>
            <w:tcMar>
              <w:top w:w="80" w:type="dxa"/>
              <w:left w:w="120" w:type="dxa"/>
              <w:bottom w:w="80" w:type="dxa"/>
              <w:right w:w="120" w:type="dxa"/>
            </w:tcMar>
            <w:vAlign w:val="center"/>
          </w:tcPr>
          <w:p w14:paraId="4EBEBD97">
            <w:pPr>
              <w:spacing w:before="20" w:after="20" w:line="320" w:lineRule="auto"/>
              <w:jc w:val="left"/>
            </w:pPr>
            <w:r>
              <w:rPr>
                <w:rFonts w:ascii="Arial" w:hAnsi="Arial" w:eastAsia="Arial" w:cs="Arial"/>
                <w:b w:val="0"/>
                <w:bCs w:val="0"/>
                <w:sz w:val="20"/>
                <w:szCs w:val="20"/>
              </w:rPr>
              <w:t>Breakeven Inflation</w:t>
            </w:r>
          </w:p>
        </w:tc>
        <w:tc>
          <w:tcPr>
            <w:tcW w:w="4360" w:type="dxa"/>
            <w:tcMar>
              <w:top w:w="80" w:type="dxa"/>
              <w:left w:w="120" w:type="dxa"/>
              <w:bottom w:w="80" w:type="dxa"/>
              <w:right w:w="120" w:type="dxa"/>
            </w:tcMar>
            <w:vAlign w:val="center"/>
          </w:tcPr>
          <w:p w14:paraId="14B2F087">
            <w:pPr>
              <w:spacing w:before="20" w:after="20" w:line="320" w:lineRule="auto"/>
              <w:jc w:val="left"/>
            </w:pPr>
            <w:r>
              <w:rPr>
                <w:rFonts w:ascii="Arial" w:hAnsi="Arial" w:eastAsia="Arial" w:cs="Arial"/>
                <w:b w:val="0"/>
                <w:bCs w:val="0"/>
                <w:sz w:val="20"/>
                <w:szCs w:val="20"/>
              </w:rPr>
              <w:t>盈亏平衡通胀率，通胀预期代理</w:t>
            </w:r>
          </w:p>
        </w:tc>
      </w:tr>
      <w:tr w14:paraId="56B14340">
        <w:tc>
          <w:tcPr>
            <w:tcW w:w="1400" w:type="dxa"/>
            <w:tcMar>
              <w:top w:w="80" w:type="dxa"/>
              <w:left w:w="120" w:type="dxa"/>
              <w:bottom w:w="80" w:type="dxa"/>
              <w:right w:w="120" w:type="dxa"/>
            </w:tcMar>
            <w:vAlign w:val="center"/>
          </w:tcPr>
          <w:p w14:paraId="795E9314">
            <w:pPr>
              <w:spacing w:before="20" w:after="20" w:line="320" w:lineRule="auto"/>
              <w:jc w:val="left"/>
            </w:pPr>
            <w:r>
              <w:rPr>
                <w:rFonts w:ascii="Arial" w:hAnsi="Arial" w:eastAsia="Arial" w:cs="Arial"/>
                <w:b w:val="0"/>
                <w:bCs w:val="0"/>
                <w:sz w:val="20"/>
                <w:szCs w:val="20"/>
              </w:rPr>
              <w:t>SPF</w:t>
            </w:r>
          </w:p>
        </w:tc>
        <w:tc>
          <w:tcPr>
            <w:tcW w:w="3600" w:type="dxa"/>
            <w:tcMar>
              <w:top w:w="80" w:type="dxa"/>
              <w:left w:w="120" w:type="dxa"/>
              <w:bottom w:w="80" w:type="dxa"/>
              <w:right w:w="120" w:type="dxa"/>
            </w:tcMar>
            <w:vAlign w:val="center"/>
          </w:tcPr>
          <w:p w14:paraId="01182E5D">
            <w:pPr>
              <w:spacing w:before="20" w:after="20" w:line="320" w:lineRule="auto"/>
              <w:jc w:val="left"/>
            </w:pPr>
            <w:r>
              <w:rPr>
                <w:rFonts w:ascii="Arial" w:hAnsi="Arial" w:eastAsia="Arial" w:cs="Arial"/>
                <w:b w:val="0"/>
                <w:bCs w:val="0"/>
                <w:sz w:val="20"/>
                <w:szCs w:val="20"/>
              </w:rPr>
              <w:t>Survey of Professional Forecasters</w:t>
            </w:r>
          </w:p>
        </w:tc>
        <w:tc>
          <w:tcPr>
            <w:tcW w:w="4360" w:type="dxa"/>
            <w:tcMar>
              <w:top w:w="80" w:type="dxa"/>
              <w:left w:w="120" w:type="dxa"/>
              <w:bottom w:w="80" w:type="dxa"/>
              <w:right w:w="120" w:type="dxa"/>
            </w:tcMar>
            <w:vAlign w:val="center"/>
          </w:tcPr>
          <w:p w14:paraId="1A42E299">
            <w:pPr>
              <w:spacing w:before="20" w:after="20" w:line="320" w:lineRule="auto"/>
              <w:jc w:val="left"/>
            </w:pPr>
            <w:r>
              <w:rPr>
                <w:rFonts w:ascii="Arial" w:hAnsi="Arial" w:eastAsia="Arial" w:cs="Arial"/>
                <w:b w:val="0"/>
                <w:bCs w:val="0"/>
                <w:sz w:val="20"/>
                <w:szCs w:val="20"/>
              </w:rPr>
              <w:t>专业预测者调查（费城联储）</w:t>
            </w:r>
          </w:p>
        </w:tc>
      </w:tr>
      <w:tr w14:paraId="3A39DA07">
        <w:tc>
          <w:tcPr>
            <w:tcW w:w="1400" w:type="dxa"/>
            <w:tcMar>
              <w:top w:w="80" w:type="dxa"/>
              <w:left w:w="120" w:type="dxa"/>
              <w:bottom w:w="80" w:type="dxa"/>
              <w:right w:w="120" w:type="dxa"/>
            </w:tcMar>
            <w:vAlign w:val="center"/>
          </w:tcPr>
          <w:p w14:paraId="489853C7">
            <w:pPr>
              <w:spacing w:before="20" w:after="20" w:line="320" w:lineRule="auto"/>
              <w:jc w:val="left"/>
            </w:pPr>
            <w:r>
              <w:rPr>
                <w:rFonts w:ascii="Arial" w:hAnsi="Arial" w:eastAsia="Arial" w:cs="Arial"/>
                <w:b w:val="0"/>
                <w:bCs w:val="0"/>
                <w:sz w:val="20"/>
                <w:szCs w:val="20"/>
              </w:rPr>
              <w:t>GSCPI</w:t>
            </w:r>
          </w:p>
        </w:tc>
        <w:tc>
          <w:tcPr>
            <w:tcW w:w="3600" w:type="dxa"/>
            <w:tcMar>
              <w:top w:w="80" w:type="dxa"/>
              <w:left w:w="120" w:type="dxa"/>
              <w:bottom w:w="80" w:type="dxa"/>
              <w:right w:w="120" w:type="dxa"/>
            </w:tcMar>
            <w:vAlign w:val="center"/>
          </w:tcPr>
          <w:p w14:paraId="2120D198">
            <w:pPr>
              <w:spacing w:before="20" w:after="20" w:line="320" w:lineRule="auto"/>
              <w:jc w:val="left"/>
            </w:pPr>
            <w:r>
              <w:rPr>
                <w:rFonts w:ascii="Arial" w:hAnsi="Arial" w:eastAsia="Arial" w:cs="Arial"/>
                <w:b w:val="0"/>
                <w:bCs w:val="0"/>
                <w:sz w:val="20"/>
                <w:szCs w:val="20"/>
              </w:rPr>
              <w:t>Global Supply Chain Pressure Index</w:t>
            </w:r>
          </w:p>
        </w:tc>
        <w:tc>
          <w:tcPr>
            <w:tcW w:w="4360" w:type="dxa"/>
            <w:tcMar>
              <w:top w:w="80" w:type="dxa"/>
              <w:left w:w="120" w:type="dxa"/>
              <w:bottom w:w="80" w:type="dxa"/>
              <w:right w:w="120" w:type="dxa"/>
            </w:tcMar>
            <w:vAlign w:val="center"/>
          </w:tcPr>
          <w:p w14:paraId="7E8E38A1">
            <w:pPr>
              <w:spacing w:before="20" w:after="20" w:line="320" w:lineRule="auto"/>
              <w:jc w:val="left"/>
            </w:pPr>
            <w:r>
              <w:rPr>
                <w:rFonts w:ascii="Arial" w:hAnsi="Arial" w:eastAsia="Arial" w:cs="Arial"/>
                <w:b w:val="0"/>
                <w:bCs w:val="0"/>
                <w:sz w:val="20"/>
                <w:szCs w:val="20"/>
              </w:rPr>
              <w:t>纽约联储全球供应链压力指数</w:t>
            </w:r>
          </w:p>
        </w:tc>
      </w:tr>
    </w:tbl>
    <w:p w14:paraId="4EA029D9">
      <w:pPr>
        <w:spacing w:before="120" w:after="0"/>
      </w:pPr>
    </w:p>
    <w:p w14:paraId="11FCD6F6">
      <w:pPr>
        <w:pStyle w:val="2"/>
        <w:pageBreakBefore/>
      </w:pPr>
      <w:r>
        <w:rPr>
          <w:rFonts w:ascii="Arial" w:hAnsi="Arial" w:eastAsia="Arial" w:cs="Arial"/>
          <w:b/>
          <w:bCs/>
          <w:sz w:val="32"/>
          <w:szCs w:val="32"/>
        </w:rPr>
        <w:t>参考资料</w:t>
      </w:r>
    </w:p>
    <w:p w14:paraId="082DE193">
      <w:pPr>
        <w:pStyle w:val="16"/>
        <w:numPr>
          <w:ilvl w:val="0"/>
          <w:numId w:val="1"/>
        </w:numPr>
        <w:spacing w:before="40" w:after="40" w:line="340" w:lineRule="auto"/>
      </w:pPr>
      <w:r>
        <w:rPr>
          <w:rFonts w:ascii="Arial" w:hAnsi="Arial" w:eastAsia="Arial" w:cs="Arial"/>
          <w:sz w:val="22"/>
          <w:szCs w:val="22"/>
        </w:rPr>
        <w:t>沃什 2026 年 4 月 21 日参议院银行委员会听证会证词。</w:t>
      </w:r>
    </w:p>
    <w:p w14:paraId="238768BF">
      <w:pPr>
        <w:pStyle w:val="16"/>
        <w:numPr>
          <w:ilvl w:val="0"/>
          <w:numId w:val="1"/>
        </w:numPr>
        <w:spacing w:before="40" w:after="40" w:line="340" w:lineRule="auto"/>
      </w:pPr>
      <w:r>
        <w:rPr>
          <w:rFonts w:ascii="Arial" w:hAnsi="Arial" w:eastAsia="Arial" w:cs="Arial"/>
          <w:sz w:val="22"/>
          <w:szCs w:val="22"/>
        </w:rPr>
        <w:t>Federal Reserve, "Minutes of the Federal Open Market Committee", 2024–2026 各期。</w:t>
      </w:r>
    </w:p>
    <w:p w14:paraId="0DCC79FC">
      <w:pPr>
        <w:pStyle w:val="16"/>
        <w:numPr>
          <w:ilvl w:val="0"/>
          <w:numId w:val="1"/>
        </w:numPr>
        <w:spacing w:before="40" w:after="40" w:line="340" w:lineRule="auto"/>
      </w:pPr>
      <w:r>
        <w:rPr>
          <w:rFonts w:ascii="Arial" w:hAnsi="Arial" w:eastAsia="Arial" w:cs="Arial"/>
          <w:sz w:val="22"/>
          <w:szCs w:val="22"/>
        </w:rPr>
        <w:t>Warsh, Kevin, "The Fed's Balance Sheet: Crisis Tool or Policy Crutch?", Hoover Institution, 2023。</w:t>
      </w:r>
    </w:p>
    <w:p w14:paraId="5EC0588F">
      <w:pPr>
        <w:pStyle w:val="16"/>
        <w:numPr>
          <w:ilvl w:val="0"/>
          <w:numId w:val="1"/>
        </w:numPr>
        <w:spacing w:before="40" w:after="40" w:line="340" w:lineRule="auto"/>
      </w:pPr>
      <w:r>
        <w:rPr>
          <w:rFonts w:ascii="Arial" w:hAnsi="Arial" w:eastAsia="Arial" w:cs="Arial"/>
          <w:sz w:val="22"/>
          <w:szCs w:val="22"/>
        </w:rPr>
        <w:t>Friedman, Milton, "The Tyranny of the Status Quo", 1984。</w:t>
      </w:r>
    </w:p>
    <w:p w14:paraId="0F0C2F5E">
      <w:pPr>
        <w:pStyle w:val="16"/>
        <w:numPr>
          <w:ilvl w:val="0"/>
          <w:numId w:val="1"/>
        </w:numPr>
        <w:spacing w:before="40" w:after="40" w:line="340" w:lineRule="auto"/>
      </w:pPr>
      <w:r>
        <w:rPr>
          <w:rFonts w:ascii="Arial" w:hAnsi="Arial" w:eastAsia="Arial" w:cs="Arial"/>
          <w:sz w:val="22"/>
          <w:szCs w:val="22"/>
        </w:rPr>
        <w:t>Bernanke, Ben, "The New Tools of Monetary Policy", 2020 AEA Presidential Address。</w:t>
      </w:r>
    </w:p>
    <w:p w14:paraId="254FA918">
      <w:pPr>
        <w:pStyle w:val="16"/>
        <w:numPr>
          <w:ilvl w:val="0"/>
          <w:numId w:val="1"/>
        </w:numPr>
        <w:spacing w:before="40" w:after="40" w:line="340" w:lineRule="auto"/>
      </w:pPr>
      <w:r>
        <w:rPr>
          <w:rFonts w:ascii="Arial" w:hAnsi="Arial" w:eastAsia="Arial" w:cs="Arial"/>
          <w:sz w:val="22"/>
          <w:szCs w:val="22"/>
        </w:rPr>
        <w:t>Powell, Jerome, "New Economic Challenges and the Fed's Monetary Policy Review", 2020 Jackson Hole。</w:t>
      </w:r>
    </w:p>
    <w:p w14:paraId="4919D553">
      <w:pPr>
        <w:pStyle w:val="16"/>
        <w:numPr>
          <w:ilvl w:val="0"/>
          <w:numId w:val="1"/>
        </w:numPr>
        <w:spacing w:before="40" w:after="40" w:line="340" w:lineRule="auto"/>
      </w:pPr>
      <w:r>
        <w:rPr>
          <w:rFonts w:ascii="Arial" w:hAnsi="Arial" w:eastAsia="Arial" w:cs="Arial"/>
          <w:sz w:val="22"/>
          <w:szCs w:val="22"/>
        </w:rPr>
        <w:t>NY Fed, "Global Supply Chain Pressure Index (GSCPI)", 每月更新。</w:t>
      </w:r>
    </w:p>
    <w:p w14:paraId="015A4048">
      <w:pPr>
        <w:pStyle w:val="16"/>
        <w:numPr>
          <w:ilvl w:val="0"/>
          <w:numId w:val="1"/>
        </w:numPr>
        <w:spacing w:before="40" w:after="40" w:line="340" w:lineRule="auto"/>
      </w:pPr>
      <w:r>
        <w:rPr>
          <w:rFonts w:ascii="Arial" w:hAnsi="Arial" w:eastAsia="Arial" w:cs="Arial"/>
          <w:sz w:val="22"/>
          <w:szCs w:val="22"/>
        </w:rPr>
        <w:t>InflationMonitor IPS 因子模型 PRD v1.0（内部文档）。</w:t>
      </w:r>
    </w:p>
    <w:p w14:paraId="608D40D6">
      <w:pPr>
        <w:pStyle w:val="16"/>
        <w:numPr>
          <w:ilvl w:val="0"/>
          <w:numId w:val="1"/>
        </w:numPr>
        <w:spacing w:before="40" w:after="40" w:line="340" w:lineRule="auto"/>
      </w:pPr>
      <w:r>
        <w:rPr>
          <w:rFonts w:ascii="Arial" w:hAnsi="Arial" w:eastAsia="Arial" w:cs="Arial"/>
          <w:sz w:val="22"/>
          <w:szCs w:val="22"/>
        </w:rPr>
        <w:t>米兰（Fed 理事），「美联储缩表用户指南」，2026 年。</w:t>
      </w:r>
    </w:p>
    <w:p w14:paraId="313A0BD0">
      <w:pPr>
        <w:spacing w:before="120" w:after="0"/>
      </w:pPr>
    </w:p>
    <w:p w14:paraId="3F96A25F">
      <w:pPr>
        <w:spacing w:before="120" w:after="0"/>
      </w:pPr>
    </w:p>
    <w:p w14:paraId="78C30C9A">
      <w:pPr>
        <w:spacing w:before="60" w:after="60" w:line="360" w:lineRule="auto"/>
      </w:pPr>
      <w:r>
        <w:rPr>
          <w:rFonts w:ascii="Arial" w:hAnsi="Arial" w:eastAsia="Arial" w:cs="Arial"/>
          <w:i/>
          <w:iCs/>
          <w:color w:val="666666"/>
          <w:sz w:val="20"/>
          <w:szCs w:val="20"/>
        </w:rPr>
        <w:t>本文使用 InflationMonitor IPS 因子模型作为分析框架。IPS = 0.25·P + 0.20·E + 0.20·D + 0.15·F + 0.20·N，五个分项分别对应价格水平、通胀预期、驱动因子、财政脉冲、叙事+政策反射。当前 IPS 评分约 57.2，体制判断为「粘性通胀」。</w:t>
      </w:r>
    </w:p>
    <w:p w14:paraId="21A73334">
      <w:pPr>
        <w:spacing w:before="60" w:after="60" w:line="360" w:lineRule="auto"/>
      </w:pPr>
      <w:r>
        <w:rPr>
          <w:rFonts w:ascii="Arial" w:hAnsi="Arial" w:eastAsia="Arial" w:cs="Arial"/>
          <w:i/>
          <w:iCs/>
          <w:color w:val="666666"/>
          <w:sz w:val="20"/>
          <w:szCs w:val="20"/>
        </w:rPr>
        <w:t>作者立场：本文不构成投资建议。作者可能持有文中讨论的任何资产。</w:t>
      </w:r>
    </w:p>
    <w:p w14:paraId="627A57D6">
      <w:pPr>
        <w:spacing w:before="60" w:after="60" w:line="360" w:lineRule="auto"/>
      </w:pPr>
      <w:r>
        <w:rPr>
          <w:rFonts w:ascii="Arial" w:hAnsi="Arial" w:eastAsia="Arial" w:cs="Arial"/>
          <w:i/>
          <w:iCs/>
          <w:color w:val="666666"/>
          <w:sz w:val="20"/>
          <w:szCs w:val="20"/>
        </w:rPr>
        <w:t>文档版本：v1.0 · 2026-04-22</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ED482">
    <w:pPr>
      <w:jc w:val="center"/>
    </w:pPr>
    <w:r>
      <w:rPr>
        <w:rFonts w:ascii="Arial" w:hAnsi="Arial" w:eastAsia="Arial" w:cs="Arial"/>
        <w:color w:val="888888"/>
        <w:sz w:val="18"/>
        <w:szCs w:val="18"/>
      </w:rPr>
      <w:t xml:space="preserv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B260F">
    <w:pPr>
      <w:jc w:val="right"/>
    </w:pPr>
    <w:r>
      <w:rPr>
        <w:rFonts w:ascii="Arial" w:hAnsi="Arial" w:eastAsia="Arial" w:cs="Arial"/>
        <w:color w:val="888888"/>
        <w:sz w:val="18"/>
        <w:szCs w:val="18"/>
      </w:rPr>
      <w:t>InflationMonitor · 沃什框架与全球大类资产再定价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A4EC4"/>
    <w:multiLevelType w:val="singleLevel"/>
    <w:tmpl w:val="97BA4EC4"/>
    <w:lvl w:ilvl="0" w:tentative="0">
      <w:start w:val="1"/>
      <w:numFmt w:val="decimal"/>
      <w:lvlText w:val="%1."/>
      <w:lvlJc w:val="left"/>
      <w:pPr>
        <w:ind w:left="720" w:hanging="360"/>
      </w:pPr>
    </w:lvl>
  </w:abstractNum>
  <w:abstractNum w:abstractNumId="1">
    <w:nsid w:val="E7DE26B7"/>
    <w:multiLevelType w:val="multilevel"/>
    <w:tmpl w:val="E7DE26B7"/>
    <w:lvl w:ilvl="0" w:tentative="0">
      <w:start w:val="1"/>
      <w:numFmt w:val="bullet"/>
      <w:lvlText w:val="•"/>
      <w:lvlJc w:val="left"/>
      <w:pPr>
        <w:ind w:left="720" w:hanging="360"/>
      </w:pPr>
    </w:lvl>
    <w:lvl w:ilvl="1" w:tentative="0">
      <w:start w:val="1"/>
      <w:numFmt w:val="bullet"/>
      <w:lvlText w:val="◦"/>
      <w:lvlJc w:val="left"/>
      <w:pPr>
        <w:ind w:left="1440" w:hanging="360"/>
      </w:pPr>
    </w:lvl>
  </w:abstractNum>
  <w:abstractNum w:abstractNumId="2">
    <w:nsid w:val="FF7EE4DD"/>
    <w:multiLevelType w:val="singleLevel"/>
    <w:tmpl w:val="FF7EE4DD"/>
    <w:lvl w:ilvl="0" w:tentative="0">
      <w:start w:val="1"/>
      <w:numFmt w:val="bullet"/>
      <w:lvlText w:val=""/>
      <w:lvlJc w:val="left"/>
      <w:pPr>
        <w:ind w:left="420" w:hanging="420"/>
      </w:pPr>
      <w:rPr>
        <w:rFonts w:hint="default" w:ascii="Wingdings" w:hAnsi="Wingdings"/>
      </w:r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compat>
    <w:useFELayout/>
    <w:compatSetting w:name="compatibilityMode" w:uri="http://schemas.microsoft.com/office/word" w:val="15"/>
  </w:compat>
  <w:rsids>
    <w:rsidRoot w:val="00000000"/>
    <w:rsid w:val="2FDE1980"/>
    <w:rsid w:val="3C7FF224"/>
    <w:rsid w:val="3EFF08BF"/>
    <w:rsid w:val="7F7B755C"/>
    <w:rsid w:val="7FFF6368"/>
    <w:rsid w:val="B7379936"/>
    <w:rsid w:val="CEFDC5B0"/>
    <w:rsid w:val="E6BF65A2"/>
    <w:rsid w:val="EF3C7E34"/>
    <w:rsid w:val="F26EE634"/>
    <w:rsid w:val="FE7EF973"/>
    <w:rsid w:val="FFD707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3864"/>
      <w:sz w:val="32"/>
      <w:szCs w:val="32"/>
    </w:rPr>
  </w:style>
  <w:style w:type="paragraph" w:styleId="3">
    <w:name w:val="heading 2"/>
    <w:next w:val="1"/>
    <w:qFormat/>
    <w:uiPriority w:val="0"/>
    <w:pPr>
      <w:spacing w:before="220" w:after="140"/>
      <w:outlineLvl w:val="1"/>
    </w:pPr>
    <w:rPr>
      <w:rFonts w:ascii="Arial" w:hAnsi="Arial" w:eastAsia="Arial" w:cs="Arial"/>
      <w:b/>
      <w:bCs/>
      <w:color w:val="2E5F9E"/>
      <w:sz w:val="26"/>
      <w:szCs w:val="26"/>
    </w:rPr>
  </w:style>
  <w:style w:type="paragraph" w:styleId="4">
    <w:name w:val="heading 3"/>
    <w:next w:val="1"/>
    <w:qFormat/>
    <w:uiPriority w:val="0"/>
    <w:pPr>
      <w:spacing w:before="160" w:after="100"/>
      <w:outlineLvl w:val="2"/>
    </w:pPr>
    <w:rPr>
      <w:rFonts w:ascii="Arial" w:hAnsi="Arial" w:eastAsia="Arial" w:cs="Arial"/>
      <w:b/>
      <w:bCs/>
      <w:color w:val="333333"/>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TotalTime>26</TotalTime>
  <ScaleCrop>false</ScaleCrop>
  <LinksUpToDate>false</LinksUpToDate>
  <Application>WPS Office_12.1.25200.25200_F1E327BC-269C-435d-A152-05C5408002CA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2026-04-22T21:08:00Z</dcterms:created>
  <dc:creator>InflationMonitor 研究组</dc:creator>
  <dc:description>Monetary policy framework reform paper</dc:description>
  <cp:lastModifiedBy>xiaojun mao (Vivienna)</cp:lastModifiedBy>
  <dcterms:modified xsi:type="dcterms:W3CDTF">2026-04-22T13:31:06Z</dcterms:modified>
  <dc:title>从沃什框架看美联储下一棒范式转换</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2052-12.1.25200.25200</vt:lpwstr>
  </property>
  <property fmtid="{D5CDD505-2E9C-101B-9397-08002B2CF9AE}" pid="3" name="ICV">
    <vt:lpwstr>50DFFB65B18F9A1D0853E8690E496D09_43</vt:lpwstr>
  </property>
</Properties>
</file>