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40" w:before="240"/>
        <w:jc w:val="center"/>
      </w:pPr>
      <w:r>
        <w:rPr>
          <w:rFonts w:ascii="Arial" w:cs="Arial" w:eastAsia="Arial" w:hAnsi="Arial"/>
          <w:b/>
          <w:bCs/>
          <w:sz w:val="44"/>
          <w:szCs w:val="44"/>
        </w:rPr>
        <w:t xml:space="preserve">从沃什框架看美联储下一棒范式转换</w:t>
      </w:r>
    </w:p>
    <w:p>
      <w:pPr>
        <w:spacing w:after="600" w:before="120"/>
        <w:jc w:val="center"/>
      </w:pPr>
      <w:r>
        <w:rPr>
          <w:rFonts w:ascii="Arial" w:cs="Arial" w:eastAsia="Arial" w:hAnsi="Arial"/>
          <w:b w:val="false"/>
          <w:bCs w:val="false"/>
          <w:color w:val="444444"/>
          <w:sz w:val="28"/>
          <w:szCs w:val="28"/>
        </w:rPr>
        <w:t xml:space="preserve">——历史坐标、通胀分析、与全球主要大类资产中长期再定价</w:t>
      </w:r>
    </w:p>
    <w:p>
      <w:pPr>
        <w:spacing w:after="120" w:before="2400"/>
        <w:jc w:val="center"/>
      </w:pPr>
      <w:r>
        <w:rPr>
          <w:rFonts w:ascii="Arial" w:cs="Arial" w:eastAsia="Arial" w:hAnsi="Arial"/>
          <w:sz w:val="24"/>
          <w:szCs w:val="24"/>
        </w:rPr>
        <w:t xml:space="preserve">InflationMonitor 研究组</w:t>
      </w:r>
    </w:p>
    <w:p>
      <w:pPr>
        <w:spacing w:after="120" w:before="120"/>
        <w:jc w:val="center"/>
      </w:pPr>
      <w:r>
        <w:rPr>
          <w:rFonts w:ascii="Arial" w:cs="Arial" w:eastAsia="Arial" w:hAnsi="Arial"/>
          <w:color w:val="666666"/>
          <w:sz w:val="22"/>
          <w:szCs w:val="22"/>
        </w:rPr>
        <w:t xml:space="preserve">2026 年 4 月 22 日</w:t>
      </w:r>
    </w:p>
    <w:p>
      <w:pPr>
        <w:spacing w:after="120" w:before="120"/>
        <w:jc w:val="center"/>
      </w:pPr>
      <w:r>
        <w:rPr>
          <w:rFonts w:ascii="Arial" w:cs="Arial" w:eastAsia="Arial" w:hAnsi="Arial"/>
          <w:color w:val="999999"/>
          <w:sz w:val="20"/>
          <w:szCs w:val="20"/>
        </w:rPr>
        <w:t xml:space="preserve">v1.0</w:t>
      </w:r>
    </w:p>
    <w:p>
      <w:r>
        <w:br w:type="page"/>
      </w:r>
    </w:p>
    <w:p>
      <w:pPr>
        <w:spacing w:after="240" w:before="240"/>
        <w:jc w:val="center"/>
      </w:pPr>
      <w:r>
        <w:rPr>
          <w:rFonts w:ascii="Arial" w:cs="Arial" w:eastAsia="Arial" w:hAnsi="Arial"/>
          <w:b/>
          <w:bCs/>
          <w:sz w:val="32"/>
          <w:szCs w:val="32"/>
        </w:rPr>
        <w:t xml:space="preserve">摘要</w:t>
      </w:r>
    </w:p>
    <w:p>
      <w:pPr>
        <w:spacing w:after="180" w:before="180" w:line="400"/>
      </w:pPr>
      <w:r>
        <w:rPr>
          <w:rFonts w:ascii="Arial" w:cs="Arial" w:eastAsia="Arial" w:hAnsi="Arial"/>
          <w:sz w:val="22"/>
          <w:szCs w:val="22"/>
        </w:rPr>
        <w:t xml:space="preserve">2026 年 4 月 21 日，凯文·沃什（Kevin Warsh）在参议院银行委员会听证会上清晰勾勒出其若出任美联储主席后的政策路线图——「缩表（QT）与降息并行」的双线组合，以及对 2020 年以来的平均通胀目标制（AIT）做结构性切除。这不是一次技术性参数调整，而是一场货币政策范式的重构，其深层逻辑是逆全球化背景下的「货币主权回归」：美联储从事实上的「全球央行」退回到美国央行的本位。本文以 InflationMonitor 的 IPS 因子框架（IPS = P+E+D+F+N）为分析工具，结合 1979 年以来美联储框架演变的历史坐标，判断沃什框架对全球黄金、美元、美债、美股四类资产在未来 1–3 年的方向性影响。核心结论：黄金为三情景下最确定的中长期多头；美元结构性走弱但路径双向波动；美债久期风险系统性抬升；美股牛短熊长、分化加剧。</w:t>
      </w:r>
    </w:p>
    <w:p>
      <w:pPr>
        <w:spacing w:after="240" w:before="240" w:line="360"/>
      </w:pPr>
      <w:r>
        <w:rPr>
          <w:rFonts w:ascii="Arial" w:cs="Arial" w:eastAsia="Arial" w:hAnsi="Arial"/>
          <w:b/>
          <w:bCs/>
          <w:sz w:val="22"/>
          <w:szCs w:val="22"/>
        </w:rPr>
        <w:t xml:space="preserve">关键词：</w:t>
      </w:r>
      <w:r>
        <w:rPr>
          <w:rFonts w:ascii="Arial" w:cs="Arial" w:eastAsia="Arial" w:hAnsi="Arial"/>
          <w:sz w:val="22"/>
          <w:szCs w:val="22"/>
        </w:rPr>
        <w:t xml:space="preserve">沃什框架、QT、AIT、货币主权、IPS 因子模型、财政主导、资产再定价</w:t>
      </w:r>
    </w:p>
    <w:p>
      <w:r>
        <w:br w:type="page"/>
      </w:r>
    </w:p>
    <w:p>
      <w:pPr>
        <w:spacing w:after="360" w:before="240"/>
        <w:jc w:val="center"/>
      </w:pPr>
      <w:r>
        <w:rPr>
          <w:rFonts w:ascii="Arial" w:cs="Arial" w:eastAsia="Arial" w:hAnsi="Arial"/>
          <w:b/>
          <w:bCs/>
          <w:sz w:val="32"/>
          <w:szCs w:val="32"/>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1. 引言：沃什听证会的政策信号</w:t>
      </w:r>
    </w:p>
    <w:p>
      <w:pPr>
        <w:spacing w:after="60" w:before="60" w:line="360"/>
      </w:pPr>
      <w:r>
        <w:rPr>
          <w:rFonts w:ascii="Arial" w:cs="Arial" w:eastAsia="Arial" w:hAnsi="Arial"/>
          <w:sz w:val="22"/>
          <w:szCs w:val="22"/>
        </w:rPr>
        <w:t xml:space="preserve">2026 年 4 月 21 日上午，凯文·沃什在参议院银行委员会的提名听证会上系统阐述了三方面政策主张：</w:t>
      </w:r>
    </w:p>
    <w:p>
      <w:pPr>
        <w:pStyle w:val="ListParagraph"/>
        <w:numPr>
          <w:ilvl w:val="0"/>
          <w:numId w:val="2"/>
        </w:numPr>
        <w:spacing w:after="40" w:before="40" w:line="340"/>
      </w:pPr>
      <w:r>
        <w:rPr>
          <w:rFonts w:ascii="Arial" w:cs="Arial" w:eastAsia="Arial" w:hAnsi="Arial"/>
          <w:sz w:val="22"/>
          <w:szCs w:val="22"/>
        </w:rPr>
        <w:t xml:space="preserve">信誉重建：「过去几年的高通胀已经削弱了美联储在通胀管理方面的公信力」，并援引弗里德曼「守旧的桎梏」（the tyranny of the status quo）一说，强调「当世界快速变化时，固守现状的做法和政策尤其具有破坏性」。</w:t>
      </w:r>
    </w:p>
    <w:p>
      <w:pPr>
        <w:pStyle w:val="ListParagraph"/>
        <w:numPr>
          <w:ilvl w:val="0"/>
          <w:numId w:val="2"/>
        </w:numPr>
        <w:spacing w:after="40" w:before="40" w:line="340"/>
      </w:pPr>
      <w:r>
        <w:rPr>
          <w:rFonts w:ascii="Arial" w:cs="Arial" w:eastAsia="Arial" w:hAnsi="Arial"/>
          <w:sz w:val="22"/>
          <w:szCs w:val="22"/>
        </w:rPr>
        <w:t xml:space="preserve">通胀分析框架重构：采用更具代表性的通胀指标、聚焦潜在趋势、弱化对点阵图的依赖、将人工智能（AI）浪潮纳入通胀前景判断。</w:t>
      </w:r>
    </w:p>
    <w:p>
      <w:pPr>
        <w:pStyle w:val="ListParagraph"/>
        <w:numPr>
          <w:ilvl w:val="0"/>
          <w:numId w:val="2"/>
        </w:numPr>
        <w:spacing w:after="40" w:before="40" w:line="340"/>
      </w:pPr>
      <w:r>
        <w:rPr>
          <w:rFonts w:ascii="Arial" w:cs="Arial" w:eastAsia="Arial" w:hAnsi="Arial"/>
          <w:sz w:val="22"/>
          <w:szCs w:val="22"/>
        </w:rPr>
        <w:t xml:space="preserve">资产负债表改革：反对 QE 常态化，主张逐步缩表；QE 仅作为零利率下限时的非常规工具；美联储应退出类财政职能，不应长期持有大规模长久期资产。当前 MBS 持仓约 2 万亿美元将成为优先削减对象。</w:t>
      </w:r>
    </w:p>
    <w:p>
      <w:pPr>
        <w:pStyle w:val="ListParagraph"/>
        <w:numPr>
          <w:ilvl w:val="0"/>
          <w:numId w:val="2"/>
        </w:numPr>
        <w:spacing w:after="40" w:before="40" w:line="340"/>
      </w:pPr>
      <w:r>
        <w:rPr>
          <w:rFonts w:ascii="Arial" w:cs="Arial" w:eastAsia="Arial" w:hAnsi="Arial"/>
          <w:sz w:val="22"/>
          <w:szCs w:val="22"/>
        </w:rPr>
        <w:t xml:space="preserve">利率政策重新定位：降息未作承诺但倾向明显；关键论断是「降息对『主街』的支持强于 QE 对华尔街的支持」；利率政策与资产负债表政策协同配合。</w:t>
      </w:r>
    </w:p>
    <w:p>
      <w:pPr>
        <w:spacing w:after="60" w:before="60" w:line="360"/>
      </w:pPr>
      <w:r>
        <w:rPr>
          <w:rFonts w:ascii="Arial" w:cs="Arial" w:eastAsia="Arial" w:hAnsi="Arial"/>
          <w:sz w:val="22"/>
          <w:szCs w:val="22"/>
        </w:rPr>
        <w:t xml:space="preserve">与市场预期最大的差异在于第 3 点与第 4 点的组合：多数分析师此前将「鸽派」与「扩表」、「鹰派」与「紧缩」捆绑，沃什却把两者解耦成「紧量 + 松价」的新组合——缩表（紧量）压制金融资产的估值扩张，降息（松价）支持实体融资成本下行。这一解耦对四类资产的影响是非对称且非线性的，本文其余部分即是对此非对称性的展开。</w:t>
      </w:r>
    </w:p>
    <w:p>
      <w:pPr>
        <w:pStyle w:val="Heading1"/>
        <w:pageBreakBefore/>
      </w:pPr>
      <w:r>
        <w:rPr>
          <w:rFonts w:ascii="Arial" w:cs="Arial" w:eastAsia="Arial" w:hAnsi="Arial"/>
          <w:b/>
          <w:bCs/>
          <w:sz w:val="32"/>
          <w:szCs w:val="32"/>
        </w:rPr>
        <w:t xml:space="preserve">2. 美联储货币政策框架演变史：六个阶段</w:t>
      </w:r>
    </w:p>
    <w:p>
      <w:pPr>
        <w:spacing w:after="60" w:before="60" w:line="360"/>
      </w:pPr>
      <w:r>
        <w:rPr>
          <w:rFonts w:ascii="Arial" w:cs="Arial" w:eastAsia="Arial" w:hAnsi="Arial"/>
          <w:sz w:val="22"/>
          <w:szCs w:val="22"/>
        </w:rPr>
        <w:t xml:space="preserve">要理解沃什框架的激进程度，必须把它放回 46 年的演化坐标。</w:t>
      </w:r>
    </w:p>
    <w:p>
      <w:pPr>
        <w:pStyle w:val="Heading2"/>
      </w:pPr>
      <w:r>
        <w:rPr>
          <w:rFonts w:ascii="Arial" w:cs="Arial" w:eastAsia="Arial" w:hAnsi="Arial"/>
          <w:b/>
          <w:bCs/>
          <w:sz w:val="26"/>
          <w:szCs w:val="26"/>
        </w:rPr>
        <w:t xml:space="preserve">2.1 沃尔克时代（1979–1987）：货币数量目标 + 信誉建立</w:t>
      </w:r>
    </w:p>
    <w:p>
      <w:pPr>
        <w:spacing w:after="60" w:before="60" w:line="360"/>
      </w:pPr>
      <w:r>
        <w:rPr>
          <w:rFonts w:ascii="Arial" w:cs="Arial" w:eastAsia="Arial" w:hAnsi="Arial"/>
          <w:sz w:val="22"/>
          <w:szCs w:val="22"/>
        </w:rPr>
        <w:t xml:space="preserve">1979 年 10 月 6 日「周六夜袭」（Saturday Night Special），沃尔克宣布以货币供应量（M1）为操作目标，联邦基金利率一度上攻 20%，美国连续两次衰退（1980、1981-82）。代价：失业率 10.8%，但 1983 年起 CPI 从 14.8% 回落至 3%。美联储的反通胀信誉在衰退中被焊死。这是此后 40 年所有美联储主席隐性继承的资产。</w:t>
      </w:r>
    </w:p>
    <w:p>
      <w:pPr>
        <w:pStyle w:val="Heading2"/>
      </w:pPr>
      <w:r>
        <w:rPr>
          <w:rFonts w:ascii="Arial" w:cs="Arial" w:eastAsia="Arial" w:hAnsi="Arial"/>
          <w:b/>
          <w:bCs/>
          <w:sz w:val="26"/>
          <w:szCs w:val="26"/>
        </w:rPr>
        <w:t xml:space="preserve">2.2 格林斯潘时代（1987–2006）：隐含通胀目标 + 格林斯潘看跌期权</w:t>
      </w:r>
    </w:p>
    <w:p>
      <w:pPr>
        <w:spacing w:after="60" w:before="60" w:line="360"/>
      </w:pPr>
      <w:r>
        <w:rPr>
          <w:rFonts w:ascii="Arial" w:cs="Arial" w:eastAsia="Arial" w:hAnsi="Arial"/>
          <w:sz w:val="22"/>
          <w:szCs w:val="22"/>
        </w:rPr>
        <w:t xml:space="preserve">货币数量目标被悄然放弃，泰勒规则成为操作框架。格林斯潘确立了对市场预期的精细引导，但也在 1987 黑色星期一、1998 LTCM、2001 互联网泡沫三次流动性事件中形成了「看跌期权」式的干预惯性——泡沫期不作为、破裂后大幅宽松。这为日后的非对称性埋下种子。独立性在操作层面成熟，但美联储开始为资产价格托底。</w:t>
      </w:r>
    </w:p>
    <w:p>
      <w:pPr>
        <w:pStyle w:val="Heading2"/>
      </w:pPr>
      <w:r>
        <w:rPr>
          <w:rFonts w:ascii="Arial" w:cs="Arial" w:eastAsia="Arial" w:hAnsi="Arial"/>
          <w:b/>
          <w:bCs/>
          <w:sz w:val="26"/>
          <w:szCs w:val="26"/>
        </w:rPr>
        <w:t xml:space="preserve">2.3 伯南克时代（2006–2014）：QE + 双重使命扩张</w:t>
      </w:r>
    </w:p>
    <w:p>
      <w:pPr>
        <w:spacing w:after="60" w:before="60" w:line="360"/>
      </w:pPr>
      <w:r>
        <w:rPr>
          <w:rFonts w:ascii="Arial" w:cs="Arial" w:eastAsia="Arial" w:hAnsi="Arial"/>
          <w:sz w:val="22"/>
          <w:szCs w:val="22"/>
        </w:rPr>
        <w:t xml:space="preserve">2008 年次贷危机后，零利率下限（ZLB）约束下美联储开启 QE：资产负债表从 9000 亿美元扩张至 4.5 万亿美元。2012 年正式采纳 2% 通胀目标制。关键变化：</w:t>
      </w:r>
    </w:p>
    <w:p>
      <w:pPr>
        <w:pStyle w:val="ListParagraph"/>
        <w:numPr>
          <w:ilvl w:val="0"/>
          <w:numId w:val="3"/>
        </w:numPr>
        <w:spacing w:after="40" w:before="40" w:line="340"/>
      </w:pPr>
      <w:r>
        <w:rPr>
          <w:rFonts w:ascii="Arial" w:cs="Arial" w:eastAsia="Arial" w:hAnsi="Arial"/>
          <w:sz w:val="22"/>
          <w:szCs w:val="22"/>
        </w:rPr>
        <w:t xml:space="preserve">工具扩张：前瞻指引（forward guidance）、QE、扭曲操作（Operation Twist）常规化。</w:t>
      </w:r>
    </w:p>
    <w:p>
      <w:pPr>
        <w:pStyle w:val="ListParagraph"/>
        <w:numPr>
          <w:ilvl w:val="0"/>
          <w:numId w:val="3"/>
        </w:numPr>
        <w:spacing w:after="40" w:before="40" w:line="340"/>
      </w:pPr>
      <w:r>
        <w:rPr>
          <w:rFonts w:ascii="Arial" w:cs="Arial" w:eastAsia="Arial" w:hAnsi="Arial"/>
          <w:sz w:val="22"/>
          <w:szCs w:val="22"/>
        </w:rPr>
        <w:t xml:space="preserve">职能扩张：宏观审慎、金融稳定、系统重要性金融机构监管……美联储边界超出单纯货币政策。</w:t>
      </w:r>
    </w:p>
    <w:p>
      <w:pPr>
        <w:spacing w:after="60" w:before="60" w:line="360"/>
      </w:pPr>
      <w:r>
        <w:rPr>
          <w:rFonts w:ascii="Arial" w:cs="Arial" w:eastAsia="Arial" w:hAnsi="Arial"/>
          <w:sz w:val="22"/>
          <w:szCs w:val="22"/>
        </w:rPr>
        <w:t xml:space="preserve">这两项扩张正是沃什此次点名要「退出」的对象。</w:t>
      </w:r>
    </w:p>
    <w:p>
      <w:pPr>
        <w:pStyle w:val="Heading2"/>
      </w:pPr>
      <w:r>
        <w:rPr>
          <w:rFonts w:ascii="Arial" w:cs="Arial" w:eastAsia="Arial" w:hAnsi="Arial"/>
          <w:b/>
          <w:bCs/>
          <w:sz w:val="26"/>
          <w:szCs w:val="26"/>
        </w:rPr>
        <w:t xml:space="preserve">2.4 耶伦–鲍威尔上半场（2014–2020）：未竟的缩表</w:t>
      </w:r>
    </w:p>
    <w:p>
      <w:pPr>
        <w:spacing w:after="60" w:before="60" w:line="360"/>
      </w:pPr>
      <w:r>
        <w:rPr>
          <w:rFonts w:ascii="Arial" w:cs="Arial" w:eastAsia="Arial" w:hAnsi="Arial"/>
          <w:sz w:val="22"/>
          <w:szCs w:val="22"/>
        </w:rPr>
        <w:t xml:space="preserve">2015–2018 年美联储实施加息+温和缩表，资产负债表从 4.5 万亿压缩至 3.8 万亿。但 2019 年 Q4 回购市场利率飙升事件暴露了银行体系准备金需求的结构性上升：联储被迫重启扩表（口头称「非 QE」）。这一事件对本次沃什改革的启示是直接的：缩表必须与金融监管（尤其 eSLR）、回购工具、国债发行节奏协同，否则会触发流动性事故。</w:t>
      </w:r>
    </w:p>
    <w:p>
      <w:pPr>
        <w:pStyle w:val="Heading2"/>
      </w:pPr>
      <w:r>
        <w:rPr>
          <w:rFonts w:ascii="Arial" w:cs="Arial" w:eastAsia="Arial" w:hAnsi="Arial"/>
          <w:b/>
          <w:bCs/>
          <w:sz w:val="26"/>
          <w:szCs w:val="26"/>
        </w:rPr>
        <w:t xml:space="preserve">2.5 鲍威尔下半场（2020–2025）：AIT 与框架失灵</w:t>
      </w:r>
    </w:p>
    <w:p>
      <w:pPr>
        <w:spacing w:after="60" w:before="60" w:line="360"/>
      </w:pPr>
      <w:r>
        <w:rPr>
          <w:rFonts w:ascii="Arial" w:cs="Arial" w:eastAsia="Arial" w:hAnsi="Arial"/>
          <w:sz w:val="22"/>
          <w:szCs w:val="22"/>
        </w:rPr>
        <w:t xml:space="preserve">2020 年 8 月 Jackson Hole 会议，鲍威尔宣布平均通胀目标制（Average Inflation Targeting, AIT）：在长时间低于 2% 之后，容忍通胀适度过冲以使长期平均值达标。这一框架的两个核心假设——</w:t>
      </w:r>
    </w:p>
    <w:p>
      <w:pPr>
        <w:pStyle w:val="ListParagraph"/>
        <w:numPr>
          <w:ilvl w:val="0"/>
          <w:numId w:val="2"/>
        </w:numPr>
        <w:spacing w:after="40" w:before="40" w:line="340"/>
      </w:pPr>
      <w:r>
        <w:rPr>
          <w:rFonts w:ascii="Arial" w:cs="Arial" w:eastAsia="Arial" w:hAnsi="Arial"/>
          <w:sz w:val="22"/>
          <w:szCs w:val="22"/>
        </w:rPr>
        <w:t xml:space="preserve">通胀的非对称风险仍偏向下方；</w:t>
      </w:r>
    </w:p>
    <w:p>
      <w:pPr>
        <w:pStyle w:val="ListParagraph"/>
        <w:numPr>
          <w:ilvl w:val="0"/>
          <w:numId w:val="2"/>
        </w:numPr>
        <w:spacing w:after="40" w:before="40" w:line="340"/>
      </w:pPr>
      <w:r>
        <w:rPr>
          <w:rFonts w:ascii="Arial" w:cs="Arial" w:eastAsia="Arial" w:hAnsi="Arial"/>
          <w:sz w:val="22"/>
          <w:szCs w:val="22"/>
        </w:rPr>
        <w:t xml:space="preserve">通胀预期「锚定在 2%」具有韧性；</w:t>
      </w:r>
    </w:p>
    <w:p>
      <w:pPr>
        <w:spacing w:after="60" w:before="60" w:line="360"/>
      </w:pPr>
      <w:r>
        <w:rPr>
          <w:rFonts w:ascii="Arial" w:cs="Arial" w:eastAsia="Arial" w:hAnsi="Arial"/>
          <w:sz w:val="22"/>
          <w:szCs w:val="22"/>
        </w:rPr>
        <w:t xml:space="preserve">——在 2021-2022 年的财政扩张 + 供给冲击 + 能源价格飙升复合冲击下被同时证伪。核心 PCE 一度触及 5.6%，美联储 2022 年全年加息 425bps 仍未追上曲线。</w:t>
      </w:r>
    </w:p>
    <w:p>
      <w:pPr>
        <w:spacing w:after="60" w:before="60" w:line="360"/>
      </w:pPr>
      <w:r>
        <w:rPr>
          <w:rFonts w:ascii="Arial" w:cs="Arial" w:eastAsia="Arial" w:hAnsi="Arial"/>
          <w:sz w:val="22"/>
          <w:szCs w:val="22"/>
        </w:rPr>
        <w:t xml:space="preserve">AIT 的结构性问题：</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700"/>
        <w:gridCol w:w="38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c>
          <w:tcPr>
            <w:tcW w:type="dxa" w:w="37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AIT 设计</w:t>
            </w:r>
          </w:p>
        </w:tc>
        <w:tc>
          <w:tcPr>
            <w:tcW w:type="dxa" w:w="38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实际后果</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下行补偿</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通胀低于 2% 时期积累「欠账」</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疫情宽松加码</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上行容忍</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 过冲在「一段时间内」被允许</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2021 年前瞻指引延误紧缩</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对称性</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名义设计对称</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实际上偏向「容忍更高」</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政策反射</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压低市场通胀预期</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2022 后反向——Michigan 1Y 一度脱锚</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信誉损失是非对称的：一次误判掏空的信用比三次正确决策累积的还多。这正是沃什的直接靶子。</w:t>
      </w:r>
    </w:p>
    <w:p>
      <w:pPr>
        <w:pStyle w:val="Heading2"/>
      </w:pPr>
      <w:r>
        <w:rPr>
          <w:rFonts w:ascii="Arial" w:cs="Arial" w:eastAsia="Arial" w:hAnsi="Arial"/>
          <w:b/>
          <w:bCs/>
          <w:sz w:val="26"/>
          <w:szCs w:val="26"/>
        </w:rPr>
        <w:t xml:space="preserve">2.6 沃什代表的下一棒（2026–?）：向稀缺回归</w:t>
      </w:r>
    </w:p>
    <w:p>
      <w:pPr>
        <w:spacing w:after="60" w:before="60" w:line="360"/>
      </w:pPr>
      <w:r>
        <w:rPr>
          <w:rFonts w:ascii="Arial" w:cs="Arial" w:eastAsia="Arial" w:hAnsi="Arial"/>
          <w:sz w:val="22"/>
          <w:szCs w:val="22"/>
        </w:rPr>
        <w:t xml:space="preserve">沃什的框架在本质上是向沃尔克和早期格林斯潘的信誉本位回归，同时加入新时代变量：</w:t>
      </w:r>
    </w:p>
    <w:p>
      <w:pPr>
        <w:pStyle w:val="ListParagraph"/>
        <w:numPr>
          <w:ilvl w:val="0"/>
          <w:numId w:val="3"/>
        </w:numPr>
        <w:spacing w:after="40" w:before="40" w:line="340"/>
      </w:pPr>
      <w:r>
        <w:rPr>
          <w:rFonts w:ascii="Arial" w:cs="Arial" w:eastAsia="Arial" w:hAnsi="Arial"/>
          <w:sz w:val="22"/>
          <w:szCs w:val="22"/>
        </w:rPr>
        <w:t xml:space="preserve">向 1979–1983 学习：信誉是硬约束。</w:t>
      </w:r>
    </w:p>
    <w:p>
      <w:pPr>
        <w:pStyle w:val="ListParagraph"/>
        <w:numPr>
          <w:ilvl w:val="0"/>
          <w:numId w:val="3"/>
        </w:numPr>
        <w:spacing w:after="40" w:before="40" w:line="340"/>
      </w:pPr>
      <w:r>
        <w:rPr>
          <w:rFonts w:ascii="Arial" w:cs="Arial" w:eastAsia="Arial" w:hAnsi="Arial"/>
          <w:sz w:val="22"/>
          <w:szCs w:val="22"/>
        </w:rPr>
        <w:t xml:space="preserve">向 2015–2018 学习：QT 可行但需制度配合。</w:t>
      </w:r>
    </w:p>
    <w:p>
      <w:pPr>
        <w:pStyle w:val="ListParagraph"/>
        <w:numPr>
          <w:ilvl w:val="0"/>
          <w:numId w:val="3"/>
        </w:numPr>
        <w:spacing w:after="40" w:before="40" w:line="340"/>
      </w:pPr>
      <w:r>
        <w:rPr>
          <w:rFonts w:ascii="Arial" w:cs="Arial" w:eastAsia="Arial" w:hAnsi="Arial"/>
          <w:sz w:val="22"/>
          <w:szCs w:val="22"/>
        </w:rPr>
        <w:t xml:space="preserve">新增变量：AI 带来的结构性供给侧通缩、逆全球化下的美元职能收缩、Trump 政府的美国优先战略。</w:t>
      </w:r>
    </w:p>
    <w:p>
      <w:pPr>
        <w:spacing w:after="60" w:before="60" w:line="360"/>
      </w:pPr>
      <w:r>
        <w:rPr>
          <w:rFonts w:ascii="Arial" w:cs="Arial" w:eastAsia="Arial" w:hAnsi="Arial"/>
          <w:sz w:val="22"/>
          <w:szCs w:val="22"/>
        </w:rPr>
        <w:t xml:space="preserve">历史上每一次范式转换都伴随着 18–36 个月的资产再定价期。我们当前正站在这个周期的起点。</w:t>
      </w:r>
    </w:p>
    <w:p>
      <w:pPr>
        <w:pStyle w:val="Heading1"/>
        <w:pageBreakBefore/>
      </w:pPr>
      <w:r>
        <w:rPr>
          <w:rFonts w:ascii="Arial" w:cs="Arial" w:eastAsia="Arial" w:hAnsi="Arial"/>
          <w:b/>
          <w:bCs/>
          <w:sz w:val="32"/>
          <w:szCs w:val="32"/>
        </w:rPr>
        <w:t xml:space="preserve">3. 沃什框架的五大支柱（从听证会提炼）</w:t>
      </w:r>
    </w:p>
    <w:p>
      <w:pPr>
        <w:pStyle w:val="Heading2"/>
      </w:pPr>
      <w:r>
        <w:rPr>
          <w:rFonts w:ascii="Arial" w:cs="Arial" w:eastAsia="Arial" w:hAnsi="Arial"/>
          <w:b/>
          <w:bCs/>
          <w:sz w:val="26"/>
          <w:szCs w:val="26"/>
        </w:rPr>
        <w:t xml:space="preserve">3.1 支柱一：通胀框架重构——「更具代表性的指标」</w:t>
      </w:r>
    </w:p>
    <w:p>
      <w:pPr>
        <w:spacing w:after="120" w:before="120" w:line="360"/>
        <w:ind w:left="720" w:right="720"/>
      </w:pPr>
      <w:r>
        <w:rPr>
          <w:rFonts w:ascii="Arial" w:cs="Arial" w:eastAsia="Arial" w:hAnsi="Arial"/>
          <w:i/>
          <w:iCs/>
          <w:color w:val="444444"/>
          <w:sz w:val="22"/>
          <w:szCs w:val="22"/>
        </w:rPr>
        <w:t xml:space="preserve">沃什原话：「采用更具代表性的通胀指标、聚焦通胀的潜在趋势、弱化对点阵图的依赖。」</w:t>
      </w:r>
    </w:p>
    <w:p>
      <w:pPr>
        <w:spacing w:after="60" w:before="60" w:line="360"/>
      </w:pPr>
      <w:r>
        <w:rPr>
          <w:rFonts w:ascii="Arial" w:cs="Arial" w:eastAsia="Arial" w:hAnsi="Arial"/>
          <w:sz w:val="22"/>
          <w:szCs w:val="22"/>
        </w:rPr>
        <w:t xml:space="preserve">解读：</w:t>
      </w:r>
    </w:p>
    <w:p>
      <w:pPr>
        <w:pStyle w:val="ListParagraph"/>
        <w:numPr>
          <w:ilvl w:val="0"/>
          <w:numId w:val="3"/>
        </w:numPr>
        <w:spacing w:after="40" w:before="40" w:line="340"/>
      </w:pPr>
      <w:r>
        <w:rPr>
          <w:rFonts w:ascii="Arial" w:cs="Arial" w:eastAsia="Arial" w:hAnsi="Arial"/>
          <w:sz w:val="22"/>
          <w:szCs w:val="22"/>
        </w:rPr>
        <w:t xml:space="preserve">多指标并用：PCE / Core PCE / CPI / Truflation 实时数据 / 修正后的住房通胀（扣除滞后）将被综合评估，不再被某一单一序列绑架。</w:t>
      </w:r>
    </w:p>
    <w:p>
      <w:pPr>
        <w:pStyle w:val="ListParagraph"/>
        <w:numPr>
          <w:ilvl w:val="0"/>
          <w:numId w:val="3"/>
        </w:numPr>
        <w:spacing w:after="40" w:before="40" w:line="340"/>
      </w:pPr>
      <w:r>
        <w:rPr>
          <w:rFonts w:ascii="Arial" w:cs="Arial" w:eastAsia="Arial" w:hAnsi="Arial"/>
          <w:sz w:val="22"/>
          <w:szCs w:val="22"/>
        </w:rPr>
        <w:t xml:space="preserve">「潜在趋势」（underlying trend）：更关注剔除供给冲击后的核心粘性成分——这与圆桌讨论中 InflationMonitor IPS 的 P 分项设计方向一致（Core CPI、Core PCE、服务 ex-shelter 权重提升）。</w:t>
      </w:r>
    </w:p>
    <w:p>
      <w:pPr>
        <w:pStyle w:val="ListParagraph"/>
        <w:numPr>
          <w:ilvl w:val="0"/>
          <w:numId w:val="3"/>
        </w:numPr>
        <w:spacing w:after="40" w:before="40" w:line="340"/>
      </w:pPr>
      <w:r>
        <w:rPr>
          <w:rFonts w:ascii="Arial" w:cs="Arial" w:eastAsia="Arial" w:hAnsi="Arial"/>
          <w:sz w:val="22"/>
          <w:szCs w:val="22"/>
        </w:rPr>
        <w:t xml:space="preserve">弱化点阵图：点阵图作为「委员预期中位数」，近两年多次成为市场误导工具（2022 年 3 月点阵图全年预期 7 次加息，实际 10 次；2024 年 3 月预期 3 次降息，实际 1 次）。弱化点阵图意味着强化政策陈述本身的分量，降低前瞻指引的成本。</w:t>
      </w:r>
    </w:p>
    <w:p>
      <w:pPr>
        <w:pStyle w:val="Heading2"/>
      </w:pPr>
      <w:r>
        <w:rPr>
          <w:rFonts w:ascii="Arial" w:cs="Arial" w:eastAsia="Arial" w:hAnsi="Arial"/>
          <w:b/>
          <w:bCs/>
          <w:sz w:val="26"/>
          <w:szCs w:val="26"/>
        </w:rPr>
        <w:t xml:space="preserve">3.2 支柱二：信誉重建——「行动而非言辞」</w:t>
      </w:r>
    </w:p>
    <w:p>
      <w:pPr>
        <w:spacing w:after="120" w:before="120" w:line="360"/>
        <w:ind w:left="720" w:right="720"/>
      </w:pPr>
      <w:r>
        <w:rPr>
          <w:rFonts w:ascii="Arial" w:cs="Arial" w:eastAsia="Arial" w:hAnsi="Arial"/>
          <w:i/>
          <w:iCs/>
          <w:color w:val="444444"/>
          <w:sz w:val="22"/>
          <w:szCs w:val="22"/>
        </w:rPr>
        <w:t xml:space="preserve">沃什原话：「信誉必须通过实际行动来建立」。</w:t>
      </w:r>
    </w:p>
    <w:p>
      <w:pPr>
        <w:spacing w:after="60" w:before="60" w:line="360"/>
      </w:pPr>
      <w:r>
        <w:rPr>
          <w:rFonts w:ascii="Arial" w:cs="Arial" w:eastAsia="Arial" w:hAnsi="Arial"/>
          <w:sz w:val="22"/>
          <w:szCs w:val="22"/>
        </w:rPr>
        <w:t xml:space="preserve">解读：这是对 AIT「灵活性」话术的直接拒斥。AIT 允许在不同语境下对「平均通胀」给出不同解读——这种弹性在 2021 年成为宽松延续的话术掩护。沃什的逻辑是：名义目标越清晰，市场的自我调节越有效；名义目标越灵活，政策越依赖委员会的主观判断，波动越大。</w:t>
      </w:r>
    </w:p>
    <w:p>
      <w:pPr>
        <w:pStyle w:val="Heading2"/>
      </w:pPr>
      <w:r>
        <w:rPr>
          <w:rFonts w:ascii="Arial" w:cs="Arial" w:eastAsia="Arial" w:hAnsi="Arial"/>
          <w:b/>
          <w:bCs/>
          <w:sz w:val="26"/>
          <w:szCs w:val="26"/>
        </w:rPr>
        <w:t xml:space="preserve">3.3 支柱三：QT 作为制度常态——资产负债表下降路径</w:t>
      </w:r>
    </w:p>
    <w:p>
      <w:pPr>
        <w:spacing w:after="60" w:before="60" w:line="360"/>
      </w:pPr>
      <w:r>
        <w:rPr>
          <w:rFonts w:ascii="Arial" w:cs="Arial" w:eastAsia="Arial" w:hAnsi="Arial"/>
          <w:sz w:val="22"/>
          <w:szCs w:val="22"/>
        </w:rPr>
        <w:t xml:space="preserve">沃什是听证会上最具操作性的主张：</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100"/>
        <w:gridCol w:w="366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维度</w:t>
            </w:r>
          </w:p>
        </w:tc>
        <w:tc>
          <w:tcPr>
            <w:tcW w:type="dxa" w:w="41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沃什立场</w:t>
            </w:r>
          </w:p>
        </w:tc>
        <w:tc>
          <w:tcPr>
            <w:tcW w:type="dxa" w:w="36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操作含义</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负债端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压缩准备金规模</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长期准备金 / GDP 比例下降</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资产端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优先削减 MBS（当前持仓 ~2 万亿）</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MBS 占比从 31% 逐步归零</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节奏</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渐进、可预期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每月缩减规模分阶段提速</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制度配合</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 优化 + 回购工具精细化 + 国债发行可预期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降低金融市场扰动</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与财政协同</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与财政部协调路径，但不妥协于财政支配</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间接倒逼财政纪律</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启动时点</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预计最快 2027 年初</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给市场充分预期窗口</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关键细节：</w:t>
      </w:r>
      <w:r>
        <w:rPr>
          <w:rFonts w:ascii="Arial" w:cs="Arial" w:eastAsia="Arial" w:hAnsi="Arial"/>
          <w:sz w:val="22"/>
          <w:szCs w:val="22"/>
        </w:rPr>
        <w:t xml:space="preserve">沃什认为「</w:t>
      </w:r>
      <w:r>
        <w:rPr>
          <w:rFonts w:ascii="Arial" w:cs="Arial" w:eastAsia="Arial" w:hAnsi="Arial"/>
          <w:i/>
          <w:iCs/>
          <w:sz w:val="22"/>
          <w:szCs w:val="22"/>
        </w:rPr>
        <w:t xml:space="preserve">资产负债表的扩张更多推升了金融资产价格，使资产持有者受益，却未能惠及普通民众</w:t>
      </w:r>
      <w:r>
        <w:rPr>
          <w:rFonts w:ascii="Arial" w:cs="Arial" w:eastAsia="Arial" w:hAnsi="Arial"/>
          <w:sz w:val="22"/>
          <w:szCs w:val="22"/>
        </w:rPr>
        <w:t xml:space="preserve">」。这一论断是沃什对 Fed Put 的正面否定——QE 的利益分配偏向资本持有者，是美联储信誉问题的经济基础而非技术基础。</w:t>
      </w:r>
    </w:p>
    <w:p>
      <w:pPr>
        <w:pStyle w:val="Heading2"/>
      </w:pPr>
      <w:r>
        <w:rPr>
          <w:rFonts w:ascii="Arial" w:cs="Arial" w:eastAsia="Arial" w:hAnsi="Arial"/>
          <w:b/>
          <w:bCs/>
          <w:sz w:val="26"/>
          <w:szCs w:val="26"/>
        </w:rPr>
        <w:t xml:space="preserve">3.4 支柱四：QE 降级——从常规工具到零利率下限应急</w:t>
      </w:r>
    </w:p>
    <w:p>
      <w:pPr>
        <w:spacing w:after="120" w:before="120" w:line="360"/>
        <w:ind w:left="720" w:right="720"/>
      </w:pPr>
      <w:r>
        <w:rPr>
          <w:rFonts w:ascii="Arial" w:cs="Arial" w:eastAsia="Arial" w:hAnsi="Arial"/>
          <w:i/>
          <w:iCs/>
          <w:color w:val="444444"/>
          <w:sz w:val="22"/>
          <w:szCs w:val="22"/>
        </w:rPr>
        <w:t xml:space="preserve">沃什原话：「QE 应仅作为零利率下限时的非常规工具，而不应成为常规政策手段。」</w:t>
      </w:r>
    </w:p>
    <w:p>
      <w:pPr>
        <w:spacing w:after="60" w:before="60" w:line="360"/>
      </w:pPr>
      <w:r>
        <w:rPr>
          <w:rFonts w:ascii="Arial" w:cs="Arial" w:eastAsia="Arial" w:hAnsi="Arial"/>
          <w:sz w:val="22"/>
          <w:szCs w:val="22"/>
        </w:rPr>
        <w:t xml:space="preserve">解读：这是沃什框架中对市场定价最具破坏性的一条。2009 年以来，QE 不仅是危机工具，更成为市场「Fed Put」预期的基础——每次风险事件，市场假设 Fed 会通过扩表救市。这一预期在资产定价中体现为：</w:t>
      </w:r>
    </w:p>
    <w:p>
      <w:pPr>
        <w:pStyle w:val="ListParagraph"/>
        <w:numPr>
          <w:ilvl w:val="0"/>
          <w:numId w:val="3"/>
        </w:numPr>
        <w:spacing w:after="40" w:before="40" w:line="340"/>
      </w:pPr>
      <w:r>
        <w:rPr>
          <w:rFonts w:ascii="Arial" w:cs="Arial" w:eastAsia="Arial" w:hAnsi="Arial"/>
          <w:sz w:val="22"/>
          <w:szCs w:val="22"/>
        </w:rPr>
        <w:t xml:space="preserve">权益估值的「下行保险」：SPX 10 年滚动 Shiller PE 估值中枢从 20 抬升至 32，其中包含 Fed Put 贴现。</w:t>
      </w:r>
    </w:p>
    <w:p>
      <w:pPr>
        <w:pStyle w:val="ListParagraph"/>
        <w:numPr>
          <w:ilvl w:val="0"/>
          <w:numId w:val="3"/>
        </w:numPr>
        <w:spacing w:after="40" w:before="40" w:line="340"/>
      </w:pPr>
      <w:r>
        <w:rPr>
          <w:rFonts w:ascii="Arial" w:cs="Arial" w:eastAsia="Arial" w:hAnsi="Arial"/>
          <w:sz w:val="22"/>
          <w:szCs w:val="22"/>
        </w:rPr>
        <w:t xml:space="preserve">信用利差的「封顶」：高收益债利差在每次冲击后快速回落，被 QE 预期压制。</w:t>
      </w:r>
    </w:p>
    <w:p>
      <w:pPr>
        <w:pStyle w:val="ListParagraph"/>
        <w:numPr>
          <w:ilvl w:val="0"/>
          <w:numId w:val="3"/>
        </w:numPr>
        <w:spacing w:after="40" w:before="40" w:line="340"/>
      </w:pPr>
      <w:r>
        <w:rPr>
          <w:rFonts w:ascii="Arial" w:cs="Arial" w:eastAsia="Arial" w:hAnsi="Arial"/>
          <w:sz w:val="22"/>
          <w:szCs w:val="22"/>
        </w:rPr>
        <w:t xml:space="preserve">美元贬值预期：每轮 QE 启动，DXY 中枢下移 5–10%。</w:t>
      </w:r>
    </w:p>
    <w:p>
      <w:pPr>
        <w:spacing w:after="60" w:before="60" w:line="360"/>
      </w:pPr>
      <w:r>
        <w:rPr>
          <w:rFonts w:ascii="Arial" w:cs="Arial" w:eastAsia="Arial" w:hAnsi="Arial"/>
          <w:sz w:val="22"/>
          <w:szCs w:val="22"/>
        </w:rPr>
        <w:t xml:space="preserve">沃什框架剥离 QE 的常态期权属性，等于要求市场重新定价这三条结构性支撑。</w:t>
      </w:r>
    </w:p>
    <w:p>
      <w:pPr>
        <w:pStyle w:val="Heading2"/>
      </w:pPr>
      <w:r>
        <w:rPr>
          <w:rFonts w:ascii="Arial" w:cs="Arial" w:eastAsia="Arial" w:hAnsi="Arial"/>
          <w:b/>
          <w:bCs/>
          <w:sz w:val="26"/>
          <w:szCs w:val="26"/>
        </w:rPr>
        <w:t xml:space="preserve">3.5 支柱五：货币主权回归——逆全球化下的角色转换</w:t>
      </w:r>
    </w:p>
    <w:p>
      <w:pPr>
        <w:spacing w:after="60" w:before="60" w:line="360"/>
      </w:pPr>
      <w:r>
        <w:rPr>
          <w:rFonts w:ascii="Arial" w:cs="Arial" w:eastAsia="Arial" w:hAnsi="Arial"/>
          <w:sz w:val="22"/>
          <w:szCs w:val="22"/>
        </w:rPr>
        <w:t xml:space="preserve">原文最深刻的论断：</w:t>
      </w:r>
    </w:p>
    <w:p>
      <w:pPr>
        <w:spacing w:after="120" w:before="120" w:line="360"/>
        <w:ind w:left="720" w:right="720"/>
      </w:pPr>
      <w:r>
        <w:rPr>
          <w:rFonts w:ascii="Arial" w:cs="Arial" w:eastAsia="Arial" w:hAnsi="Arial"/>
          <w:i/>
          <w:iCs/>
          <w:color w:val="444444"/>
          <w:sz w:val="22"/>
          <w:szCs w:val="22"/>
        </w:rPr>
        <w:t xml:space="preserve">「全球化时期，美联储承担着全球央行的职能——其货币供给不仅服务于美国国内，也同时向全球输送流动性。美元的投放为全球化提供了润滑剂，美元也成为一种全球公共品。而在逆全球化时代，特朗普的政策重心转向资本回流、服务本土，映射在货币层面，便是货币主权的重新回归。」</w:t>
      </w:r>
    </w:p>
    <w:p>
      <w:pPr>
        <w:spacing w:after="60" w:before="60" w:line="360"/>
      </w:pPr>
      <w:r>
        <w:rPr>
          <w:rFonts w:ascii="Arial" w:cs="Arial" w:eastAsia="Arial" w:hAnsi="Arial"/>
          <w:sz w:val="22"/>
          <w:szCs w:val="22"/>
        </w:rPr>
        <w:t xml:space="preserve">制度含义：</w:t>
      </w:r>
    </w:p>
    <w:p>
      <w:pPr>
        <w:pStyle w:val="ListParagraph"/>
        <w:numPr>
          <w:ilvl w:val="0"/>
          <w:numId w:val="3"/>
        </w:numPr>
        <w:spacing w:after="40" w:before="40" w:line="340"/>
      </w:pPr>
      <w:r>
        <w:rPr>
          <w:rFonts w:ascii="Arial" w:cs="Arial" w:eastAsia="Arial" w:hAnsi="Arial"/>
          <w:sz w:val="22"/>
          <w:szCs w:val="22"/>
        </w:rPr>
        <w:t xml:space="preserve">美联储从内生于全球美元体系的角色，退回到仅服务美国的央行。</w:t>
      </w:r>
    </w:p>
    <w:p>
      <w:pPr>
        <w:pStyle w:val="ListParagraph"/>
        <w:numPr>
          <w:ilvl w:val="0"/>
          <w:numId w:val="3"/>
        </w:numPr>
        <w:spacing w:after="40" w:before="40" w:line="340"/>
      </w:pPr>
      <w:r>
        <w:rPr>
          <w:rFonts w:ascii="Arial" w:cs="Arial" w:eastAsia="Arial" w:hAnsi="Arial"/>
          <w:sz w:val="22"/>
          <w:szCs w:val="22"/>
        </w:rPr>
        <w:t xml:space="preserve">离岸美元流动性（欧洲美元市场、新兴市场美元信贷）将面临结构性收缩。</w:t>
      </w:r>
    </w:p>
    <w:p>
      <w:pPr>
        <w:pStyle w:val="ListParagraph"/>
        <w:numPr>
          <w:ilvl w:val="0"/>
          <w:numId w:val="3"/>
        </w:numPr>
        <w:spacing w:after="40" w:before="40" w:line="340"/>
      </w:pPr>
      <w:r>
        <w:rPr>
          <w:rFonts w:ascii="Arial" w:cs="Arial" w:eastAsia="Arial" w:hAnsi="Arial"/>
          <w:sz w:val="22"/>
          <w:szCs w:val="22"/>
        </w:rPr>
        <w:t xml:space="preserve">央行间掉期额度（FX swap lines）使用门槛可能被重新评估。</w:t>
      </w:r>
    </w:p>
    <w:p>
      <w:pPr>
        <w:pStyle w:val="ListParagraph"/>
        <w:numPr>
          <w:ilvl w:val="0"/>
          <w:numId w:val="3"/>
        </w:numPr>
        <w:spacing w:after="40" w:before="40" w:line="340"/>
      </w:pPr>
      <w:r>
        <w:rPr>
          <w:rFonts w:ascii="Arial" w:cs="Arial" w:eastAsia="Arial" w:hAnsi="Arial"/>
          <w:sz w:val="22"/>
          <w:szCs w:val="22"/>
        </w:rPr>
        <w:t xml:space="preserve">SDR、人民币国际化、金砖支付体系的替代空间被动扩大。</w:t>
      </w:r>
    </w:p>
    <w:p>
      <w:pPr>
        <w:spacing w:after="60" w:before="60" w:line="360"/>
      </w:pPr>
      <w:r>
        <w:rPr>
          <w:rFonts w:ascii="Arial" w:cs="Arial" w:eastAsia="Arial" w:hAnsi="Arial"/>
          <w:b/>
          <w:bCs/>
          <w:sz w:val="22"/>
          <w:szCs w:val="22"/>
        </w:rPr>
        <w:t xml:space="preserve">对资产价格：</w:t>
      </w:r>
      <w:r>
        <w:rPr>
          <w:rFonts w:ascii="Arial" w:cs="Arial" w:eastAsia="Arial" w:hAnsi="Arial"/>
          <w:sz w:val="22"/>
          <w:szCs w:val="22"/>
        </w:rPr>
        <w:t xml:space="preserve">这是黄金长期多头的最核心叙事——美元从「全球公共品」降级为「主权货币」，全球储备多元化趋势加速。</w:t>
      </w:r>
    </w:p>
    <w:p>
      <w:pPr>
        <w:pStyle w:val="Heading1"/>
        <w:pageBreakBefore/>
      </w:pPr>
      <w:r>
        <w:rPr>
          <w:rFonts w:ascii="Arial" w:cs="Arial" w:eastAsia="Arial" w:hAnsi="Arial"/>
          <w:b/>
          <w:bCs/>
          <w:sz w:val="32"/>
          <w:szCs w:val="32"/>
        </w:rPr>
        <w:t xml:space="preserve">4. 沃什框架对 IPS 因子模型的重塑</w:t>
      </w:r>
    </w:p>
    <w:p>
      <w:pPr>
        <w:spacing w:after="60" w:before="60" w:line="360"/>
      </w:pPr>
      <w:r>
        <w:rPr>
          <w:rFonts w:ascii="Arial" w:cs="Arial" w:eastAsia="Arial" w:hAnsi="Arial"/>
          <w:sz w:val="22"/>
          <w:szCs w:val="22"/>
        </w:rPr>
        <w:t xml:space="preserve">InflationMonitor IPS 框架：</w:t>
      </w:r>
      <w:r>
        <w:rPr>
          <w:rFonts w:ascii="Arial" w:cs="Arial" w:eastAsia="Arial" w:hAnsi="Arial"/>
          <w:i/>
          <w:iCs/>
          <w:sz w:val="22"/>
          <w:szCs w:val="22"/>
        </w:rPr>
        <w:t xml:space="preserve">IPS = 0.25·P + 0.20·E + 0.20·D + 0.15·F + 0.20·N</w:t>
      </w:r>
      <w:r>
        <w:rPr>
          <w:rFonts w:ascii="Arial" w:cs="Arial" w:eastAsia="Arial" w:hAnsi="Arial"/>
          <w:sz w:val="22"/>
          <w:szCs w:val="22"/>
        </w:rPr>
        <w:t xml:space="preserve">。沃什改革会对每个分项产生差异化影响。</w:t>
      </w:r>
    </w:p>
    <w:p>
      <w:pPr>
        <w:pStyle w:val="Heading2"/>
      </w:pPr>
      <w:r>
        <w:rPr>
          <w:rFonts w:ascii="Arial" w:cs="Arial" w:eastAsia="Arial" w:hAnsi="Arial"/>
          <w:b/>
          <w:bCs/>
          <w:sz w:val="26"/>
          <w:szCs w:val="26"/>
        </w:rPr>
        <w:t xml:space="preserve">4.1 P（价格水平）：指标多元化 + 趋势化</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变化</w:t>
            </w:r>
          </w:p>
        </w:tc>
        <w:tc>
          <w:tcPr>
            <w:tcW w:type="dxa" w:w="5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含义</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引入 Truflation 实时数据</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日度更新，降低 CPI/PCE 月度公布的「黑箱」冲击</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强化「潜在通胀趋势」指标</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Services ex-shelter 3m 年化权重上升</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修正住房滞后</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Zillow Rent 领先 BLS Shelter 9-12 月，修正后可降低 CPI 惯性</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生产率修正项</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如 AI 兑现 1.5% 年化生产率提升，结构性通胀压力下降 0.5–1.0pp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IPS 模型实操影响：</w:t>
      </w:r>
      <w:r>
        <w:rPr>
          <w:rFonts w:ascii="Arial" w:cs="Arial" w:eastAsia="Arial" w:hAnsi="Arial"/>
          <w:sz w:val="22"/>
          <w:szCs w:val="22"/>
        </w:rPr>
        <w:t xml:space="preserve">P 分项的月度波动性下降，但中枢的「粘性」诊断更准确。月度 CPI 意外对市场的爆炸力可能下降 30–50%。</w:t>
      </w:r>
    </w:p>
    <w:p>
      <w:pPr>
        <w:pStyle w:val="Heading2"/>
      </w:pPr>
      <w:r>
        <w:rPr>
          <w:rFonts w:ascii="Arial" w:cs="Arial" w:eastAsia="Arial" w:hAnsi="Arial"/>
          <w:b/>
          <w:bCs/>
          <w:sz w:val="26"/>
          <w:szCs w:val="26"/>
        </w:rPr>
        <w:t xml:space="preserve">4.2 E（通胀预期）：锚定再加固</w:t>
      </w:r>
    </w:p>
    <w:p>
      <w:pPr>
        <w:spacing w:after="60" w:before="60" w:line="360"/>
      </w:pPr>
      <w:r>
        <w:rPr>
          <w:rFonts w:ascii="Arial" w:cs="Arial" w:eastAsia="Arial" w:hAnsi="Arial"/>
          <w:sz w:val="22"/>
          <w:szCs w:val="22"/>
        </w:rPr>
        <w:t xml:space="preserve">AIT 下的「过冲容忍」被移除，E 分项回归严格对称的预期管理。关键观察：</w:t>
      </w:r>
    </w:p>
    <w:p>
      <w:pPr>
        <w:pStyle w:val="ListParagraph"/>
        <w:numPr>
          <w:ilvl w:val="0"/>
          <w:numId w:val="3"/>
        </w:numPr>
        <w:spacing w:after="40" w:before="40" w:line="340"/>
      </w:pPr>
      <w:r>
        <w:rPr>
          <w:rFonts w:ascii="Arial" w:cs="Arial" w:eastAsia="Arial" w:hAnsi="Arial"/>
          <w:sz w:val="22"/>
          <w:szCs w:val="22"/>
        </w:rPr>
        <w:t xml:space="preserve">5Y5Y Forward BEI：结构性锚定指标，沃什改革后应维持 2.2–2.5%。</w:t>
      </w:r>
    </w:p>
    <w:p>
      <w:pPr>
        <w:pStyle w:val="ListParagraph"/>
        <w:numPr>
          <w:ilvl w:val="0"/>
          <w:numId w:val="3"/>
        </w:numPr>
        <w:spacing w:after="40" w:before="40" w:line="340"/>
      </w:pPr>
      <w:r>
        <w:rPr>
          <w:rFonts w:ascii="Arial" w:cs="Arial" w:eastAsia="Arial" w:hAnsi="Arial"/>
          <w:sz w:val="22"/>
          <w:szCs w:val="22"/>
        </w:rPr>
        <w:t xml:space="preserve">Michigan 1Y vs 10Y：2022 年曾出现 Michigan 1Y 脱锚（5.4%）而 10Y 锚定（2.3%）的分裂，沃什框架下此类分裂被视为政策信誉警报。</w:t>
      </w:r>
    </w:p>
    <w:p>
      <w:pPr>
        <w:pStyle w:val="ListParagraph"/>
        <w:numPr>
          <w:ilvl w:val="0"/>
          <w:numId w:val="3"/>
        </w:numPr>
        <w:spacing w:after="40" w:before="40" w:line="340"/>
      </w:pPr>
      <w:r>
        <w:rPr>
          <w:rFonts w:ascii="Arial" w:cs="Arial" w:eastAsia="Arial" w:hAnsi="Arial"/>
          <w:sz w:val="22"/>
          <w:szCs w:val="22"/>
        </w:rPr>
        <w:t xml:space="preserve">SPF 10Y Core PCE：学术/机构共识，变化更慢，但一旦偏离 2% 即意味着严重信誉损伤。</w:t>
      </w:r>
    </w:p>
    <w:p>
      <w:pPr>
        <w:pStyle w:val="Heading2"/>
      </w:pPr>
      <w:r>
        <w:rPr>
          <w:rFonts w:ascii="Arial" w:cs="Arial" w:eastAsia="Arial" w:hAnsi="Arial"/>
          <w:b/>
          <w:bCs/>
          <w:sz w:val="26"/>
          <w:szCs w:val="26"/>
        </w:rPr>
        <w:t xml:space="preserve">4.3 D（驱动因子）：AI 供给侧效应显性化</w:t>
      </w:r>
    </w:p>
    <w:p>
      <w:pPr>
        <w:spacing w:after="60" w:before="60" w:line="360"/>
      </w:pPr>
      <w:r>
        <w:rPr>
          <w:rFonts w:ascii="Arial" w:cs="Arial" w:eastAsia="Arial" w:hAnsi="Arial"/>
          <w:sz w:val="22"/>
          <w:szCs w:val="22"/>
        </w:rPr>
        <w:t xml:space="preserve">沃什在听证会上「对 AI 持积极态度，认为从长期来看 AI 有助于提升劳动生产率」的表态，为 D 分项加入了结构性通缩因子：</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2200"/>
        <w:gridCol w:w="3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驱动</w:t>
            </w:r>
          </w:p>
        </w:tc>
        <w:tc>
          <w:tcPr>
            <w:tcW w:type="dxa" w:w="2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3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幅度（中期）</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 ~ -1.5pp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供应链重构（逆全球化）</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+0.8pp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能源安全溢价</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房租周期回落</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-0.6pp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工资—物价螺旋消退</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-0.4pp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净效应：偏通缩</w:t>
      </w:r>
      <w:r>
        <w:rPr>
          <w:rFonts w:ascii="Arial" w:cs="Arial" w:eastAsia="Arial" w:hAnsi="Arial"/>
          <w:sz w:val="22"/>
          <w:szCs w:val="22"/>
        </w:rPr>
        <w:t xml:space="preserve">，但有显著的不对称风险尾部（能源冲击、供应链事件）。</w:t>
      </w:r>
    </w:p>
    <w:p>
      <w:pPr>
        <w:pStyle w:val="Heading2"/>
      </w:pPr>
      <w:r>
        <w:rPr>
          <w:rFonts w:ascii="Arial" w:cs="Arial" w:eastAsia="Arial" w:hAnsi="Arial"/>
          <w:b/>
          <w:bCs/>
          <w:sz w:val="26"/>
          <w:szCs w:val="26"/>
        </w:rPr>
        <w:t xml:space="preserve">4.4 F（财政脉冲）：最大的政策张力</w:t>
      </w:r>
    </w:p>
    <w:p>
      <w:pPr>
        <w:spacing w:after="60" w:before="60" w:line="360"/>
      </w:pPr>
      <w:r>
        <w:rPr>
          <w:rFonts w:ascii="Arial" w:cs="Arial" w:eastAsia="Arial" w:hAnsi="Arial"/>
          <w:sz w:val="22"/>
          <w:szCs w:val="22"/>
        </w:rPr>
        <w:t xml:space="preserve">这是沃什框架最可能撞墙的分项。现状：</w:t>
      </w:r>
    </w:p>
    <w:p>
      <w:pPr>
        <w:pStyle w:val="ListParagraph"/>
        <w:numPr>
          <w:ilvl w:val="0"/>
          <w:numId w:val="3"/>
        </w:numPr>
        <w:spacing w:after="40" w:before="40" w:line="340"/>
      </w:pPr>
      <w:r>
        <w:rPr>
          <w:rFonts w:ascii="Arial" w:cs="Arial" w:eastAsia="Arial" w:hAnsi="Arial"/>
          <w:sz w:val="22"/>
          <w:szCs w:val="22"/>
        </w:rPr>
        <w:t xml:space="preserve">赤字/GDP ≈ 6.3%（战后非战争期高位）。</w:t>
      </w:r>
    </w:p>
    <w:p>
      <w:pPr>
        <w:pStyle w:val="ListParagraph"/>
        <w:numPr>
          <w:ilvl w:val="0"/>
          <w:numId w:val="3"/>
        </w:numPr>
        <w:spacing w:after="40" w:before="40" w:line="340"/>
      </w:pPr>
      <w:r>
        <w:rPr>
          <w:rFonts w:ascii="Arial" w:cs="Arial" w:eastAsia="Arial" w:hAnsi="Arial"/>
          <w:sz w:val="22"/>
          <w:szCs w:val="22"/>
        </w:rPr>
        <w:t xml:space="preserve">美联储持有美债 ~4.4 万亿（占流通 19%）。</w:t>
      </w:r>
    </w:p>
    <w:p>
      <w:pPr>
        <w:pStyle w:val="ListParagraph"/>
        <w:numPr>
          <w:ilvl w:val="0"/>
          <w:numId w:val="3"/>
        </w:numPr>
        <w:spacing w:after="40" w:before="40" w:line="340"/>
      </w:pPr>
      <w:r>
        <w:rPr>
          <w:rFonts w:ascii="Arial" w:cs="Arial" w:eastAsia="Arial" w:hAnsi="Arial"/>
          <w:sz w:val="22"/>
          <w:szCs w:val="22"/>
        </w:rPr>
        <w:t xml:space="preserve">净发债节奏 / TGA 释放持续为通胀提供「暗刺激」。</w:t>
      </w:r>
    </w:p>
    <w:p>
      <w:pPr>
        <w:spacing w:after="60" w:before="60" w:line="360"/>
      </w:pPr>
      <w:r>
        <w:rPr>
          <w:rFonts w:ascii="Arial" w:cs="Arial" w:eastAsia="Arial" w:hAnsi="Arial"/>
          <w:sz w:val="22"/>
          <w:szCs w:val="22"/>
        </w:rPr>
        <w:t xml:space="preserve">沃什主张「美联储应从类财政职能中退出」，但不解决赤字问题本身。三条可能路径：</w:t>
      </w:r>
    </w:p>
    <w:p>
      <w:pPr>
        <w:pStyle w:val="ListParagraph"/>
        <w:numPr>
          <w:ilvl w:val="0"/>
          <w:numId w:val="2"/>
        </w:numPr>
        <w:spacing w:after="40" w:before="40" w:line="340"/>
      </w:pPr>
      <w:r>
        <w:rPr>
          <w:rFonts w:ascii="Arial" w:cs="Arial" w:eastAsia="Arial" w:hAnsi="Arial"/>
          <w:sz w:val="22"/>
          <w:szCs w:val="22"/>
        </w:rPr>
        <w:t xml:space="preserve">倒逼路径（沃什偏好）：QT 提高长端利率 → 融资成本上升 → 国会被迫收敛赤字。</w:t>
      </w:r>
    </w:p>
    <w:p>
      <w:pPr>
        <w:pStyle w:val="ListParagraph"/>
        <w:numPr>
          <w:ilvl w:val="0"/>
          <w:numId w:val="2"/>
        </w:numPr>
        <w:spacing w:after="40" w:before="40" w:line="340"/>
      </w:pPr>
      <w:r>
        <w:rPr>
          <w:rFonts w:ascii="Arial" w:cs="Arial" w:eastAsia="Arial" w:hAnsi="Arial"/>
          <w:sz w:val="22"/>
          <w:szCs w:val="22"/>
        </w:rPr>
        <w:t xml:space="preserve">妥协路径：财政与联储重新分工，联储维持短端美债持仓，但不承担长久期风险。</w:t>
      </w:r>
    </w:p>
    <w:p>
      <w:pPr>
        <w:pStyle w:val="ListParagraph"/>
        <w:numPr>
          <w:ilvl w:val="0"/>
          <w:numId w:val="2"/>
        </w:numPr>
        <w:spacing w:after="40" w:before="40" w:line="340"/>
      </w:pPr>
      <w:r>
        <w:rPr>
          <w:rFonts w:ascii="Arial" w:cs="Arial" w:eastAsia="Arial" w:hAnsi="Arial"/>
          <w:sz w:val="22"/>
          <w:szCs w:val="22"/>
        </w:rPr>
        <w:t xml:space="preserve">失败路径（财政主导）：赤字不可压缩，QT 执行受阻，联储被迫重启扩表。</w:t>
      </w:r>
    </w:p>
    <w:p>
      <w:pPr>
        <w:spacing w:after="60" w:before="60" w:line="360"/>
      </w:pPr>
      <w:r>
        <w:rPr>
          <w:rFonts w:ascii="Arial" w:cs="Arial" w:eastAsia="Arial" w:hAnsi="Arial"/>
          <w:b/>
          <w:bCs/>
          <w:sz w:val="22"/>
          <w:szCs w:val="22"/>
        </w:rPr>
        <w:t xml:space="preserve">观察指标：</w:t>
      </w:r>
      <w:r>
        <w:rPr>
          <w:rFonts w:ascii="Arial" w:cs="Arial" w:eastAsia="Arial" w:hAnsi="Arial"/>
          <w:sz w:val="22"/>
          <w:szCs w:val="22"/>
        </w:rPr>
        <w:t xml:space="preserve">QT 启动首季 10Y 美债拍卖尾差、TGA 余额路径、国会赤字削减法案进展。</w:t>
      </w:r>
    </w:p>
    <w:p>
      <w:pPr>
        <w:pStyle w:val="Heading2"/>
      </w:pPr>
      <w:r>
        <w:rPr>
          <w:rFonts w:ascii="Arial" w:cs="Arial" w:eastAsia="Arial" w:hAnsi="Arial"/>
          <w:b/>
          <w:bCs/>
          <w:sz w:val="26"/>
          <w:szCs w:val="26"/>
        </w:rPr>
        <w:t xml:space="preserve">4.5 N（叙事+政策反射）：鹰派转向 + 独立性重建</w:t>
      </w:r>
    </w:p>
    <w:p>
      <w:pPr>
        <w:pStyle w:val="ListParagraph"/>
        <w:numPr>
          <w:ilvl w:val="0"/>
          <w:numId w:val="3"/>
        </w:numPr>
        <w:spacing w:after="40" w:before="40" w:line="340"/>
      </w:pPr>
      <w:r>
        <w:rPr>
          <w:rFonts w:ascii="Arial" w:cs="Arial" w:eastAsia="Arial" w:hAnsi="Arial"/>
          <w:sz w:val="22"/>
          <w:szCs w:val="22"/>
        </w:rPr>
        <w:t xml:space="preserve">FOMC 鹰鸽指数中枢上移：沃什 + 已在职的 Waller、Logan、Bowman 构成鹰派核心。</w:t>
      </w:r>
    </w:p>
    <w:p>
      <w:pPr>
        <w:pStyle w:val="ListParagraph"/>
        <w:numPr>
          <w:ilvl w:val="0"/>
          <w:numId w:val="3"/>
        </w:numPr>
        <w:spacing w:after="40" w:before="40" w:line="340"/>
      </w:pPr>
      <w:r>
        <w:rPr>
          <w:rFonts w:ascii="Arial" w:cs="Arial" w:eastAsia="Arial" w:hAnsi="Arial"/>
          <w:sz w:val="22"/>
          <w:szCs w:val="22"/>
        </w:rPr>
        <w:t xml:space="preserve">政策陈述关键词变化：预计「信誉」、「独立性」、「主权」、「效率」高频出现；「灵活性」、「暂时性」、「过冲」低频化。</w:t>
      </w:r>
    </w:p>
    <w:p>
      <w:pPr>
        <w:pStyle w:val="ListParagraph"/>
        <w:numPr>
          <w:ilvl w:val="0"/>
          <w:numId w:val="3"/>
        </w:numPr>
        <w:spacing w:after="40" w:before="40" w:line="340"/>
      </w:pPr>
      <w:r>
        <w:rPr>
          <w:rFonts w:ascii="Arial" w:cs="Arial" w:eastAsia="Arial" w:hAnsi="Arial"/>
          <w:sz w:val="22"/>
          <w:szCs w:val="22"/>
        </w:rPr>
        <w:t xml:space="preserve">市场隐含降息次数修正：CME FedWatch 的降息路径可能先下修（因 QT 压制整体宽松力度），随后分化（短端下、长端上，曲线陡峭）。</w:t>
      </w:r>
    </w:p>
    <w:p>
      <w:pPr>
        <w:spacing w:after="60" w:before="60" w:line="360"/>
      </w:pPr>
      <w:r>
        <w:rPr>
          <w:rFonts w:ascii="Arial" w:cs="Arial" w:eastAsia="Arial" w:hAnsi="Arial"/>
          <w:b/>
          <w:bCs/>
          <w:sz w:val="22"/>
          <w:szCs w:val="22"/>
        </w:rPr>
        <w:t xml:space="preserve">综合影响：</w:t>
      </w:r>
      <w:r>
        <w:rPr>
          <w:rFonts w:ascii="Arial" w:cs="Arial" w:eastAsia="Arial" w:hAnsi="Arial"/>
          <w:sz w:val="22"/>
          <w:szCs w:val="22"/>
        </w:rPr>
        <w:t xml:space="preserve">IPS 评分的中长期中枢将系统性下移 5–10 分（从当前 57–62 区间向 50–55 区间回归），反映通胀管理约束的制度化强化。</w:t>
      </w:r>
    </w:p>
    <w:p>
      <w:pPr>
        <w:pStyle w:val="Heading1"/>
        <w:pageBreakBefore/>
      </w:pPr>
      <w:r>
        <w:rPr>
          <w:rFonts w:ascii="Arial" w:cs="Arial" w:eastAsia="Arial" w:hAnsi="Arial"/>
          <w:b/>
          <w:bCs/>
          <w:sz w:val="32"/>
          <w:szCs w:val="32"/>
        </w:rPr>
        <w:t xml:space="preserve">5. 中长期（1–3 年）四类资产再定价：三情景分析</w:t>
      </w:r>
    </w:p>
    <w:p>
      <w:pPr>
        <w:pStyle w:val="Heading2"/>
      </w:pPr>
      <w:r>
        <w:rPr>
          <w:rFonts w:ascii="Arial" w:cs="Arial" w:eastAsia="Arial" w:hAnsi="Arial"/>
          <w:b/>
          <w:bCs/>
          <w:sz w:val="26"/>
          <w:szCs w:val="26"/>
        </w:rPr>
        <w:t xml:space="preserve">5.1 情景概率分布</w:t>
      </w:r>
    </w:p>
    <w:p>
      <w:pPr>
        <w:spacing w:after="60" w:before="60" w:line="360"/>
      </w:pPr>
      <w:r>
        <w:rPr>
          <w:rFonts w:ascii="Arial" w:cs="Arial" w:eastAsia="Arial" w:hAnsi="Arial"/>
          <w:sz w:val="22"/>
          <w:szCs w:val="22"/>
        </w:rPr>
        <w:t xml:space="preserve">基于转移矩阵 + 沃什提名进程 + 当前宏观条件：</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1200"/>
        <w:gridCol w:w="4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情景</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概率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核心假设</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基础情景：沃什顺利上任，QT + 降息渐进执行</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国会通过提名；QT 2027 年初启动；降息每季 25bp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激进情景：QT 过快或财政配合失败，流动性冲击</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启动首季拍卖尾差 &gt; 3bp 持续，长端被动抛售</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受阻情景：沃什改革受政治阻力，框架让步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提名受阻或通胀再加速迫使重回宽松</w:t>
            </w:r>
          </w:p>
        </w:tc>
      </w:tr>
    </w:tbl>
    <w:p>
      <w:pPr>
        <w:spacing w:after="0" w:before="120"/>
      </w:pPr>
      <w:r>
        <w:rPr>
          <w:rFonts w:ascii="Arial" w:cs="Arial" w:eastAsia="Arial" w:hAnsi="Arial"/>
        </w:rPr>
        <w:t xml:space="preserve"/>
      </w:r>
    </w:p>
    <w:p>
      <w:pPr>
        <w:pStyle w:val="Heading2"/>
      </w:pPr>
      <w:r>
        <w:rPr>
          <w:rFonts w:ascii="Arial" w:cs="Arial" w:eastAsia="Arial" w:hAnsi="Arial"/>
          <w:b/>
          <w:bCs/>
          <w:sz w:val="26"/>
          <w:szCs w:val="26"/>
        </w:rPr>
        <w:t xml:space="preserve">5.2 黄金 XAU：三情景下均为多头，差异仅在节奏</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驱动：实际利率见顶 + 去美元化 + 央行购金延续。</w:t>
      </w:r>
    </w:p>
    <w:p>
      <w:pPr>
        <w:pStyle w:val="ListParagraph"/>
        <w:numPr>
          <w:ilvl w:val="0"/>
          <w:numId w:val="3"/>
        </w:numPr>
        <w:spacing w:after="40" w:before="40" w:line="340"/>
      </w:pPr>
      <w:r>
        <w:rPr>
          <w:rFonts w:ascii="Arial" w:cs="Arial" w:eastAsia="Arial" w:hAnsi="Arial"/>
          <w:sz w:val="22"/>
          <w:szCs w:val="22"/>
        </w:rPr>
        <w:t xml:space="preserve">节奏：2026 年下半年突破历史新高，2027 年目标 $3500–4000。</w:t>
      </w:r>
    </w:p>
    <w:p>
      <w:pPr>
        <w:pStyle w:val="ListParagraph"/>
        <w:numPr>
          <w:ilvl w:val="0"/>
          <w:numId w:val="3"/>
        </w:numPr>
        <w:spacing w:after="40" w:before="40" w:line="340"/>
      </w:pPr>
      <w:r>
        <w:rPr>
          <w:rFonts w:ascii="Arial" w:cs="Arial" w:eastAsia="Arial" w:hAnsi="Arial"/>
          <w:sz w:val="22"/>
          <w:szCs w:val="22"/>
        </w:rPr>
        <w:t xml:space="preserve">机制：沃什框架下 QE 预期降级 → 美元信用溢价下修 → 黄金作为「非美元锚」需求上升。</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短期（前 3–6 个月）：与所有风险资产一起下跌，$2400–2600 支撑。</w:t>
      </w:r>
    </w:p>
    <w:p>
      <w:pPr>
        <w:pStyle w:val="ListParagraph"/>
        <w:numPr>
          <w:ilvl w:val="0"/>
          <w:numId w:val="3"/>
        </w:numPr>
        <w:spacing w:after="40" w:before="40" w:line="340"/>
      </w:pPr>
      <w:r>
        <w:rPr>
          <w:rFonts w:ascii="Arial" w:cs="Arial" w:eastAsia="Arial" w:hAnsi="Arial"/>
          <w:sz w:val="22"/>
          <w:szCs w:val="22"/>
        </w:rPr>
        <w:t xml:space="preserve">中期（6–18 个月）：QT 被迫暂停 + 降息加速 → 黄金强势反弹至 $3800–4500。</w:t>
      </w:r>
    </w:p>
    <w:p>
      <w:pPr>
        <w:pStyle w:val="ListParagraph"/>
        <w:numPr>
          <w:ilvl w:val="0"/>
          <w:numId w:val="3"/>
        </w:numPr>
        <w:spacing w:after="40" w:before="40" w:line="340"/>
      </w:pPr>
      <w:r>
        <w:rPr>
          <w:rFonts w:ascii="Arial" w:cs="Arial" w:eastAsia="Arial" w:hAnsi="Arial"/>
          <w:sz w:val="22"/>
          <w:szCs w:val="22"/>
        </w:rPr>
        <w:t xml:space="preserve">机制：流动性危机迫使政策反转，黄金受益于「Fed Put 重建」预期。</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路径：财政主导 + 宽松延续 → 美元贬值预期重燃。</w:t>
      </w:r>
    </w:p>
    <w:p>
      <w:pPr>
        <w:pStyle w:val="ListParagraph"/>
        <w:numPr>
          <w:ilvl w:val="0"/>
          <w:numId w:val="3"/>
        </w:numPr>
        <w:spacing w:after="40" w:before="40" w:line="340"/>
      </w:pPr>
      <w:r>
        <w:rPr>
          <w:rFonts w:ascii="Arial" w:cs="Arial" w:eastAsia="Arial" w:hAnsi="Arial"/>
          <w:sz w:val="22"/>
          <w:szCs w:val="22"/>
        </w:rPr>
        <w:t xml:space="preserve">目标：$4500+，可能创通胀调整后的历史新高。</w:t>
      </w:r>
    </w:p>
    <w:p>
      <w:pPr>
        <w:pStyle w:val="ListParagraph"/>
        <w:numPr>
          <w:ilvl w:val="0"/>
          <w:numId w:val="3"/>
        </w:numPr>
        <w:spacing w:after="40" w:before="40" w:line="340"/>
      </w:pPr>
      <w:r>
        <w:rPr>
          <w:rFonts w:ascii="Arial" w:cs="Arial" w:eastAsia="Arial" w:hAnsi="Arial"/>
          <w:sz w:val="22"/>
          <w:szCs w:val="22"/>
        </w:rPr>
        <w:t xml:space="preserve">机制：这是黄金最「舒适」的情景——通胀 + 宽松 + 货币贬值三重加持。</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黄金是沃什框架下风险回报最佳的资产。三情景概率加权目标价 $3700–4200（较 2026 年 4 月基准价约 40% 上行空间），且下行保护机制完整。</w:t>
      </w:r>
    </w:p>
    <w:p>
      <w:pPr>
        <w:spacing w:after="60" w:before="60" w:line="360"/>
      </w:pPr>
      <w:r>
        <w:rPr>
          <w:rFonts w:ascii="Arial" w:cs="Arial" w:eastAsia="Arial" w:hAnsi="Arial"/>
          <w:b/>
          <w:bCs/>
          <w:sz w:val="22"/>
          <w:szCs w:val="22"/>
        </w:rPr>
        <w:t xml:space="preserve">β 系数：</w:t>
      </w:r>
      <w:r>
        <w:rPr>
          <w:rFonts w:ascii="Arial" w:cs="Arial" w:eastAsia="Arial" w:hAnsi="Arial"/>
          <w:sz w:val="22"/>
          <w:szCs w:val="22"/>
        </w:rPr>
        <w:t xml:space="preserve">与 IPS 模型对应 β = +0.55（CPI）/ +0.55（BEI）/ -0.35（FOMC 鹰派）。沃什框架下 FOMC 鹰派 β 的负效应被降息预期部分抵消。</w:t>
      </w:r>
    </w:p>
    <w:p>
      <w:pPr>
        <w:pStyle w:val="Heading2"/>
      </w:pPr>
      <w:r>
        <w:rPr>
          <w:rFonts w:ascii="Arial" w:cs="Arial" w:eastAsia="Arial" w:hAnsi="Arial"/>
          <w:b/>
          <w:bCs/>
          <w:sz w:val="26"/>
          <w:szCs w:val="26"/>
        </w:rPr>
        <w:t xml:space="preserve">5.3 美元 DXY：双向波动，中枢结构性下移</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DXY 区间：95–105 震荡，中枢从当前约 103 下移至 100。</w:t>
      </w:r>
    </w:p>
    <w:p>
      <w:pPr>
        <w:pStyle w:val="ListParagraph"/>
        <w:numPr>
          <w:ilvl w:val="0"/>
          <w:numId w:val="3"/>
        </w:numPr>
        <w:spacing w:after="40" w:before="40" w:line="340"/>
      </w:pPr>
      <w:r>
        <w:rPr>
          <w:rFonts w:ascii="Arial" w:cs="Arial" w:eastAsia="Arial" w:hAnsi="Arial"/>
          <w:sz w:val="22"/>
          <w:szCs w:val="22"/>
        </w:rPr>
        <w:t xml:space="preserve">关键变量：QT 短期利好美元（利差扩大、美元稀缺）；货币主权回归长期利空美元（离岸美元收缩、储备多元化）。</w:t>
      </w:r>
    </w:p>
    <w:p>
      <w:pPr>
        <w:pStyle w:val="ListParagraph"/>
        <w:numPr>
          <w:ilvl w:val="0"/>
          <w:numId w:val="3"/>
        </w:numPr>
        <w:spacing w:after="40" w:before="40" w:line="340"/>
      </w:pPr>
      <w:r>
        <w:rPr>
          <w:rFonts w:ascii="Arial" w:cs="Arial" w:eastAsia="Arial" w:hAnsi="Arial"/>
          <w:sz w:val="22"/>
          <w:szCs w:val="22"/>
        </w:rPr>
        <w:t xml:space="preserve">净效应：结构性走弱压倒周期性支撑。</w:t>
      </w:r>
    </w:p>
    <w:p>
      <w:pPr>
        <w:pStyle w:val="ListParagraph"/>
        <w:numPr>
          <w:ilvl w:val="0"/>
          <w:numId w:val="3"/>
        </w:numPr>
        <w:spacing w:after="40" w:before="40" w:line="340"/>
      </w:pPr>
      <w:r>
        <w:rPr>
          <w:rFonts w:ascii="Arial" w:cs="Arial" w:eastAsia="Arial" w:hAnsi="Arial"/>
          <w:sz w:val="22"/>
          <w:szCs w:val="22"/>
        </w:rPr>
        <w:t xml:space="preserve">机制：美元从「全球公共品」降级为「主权货币」，全球外储中美元占比从 57% 向 50% 以下演进。</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短期（0–6 个月）：DXY 冲高至 108–112，反映流动性紧缩 + 避险。</w:t>
      </w:r>
    </w:p>
    <w:p>
      <w:pPr>
        <w:pStyle w:val="ListParagraph"/>
        <w:numPr>
          <w:ilvl w:val="0"/>
          <w:numId w:val="3"/>
        </w:numPr>
        <w:spacing w:after="40" w:before="40" w:line="340"/>
      </w:pPr>
      <w:r>
        <w:rPr>
          <w:rFonts w:ascii="Arial" w:cs="Arial" w:eastAsia="Arial" w:hAnsi="Arial"/>
          <w:sz w:val="22"/>
          <w:szCs w:val="22"/>
        </w:rPr>
        <w:t xml:space="preserve">中期（6–18 个月）：若触发危机 → 政策反转 → DXY 回落至 92–98。</w:t>
      </w:r>
    </w:p>
    <w:p>
      <w:pPr>
        <w:pStyle w:val="ListParagraph"/>
        <w:numPr>
          <w:ilvl w:val="0"/>
          <w:numId w:val="3"/>
        </w:numPr>
        <w:spacing w:after="40" w:before="40" w:line="340"/>
      </w:pPr>
      <w:r>
        <w:rPr>
          <w:rFonts w:ascii="Arial" w:cs="Arial" w:eastAsia="Arial" w:hAnsi="Arial"/>
          <w:sz w:val="22"/>
          <w:szCs w:val="22"/>
        </w:rPr>
        <w:t xml:space="preserve">机制：美元作为避险资产在极端状态下被动升值，但会引发全球美元短缺，迫使 Fed 通过掉期额度释放流动性。</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DXY 区间：90–98，持续偏弱。</w:t>
      </w:r>
    </w:p>
    <w:p>
      <w:pPr>
        <w:pStyle w:val="ListParagraph"/>
        <w:numPr>
          <w:ilvl w:val="0"/>
          <w:numId w:val="3"/>
        </w:numPr>
        <w:spacing w:after="40" w:before="40" w:line="340"/>
      </w:pPr>
      <w:r>
        <w:rPr>
          <w:rFonts w:ascii="Arial" w:cs="Arial" w:eastAsia="Arial" w:hAnsi="Arial"/>
          <w:sz w:val="22"/>
          <w:szCs w:val="22"/>
        </w:rPr>
        <w:t xml:space="preserve">机制：财政扩张 + 宽松延续 = 最差的美元基本面组合。</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美元「高而脆」。中长期结构性走弱趋势不改，但路径可能先上后下（激进情景）或直接下行（基础/受阻情景）。配置建议：美元敞口降至中性基准的 60–80%；多元化持有其他储备货币 + 黄金。</w:t>
      </w:r>
    </w:p>
    <w:p>
      <w:pPr>
        <w:pStyle w:val="Heading2"/>
      </w:pPr>
      <w:r>
        <w:rPr>
          <w:rFonts w:ascii="Arial" w:cs="Arial" w:eastAsia="Arial" w:hAnsi="Arial"/>
          <w:b/>
          <w:bCs/>
          <w:sz w:val="26"/>
          <w:szCs w:val="26"/>
        </w:rPr>
        <w:t xml:space="preserve">5.4 美债 UST：曲线陡峭化，长端系统性偏空</w:t>
      </w:r>
    </w:p>
    <w:p>
      <w:pPr>
        <w:spacing w:after="60" w:before="60" w:line="360"/>
      </w:pPr>
      <w:r>
        <w:rPr>
          <w:rFonts w:ascii="Arial" w:cs="Arial" w:eastAsia="Arial" w:hAnsi="Arial"/>
          <w:b/>
          <w:bCs/>
          <w:sz w:val="22"/>
          <w:szCs w:val="22"/>
        </w:rPr>
        <w:t xml:space="preserve">基础情景（55%）：</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1800"/>
        <w:gridCol w:w="2400"/>
        <w:gridCol w:w="3760"/>
      </w:tblGrid>
      <w:tr>
        <w:trPr>
          <w:tblHeader/>
        </w:trPr>
        <w:tc>
          <w:tcPr>
            <w:tcW w:type="dxa" w:w="1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曲线段</w:t>
            </w:r>
          </w:p>
        </w:tc>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2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2027 目标</w:t>
            </w:r>
          </w:p>
        </w:tc>
        <w:tc>
          <w:tcPr>
            <w:tcW w:type="dxa" w:w="37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收益率下行</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3.2–3.6%</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降息路径定价</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震荡偏上</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4.0–4.8%</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供给 + 风险溢价 + 财政忧虑</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30Y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收益率上行</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4.5–5.3%</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久期溢价扩张</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10Y-2Y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显著陡峭化</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+80 ~ +150bp</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从倒挂 → 正常陡峭</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期限结构演变：从当前的「倒挂末段」过渡到「陡峭化熊市」（Bear Steepener）——长端涨幅 &gt; 短端涨幅。持有长端久期在该情景下的总回报可能为负。</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10Y 冲击 5%+，持续 1–3 个月。</w:t>
      </w:r>
    </w:p>
    <w:p>
      <w:pPr>
        <w:pStyle w:val="ListParagraph"/>
        <w:numPr>
          <w:ilvl w:val="0"/>
          <w:numId w:val="3"/>
        </w:numPr>
        <w:spacing w:after="40" w:before="40" w:line="340"/>
      </w:pPr>
      <w:r>
        <w:rPr>
          <w:rFonts w:ascii="Arial" w:cs="Arial" w:eastAsia="Arial" w:hAnsi="Arial"/>
          <w:sz w:val="22"/>
          <w:szCs w:val="22"/>
        </w:rPr>
        <w:t xml:space="preserve">风险扩散：MBS 利差扩张、信用利差走扩、股市回撤 15–25%。</w:t>
      </w:r>
    </w:p>
    <w:p>
      <w:pPr>
        <w:pStyle w:val="ListParagraph"/>
        <w:numPr>
          <w:ilvl w:val="0"/>
          <w:numId w:val="3"/>
        </w:numPr>
        <w:spacing w:after="40" w:before="40" w:line="340"/>
      </w:pPr>
      <w:r>
        <w:rPr>
          <w:rFonts w:ascii="Arial" w:cs="Arial" w:eastAsia="Arial" w:hAnsi="Arial"/>
          <w:sz w:val="22"/>
          <w:szCs w:val="22"/>
        </w:rPr>
        <w:t xml:space="preserve">政策反转：Fed 被迫暂停 QT，类似 2019 年 Q4 的回购危机翻版。</w:t>
      </w:r>
    </w:p>
    <w:p>
      <w:pPr>
        <w:pStyle w:val="ListParagraph"/>
        <w:numPr>
          <w:ilvl w:val="0"/>
          <w:numId w:val="3"/>
        </w:numPr>
        <w:spacing w:after="40" w:before="40" w:line="340"/>
      </w:pPr>
      <w:r>
        <w:rPr>
          <w:rFonts w:ascii="Arial" w:cs="Arial" w:eastAsia="Arial" w:hAnsi="Arial"/>
          <w:sz w:val="22"/>
          <w:szCs w:val="22"/>
        </w:rPr>
        <w:t xml:space="preserve">后续：长端快速回落至 3.8–4.3%，做多长端美债的时点出现在 Fed 暂停 QT 的信号之后。</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10Y 区间：3.2–4.0%，较基础情景低 50–100bp。</w:t>
      </w:r>
    </w:p>
    <w:p>
      <w:pPr>
        <w:pStyle w:val="ListParagraph"/>
        <w:numPr>
          <w:ilvl w:val="0"/>
          <w:numId w:val="3"/>
        </w:numPr>
        <w:spacing w:after="40" w:before="40" w:line="340"/>
      </w:pPr>
      <w:r>
        <w:rPr>
          <w:rFonts w:ascii="Arial" w:cs="Arial" w:eastAsia="Arial" w:hAnsi="Arial"/>
          <w:sz w:val="22"/>
          <w:szCs w:val="22"/>
        </w:rPr>
        <w:t xml:space="preserve">机制：QT 搁置 + 降息 = 名义利率下行。</w:t>
      </w:r>
    </w:p>
    <w:p>
      <w:pPr>
        <w:pStyle w:val="ListParagraph"/>
        <w:numPr>
          <w:ilvl w:val="0"/>
          <w:numId w:val="3"/>
        </w:numPr>
        <w:spacing w:after="40" w:before="40" w:line="340"/>
      </w:pPr>
      <w:r>
        <w:rPr>
          <w:rFonts w:ascii="Arial" w:cs="Arial" w:eastAsia="Arial" w:hAnsi="Arial"/>
          <w:sz w:val="22"/>
          <w:szCs w:val="22"/>
        </w:rPr>
        <w:t xml:space="preserve">陷阱：但背景是通胀粘性，实际利率可能转负 → 长端实际回报仍为负。</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久期风险系统性偏高。无论基础情景还是受阻情景，长端美债都不是「避风港」——基础情景是名义损失，受阻情景是实际损失。</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减配长端（10Y+），控制久期敞口；</w:t>
      </w:r>
    </w:p>
    <w:p>
      <w:pPr>
        <w:pStyle w:val="ListParagraph"/>
        <w:numPr>
          <w:ilvl w:val="0"/>
          <w:numId w:val="3"/>
        </w:numPr>
        <w:spacing w:after="40" w:before="40" w:line="340"/>
      </w:pPr>
      <w:r>
        <w:rPr>
          <w:rFonts w:ascii="Arial" w:cs="Arial" w:eastAsia="Arial" w:hAnsi="Arial"/>
          <w:sz w:val="22"/>
          <w:szCs w:val="22"/>
        </w:rPr>
        <w:t xml:space="preserve">超配 2–5Y 国债（受益降息，久期可控）；</w:t>
      </w:r>
    </w:p>
    <w:p>
      <w:pPr>
        <w:pStyle w:val="ListParagraph"/>
        <w:numPr>
          <w:ilvl w:val="0"/>
          <w:numId w:val="3"/>
        </w:numPr>
        <w:spacing w:after="40" w:before="40" w:line="340"/>
      </w:pPr>
      <w:r>
        <w:rPr>
          <w:rFonts w:ascii="Arial" w:cs="Arial" w:eastAsia="Arial" w:hAnsi="Arial"/>
          <w:sz w:val="22"/>
          <w:szCs w:val="22"/>
        </w:rPr>
        <w:t xml:space="preserve">适度配置 TIPS（对抗受阻情景的实际利率下行陷阱）；</w:t>
      </w:r>
    </w:p>
    <w:p>
      <w:pPr>
        <w:pStyle w:val="ListParagraph"/>
        <w:numPr>
          <w:ilvl w:val="0"/>
          <w:numId w:val="3"/>
        </w:numPr>
        <w:spacing w:after="40" w:before="40" w:line="340"/>
      </w:pPr>
      <w:r>
        <w:rPr>
          <w:rFonts w:ascii="Arial" w:cs="Arial" w:eastAsia="Arial" w:hAnsi="Arial"/>
          <w:sz w:val="22"/>
          <w:szCs w:val="22"/>
        </w:rPr>
        <w:t xml:space="preserve">警惕 MBS 利差：QT 优先削减 MBS 将持续推高 MBS 相对国债的利差。</w:t>
      </w:r>
    </w:p>
    <w:p>
      <w:pPr>
        <w:pStyle w:val="Heading2"/>
      </w:pPr>
      <w:r>
        <w:rPr>
          <w:rFonts w:ascii="Arial" w:cs="Arial" w:eastAsia="Arial" w:hAnsi="Arial"/>
          <w:b/>
          <w:bCs/>
          <w:sz w:val="26"/>
          <w:szCs w:val="26"/>
        </w:rPr>
        <w:t xml:space="preserve">5.5 美股 SPX：牛短熊长，分化加剧</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SPX 年化回报：3–8%，远低于 2009–2024 年均值（~12%）。</w:t>
      </w:r>
    </w:p>
    <w:p>
      <w:pPr>
        <w:pStyle w:val="ListParagraph"/>
        <w:numPr>
          <w:ilvl w:val="0"/>
          <w:numId w:val="3"/>
        </w:numPr>
        <w:spacing w:after="40" w:before="40" w:line="340"/>
      </w:pPr>
      <w:r>
        <w:rPr>
          <w:rFonts w:ascii="Arial" w:cs="Arial" w:eastAsia="Arial" w:hAnsi="Arial"/>
          <w:sz w:val="22"/>
          <w:szCs w:val="22"/>
        </w:rPr>
        <w:t xml:space="preserve">估值压力：QT 不降贴现率 → PE 难以扩张；Fed Put 弱化 → 回撤保护降级。</w:t>
      </w:r>
    </w:p>
    <w:p>
      <w:pPr>
        <w:pStyle w:val="ListParagraph"/>
        <w:numPr>
          <w:ilvl w:val="0"/>
          <w:numId w:val="3"/>
        </w:numPr>
        <w:spacing w:after="40" w:before="40" w:line="340"/>
      </w:pPr>
      <w:r>
        <w:rPr>
          <w:rFonts w:ascii="Arial" w:cs="Arial" w:eastAsia="Arial" w:hAnsi="Arial"/>
          <w:sz w:val="22"/>
          <w:szCs w:val="22"/>
        </w:rPr>
        <w:t xml:space="preserve">盈利支撑：AI 生产率兑现 → 头部科技股盈利韧性强。</w:t>
      </w:r>
    </w:p>
    <w:p>
      <w:pPr>
        <w:pStyle w:val="ListParagraph"/>
        <w:numPr>
          <w:ilvl w:val="0"/>
          <w:numId w:val="3"/>
        </w:numPr>
        <w:spacing w:after="40" w:before="40" w:line="340"/>
      </w:pPr>
      <w:r>
        <w:rPr>
          <w:rFonts w:ascii="Arial" w:cs="Arial" w:eastAsia="Arial" w:hAnsi="Arial"/>
          <w:sz w:val="22"/>
          <w:szCs w:val="22"/>
        </w:rPr>
        <w:t xml:space="preserve">结构分化（按方向性）：</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2000"/>
        <w:gridCol w:w="4560"/>
      </w:tblGrid>
      <w:tr>
        <w:trPr>
          <w:tblHeader/>
        </w:trPr>
        <w:tc>
          <w:tcPr>
            <w:tcW w:type="dxa" w:w="2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板块</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4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大盘科技（AI 受益）</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超配</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生产率红利，现金流充沛，抗利率</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金融（曲线陡峭化）</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温和偏多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净息差扩大，沃什支持回购松绑</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需求疲弱 vs 供给安全溢价</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工业 / 基建</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再工业化政策配合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防御性被降息部分抵消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消费非必需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利率敏感，估值压缩</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小盘（Russell 2000）</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融资成本高，Fed Put 依赖度高</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REITs / 公用</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久期敞口大</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回调幅度：15–25%（SPX 4200–4800）。</w:t>
      </w:r>
    </w:p>
    <w:p>
      <w:pPr>
        <w:pStyle w:val="ListParagraph"/>
        <w:numPr>
          <w:ilvl w:val="0"/>
          <w:numId w:val="3"/>
        </w:numPr>
        <w:spacing w:after="40" w:before="40" w:line="340"/>
      </w:pPr>
      <w:r>
        <w:rPr>
          <w:rFonts w:ascii="Arial" w:cs="Arial" w:eastAsia="Arial" w:hAnsi="Arial"/>
          <w:sz w:val="22"/>
          <w:szCs w:val="22"/>
        </w:rPr>
        <w:t xml:space="preserve">V 型反弹：Fed 暂停 QT 后 6–12 个月收复大部分失地。</w:t>
      </w:r>
    </w:p>
    <w:p>
      <w:pPr>
        <w:pStyle w:val="ListParagraph"/>
        <w:numPr>
          <w:ilvl w:val="0"/>
          <w:numId w:val="3"/>
        </w:numPr>
        <w:spacing w:after="40" w:before="40" w:line="340"/>
      </w:pPr>
      <w:r>
        <w:rPr>
          <w:rFonts w:ascii="Arial" w:cs="Arial" w:eastAsia="Arial" w:hAnsi="Arial"/>
          <w:sz w:val="22"/>
          <w:szCs w:val="22"/>
        </w:rPr>
        <w:t xml:space="preserve">买点：流动性事件 + 政策反转信号同时出现。</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短期表现：受益于宽松重启，SPX 可能冲击新高。</w:t>
      </w:r>
    </w:p>
    <w:p>
      <w:pPr>
        <w:pStyle w:val="ListParagraph"/>
        <w:numPr>
          <w:ilvl w:val="0"/>
          <w:numId w:val="3"/>
        </w:numPr>
        <w:spacing w:after="40" w:before="40" w:line="340"/>
      </w:pPr>
      <w:r>
        <w:rPr>
          <w:rFonts w:ascii="Arial" w:cs="Arial" w:eastAsia="Arial" w:hAnsi="Arial"/>
          <w:sz w:val="22"/>
          <w:szCs w:val="22"/>
        </w:rPr>
        <w:t xml:space="preserve">中期陷阱：类似 2000 年互联网泡沫前的「鲁莽繁荣」，财政不可持续的长期担忧压制估值天花板。</w:t>
      </w:r>
    </w:p>
    <w:p>
      <w:pPr>
        <w:pStyle w:val="ListParagraph"/>
        <w:numPr>
          <w:ilvl w:val="0"/>
          <w:numId w:val="3"/>
        </w:numPr>
        <w:spacing w:after="40" w:before="40" w:line="340"/>
      </w:pPr>
      <w:r>
        <w:rPr>
          <w:rFonts w:ascii="Arial" w:cs="Arial" w:eastAsia="Arial" w:hAnsi="Arial"/>
          <w:sz w:val="22"/>
          <w:szCs w:val="22"/>
        </w:rPr>
        <w:t xml:space="preserve">退出信号：美元持续贬值 + 长端利率失控同时出现时，应减仓。</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「牛短熊长」可能成为中长期常态，板块选择 &gt; Beta。</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Beta 敞口适度降低；</w:t>
      </w:r>
    </w:p>
    <w:p>
      <w:pPr>
        <w:pStyle w:val="ListParagraph"/>
        <w:numPr>
          <w:ilvl w:val="0"/>
          <w:numId w:val="3"/>
        </w:numPr>
        <w:spacing w:after="40" w:before="40" w:line="340"/>
      </w:pPr>
      <w:r>
        <w:rPr>
          <w:rFonts w:ascii="Arial" w:cs="Arial" w:eastAsia="Arial" w:hAnsi="Arial"/>
          <w:sz w:val="22"/>
          <w:szCs w:val="22"/>
        </w:rPr>
        <w:t xml:space="preserve">超配 AI 科技（Hyperscaler + Infra + Enabler）；</w:t>
      </w:r>
    </w:p>
    <w:p>
      <w:pPr>
        <w:pStyle w:val="ListParagraph"/>
        <w:numPr>
          <w:ilvl w:val="0"/>
          <w:numId w:val="3"/>
        </w:numPr>
        <w:spacing w:after="40" w:before="40" w:line="340"/>
      </w:pPr>
      <w:r>
        <w:rPr>
          <w:rFonts w:ascii="Arial" w:cs="Arial" w:eastAsia="Arial" w:hAnsi="Arial"/>
          <w:sz w:val="22"/>
          <w:szCs w:val="22"/>
        </w:rPr>
        <w:t xml:space="preserve">标配金融（大型银行 + 保险）；</w:t>
      </w:r>
    </w:p>
    <w:p>
      <w:pPr>
        <w:pStyle w:val="ListParagraph"/>
        <w:numPr>
          <w:ilvl w:val="0"/>
          <w:numId w:val="3"/>
        </w:numPr>
        <w:spacing w:after="40" w:before="40" w:line="340"/>
      </w:pPr>
      <w:r>
        <w:rPr>
          <w:rFonts w:ascii="Arial" w:cs="Arial" w:eastAsia="Arial" w:hAnsi="Arial"/>
          <w:sz w:val="22"/>
          <w:szCs w:val="22"/>
        </w:rPr>
        <w:t xml:space="preserve">低配 REITs、小盘、利率敏感消费；</w:t>
      </w:r>
    </w:p>
    <w:p>
      <w:pPr>
        <w:pStyle w:val="ListParagraph"/>
        <w:numPr>
          <w:ilvl w:val="0"/>
          <w:numId w:val="3"/>
        </w:numPr>
        <w:spacing w:after="40" w:before="40" w:line="340"/>
      </w:pPr>
      <w:r>
        <w:rPr>
          <w:rFonts w:ascii="Arial" w:cs="Arial" w:eastAsia="Arial" w:hAnsi="Arial"/>
          <w:sz w:val="22"/>
          <w:szCs w:val="22"/>
        </w:rPr>
        <w:t xml:space="preserve">保留 15–20% 现金头寸以在激进情景中抄底。</w:t>
      </w:r>
    </w:p>
    <w:p>
      <w:pPr>
        <w:pStyle w:val="Heading2"/>
      </w:pPr>
      <w:r>
        <w:rPr>
          <w:rFonts w:ascii="Arial" w:cs="Arial" w:eastAsia="Arial" w:hAnsi="Arial"/>
          <w:b/>
          <w:bCs/>
          <w:sz w:val="26"/>
          <w:szCs w:val="26"/>
        </w:rPr>
        <w:t xml:space="preserve">5.6 综合配置矩阵</w:t>
      </w:r>
    </w:p>
    <w:p>
      <w:pPr>
        <w:spacing w:after="60" w:before="60" w:line="360"/>
      </w:pPr>
      <w:r>
        <w:rPr>
          <w:rFonts w:ascii="Arial" w:cs="Arial" w:eastAsia="Arial" w:hAnsi="Arial"/>
          <w:sz w:val="22"/>
          <w:szCs w:val="22"/>
        </w:rPr>
        <w:t xml:space="preserve">沃什框架下的投资组合（相对中性基准）：</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1200"/>
        <w:gridCol w:w="1600"/>
        <w:gridCol w:w="1000"/>
        <w:gridCol w:w="3160"/>
      </w:tblGrid>
      <w:tr>
        <w:trPr>
          <w:tblHeader/>
        </w:trPr>
        <w:tc>
          <w:tcPr>
            <w:tcW w:type="dxa" w:w="2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资产</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中性基准</w:t>
            </w:r>
          </w:p>
        </w:tc>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沃什基础情景</w:t>
            </w:r>
          </w:p>
        </w:tc>
        <w:tc>
          <w:tcPr>
            <w:tcW w:type="dxa" w:w="1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偏离</w:t>
            </w:r>
          </w:p>
        </w:tc>
        <w:tc>
          <w:tcPr>
            <w:tcW w:type="dxa" w:w="31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理由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黄金</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三情景均为多头，风险回报最优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美元现金 / 短端</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结构性走弱，但保留应急流动性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美债（2–5Y）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降息受益，久期可控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美债（10Y+）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久期风险系统性偏高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TIPS</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对抗受阻情景实际利率下行陷阱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美股</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-7pp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估值压力 + Fed Put 弱化</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非美权益（新兴+欧日）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保留多元化</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6. 关键观察指标与触发条件</w:t>
      </w:r>
    </w:p>
    <w:p>
      <w:pPr>
        <w:spacing w:after="60" w:before="60" w:line="360"/>
      </w:pPr>
      <w:r>
        <w:rPr>
          <w:rFonts w:ascii="Arial" w:cs="Arial" w:eastAsia="Arial" w:hAnsi="Arial"/>
          <w:sz w:val="22"/>
          <w:szCs w:val="22"/>
        </w:rPr>
        <w:t xml:space="preserve">以下指标锚定在 InflationMonitor IPS 框架的 P/E/D/F/N 五分项上：</w:t>
      </w:r>
    </w:p>
    <w:p>
      <w:pPr>
        <w:pStyle w:val="Heading2"/>
      </w:pPr>
      <w:r>
        <w:rPr>
          <w:rFonts w:ascii="Arial" w:cs="Arial" w:eastAsia="Arial" w:hAnsi="Arial"/>
          <w:b/>
          <w:bCs/>
          <w:sz w:val="26"/>
          <w:szCs w:val="26"/>
        </w:rPr>
        <w:t xml:space="preserve">6.1 P（价格）</w:t>
      </w:r>
    </w:p>
    <w:p>
      <w:pPr>
        <w:pStyle w:val="ListParagraph"/>
        <w:numPr>
          <w:ilvl w:val="0"/>
          <w:numId w:val="3"/>
        </w:numPr>
        <w:spacing w:after="40" w:before="40" w:line="340"/>
      </w:pPr>
      <w:r>
        <w:rPr>
          <w:rFonts w:ascii="Arial" w:cs="Arial" w:eastAsia="Arial" w:hAnsi="Arial"/>
          <w:sz w:val="22"/>
          <w:szCs w:val="22"/>
        </w:rPr>
        <w:t xml:space="preserve">Core PCE 3m 年化：破 3% 持续 3 个月 → 沃什框架「信誉重建」受挑战；破 2.5% 持续 6 个月 → 降息路径确立。</w:t>
      </w:r>
    </w:p>
    <w:p>
      <w:pPr>
        <w:pStyle w:val="ListParagraph"/>
        <w:numPr>
          <w:ilvl w:val="0"/>
          <w:numId w:val="3"/>
        </w:numPr>
        <w:spacing w:after="40" w:before="40" w:line="340"/>
      </w:pPr>
      <w:r>
        <w:rPr>
          <w:rFonts w:ascii="Arial" w:cs="Arial" w:eastAsia="Arial" w:hAnsi="Arial"/>
          <w:sz w:val="22"/>
          <w:szCs w:val="22"/>
        </w:rPr>
        <w:t xml:space="preserve">Truflation 实时：领先 CPI 约 1 个月，Truflation &lt; 2.3% 持续 6 周 → 短期通胀压力明显缓解。</w:t>
      </w:r>
    </w:p>
    <w:p>
      <w:pPr>
        <w:pStyle w:val="ListParagraph"/>
        <w:numPr>
          <w:ilvl w:val="0"/>
          <w:numId w:val="3"/>
        </w:numPr>
        <w:spacing w:after="40" w:before="40" w:line="340"/>
      </w:pPr>
      <w:r>
        <w:rPr>
          <w:rFonts w:ascii="Arial" w:cs="Arial" w:eastAsia="Arial" w:hAnsi="Arial"/>
          <w:sz w:val="22"/>
          <w:szCs w:val="22"/>
        </w:rPr>
        <w:t xml:space="preserve">服务 ex-shelter 3m 年化：最粘性分项，破 3% → 首次降息确认。</w:t>
      </w:r>
    </w:p>
    <w:p>
      <w:pPr>
        <w:pStyle w:val="Heading2"/>
      </w:pPr>
      <w:r>
        <w:rPr>
          <w:rFonts w:ascii="Arial" w:cs="Arial" w:eastAsia="Arial" w:hAnsi="Arial"/>
          <w:b/>
          <w:bCs/>
          <w:sz w:val="26"/>
          <w:szCs w:val="26"/>
        </w:rPr>
        <w:t xml:space="preserve">6.2 E（预期）</w:t>
      </w:r>
    </w:p>
    <w:p>
      <w:pPr>
        <w:pStyle w:val="ListParagraph"/>
        <w:numPr>
          <w:ilvl w:val="0"/>
          <w:numId w:val="3"/>
        </w:numPr>
        <w:spacing w:after="40" w:before="40" w:line="340"/>
      </w:pPr>
      <w:r>
        <w:rPr>
          <w:rFonts w:ascii="Arial" w:cs="Arial" w:eastAsia="Arial" w:hAnsi="Arial"/>
          <w:sz w:val="22"/>
          <w:szCs w:val="22"/>
        </w:rPr>
        <w:t xml:space="preserve">5Y5Y Forward BEI：维持 2.2–2.5% → 预期锚定；破 2.6% 或跌破 2.0% → 信誉危机。</w:t>
      </w:r>
    </w:p>
    <w:p>
      <w:pPr>
        <w:pStyle w:val="ListParagraph"/>
        <w:numPr>
          <w:ilvl w:val="0"/>
          <w:numId w:val="3"/>
        </w:numPr>
        <w:spacing w:after="40" w:before="40" w:line="340"/>
      </w:pPr>
      <w:r>
        <w:rPr>
          <w:rFonts w:ascii="Arial" w:cs="Arial" w:eastAsia="Arial" w:hAnsi="Arial"/>
          <w:sz w:val="22"/>
          <w:szCs w:val="22"/>
        </w:rPr>
        <w:t xml:space="preserve">Michigan 1Y：稳定在 2.5–3.5% 区间 → 家庭端锚定；持续 &gt; 4% → 政策信誉警报。</w:t>
      </w:r>
    </w:p>
    <w:p>
      <w:pPr>
        <w:pStyle w:val="Heading2"/>
      </w:pPr>
      <w:r>
        <w:rPr>
          <w:rFonts w:ascii="Arial" w:cs="Arial" w:eastAsia="Arial" w:hAnsi="Arial"/>
          <w:b/>
          <w:bCs/>
          <w:sz w:val="26"/>
          <w:szCs w:val="26"/>
        </w:rPr>
        <w:t xml:space="preserve">6.3 D（驱动）</w:t>
      </w:r>
    </w:p>
    <w:p>
      <w:pPr>
        <w:pStyle w:val="ListParagraph"/>
        <w:numPr>
          <w:ilvl w:val="0"/>
          <w:numId w:val="3"/>
        </w:numPr>
        <w:spacing w:after="40" w:before="40" w:line="340"/>
      </w:pPr>
      <w:r>
        <w:rPr>
          <w:rFonts w:ascii="Arial" w:cs="Arial" w:eastAsia="Arial" w:hAnsi="Arial"/>
          <w:sz w:val="22"/>
          <w:szCs w:val="22"/>
        </w:rPr>
        <w:t xml:space="preserve">WTI × GSCPI 复合指数：供给侧通胀压力合成指标，&gt; 1.5σ → 激活滞胀预警。</w:t>
      </w:r>
    </w:p>
    <w:p>
      <w:pPr>
        <w:pStyle w:val="ListParagraph"/>
        <w:numPr>
          <w:ilvl w:val="0"/>
          <w:numId w:val="3"/>
        </w:numPr>
        <w:spacing w:after="40" w:before="40" w:line="340"/>
      </w:pPr>
      <w:r>
        <w:rPr>
          <w:rFonts w:ascii="Arial" w:cs="Arial" w:eastAsia="Arial" w:hAnsi="Arial"/>
          <w:sz w:val="22"/>
          <w:szCs w:val="22"/>
        </w:rPr>
        <w:t xml:space="preserve">BLS 劳动生产率：年化 &gt; 2% → AI 红利兑现；&lt; 1% → 沃什「AI 乐观论」受挑战。</w:t>
      </w:r>
    </w:p>
    <w:p>
      <w:pPr>
        <w:pStyle w:val="Heading2"/>
      </w:pPr>
      <w:r>
        <w:rPr>
          <w:rFonts w:ascii="Arial" w:cs="Arial" w:eastAsia="Arial" w:hAnsi="Arial"/>
          <w:b/>
          <w:bCs/>
          <w:sz w:val="26"/>
          <w:szCs w:val="26"/>
        </w:rPr>
        <w:t xml:space="preserve">6.4 F（财政）</w:t>
      </w:r>
    </w:p>
    <w:p>
      <w:pPr>
        <w:pStyle w:val="ListParagraph"/>
        <w:numPr>
          <w:ilvl w:val="0"/>
          <w:numId w:val="3"/>
        </w:numPr>
        <w:spacing w:after="40" w:before="40" w:line="340"/>
      </w:pPr>
      <w:r>
        <w:rPr>
          <w:rFonts w:ascii="Arial" w:cs="Arial" w:eastAsia="Arial" w:hAnsi="Arial"/>
          <w:sz w:val="22"/>
          <w:szCs w:val="22"/>
        </w:rPr>
        <w:t xml:space="preserve">赤字/GDP 12M 滚动：持续 &gt; 6% → QT 执行压力加大；回落至 4–5% → 沃什「倒逼财政纪律」逻辑成立。</w:t>
      </w:r>
    </w:p>
    <w:p>
      <w:pPr>
        <w:pStyle w:val="ListParagraph"/>
        <w:numPr>
          <w:ilvl w:val="0"/>
          <w:numId w:val="3"/>
        </w:numPr>
        <w:spacing w:after="40" w:before="40" w:line="340"/>
      </w:pPr>
      <w:r>
        <w:rPr>
          <w:rFonts w:ascii="Arial" w:cs="Arial" w:eastAsia="Arial" w:hAnsi="Arial"/>
          <w:sz w:val="22"/>
          <w:szCs w:val="22"/>
        </w:rPr>
        <w:t xml:space="preserve">TGA 余额：突然大幅释放 → 隐性财政脉冲，可能抵消 QT 效应。</w:t>
      </w:r>
    </w:p>
    <w:p>
      <w:pPr>
        <w:pStyle w:val="ListParagraph"/>
        <w:numPr>
          <w:ilvl w:val="0"/>
          <w:numId w:val="3"/>
        </w:numPr>
        <w:spacing w:after="40" w:before="40" w:line="340"/>
      </w:pPr>
      <w:r>
        <w:rPr>
          <w:rFonts w:ascii="Arial" w:cs="Arial" w:eastAsia="Arial" w:hAnsi="Arial"/>
          <w:sz w:val="22"/>
          <w:szCs w:val="22"/>
        </w:rPr>
        <w:t xml:space="preserve">10Y 国债拍卖尾差：&gt; 3bp 持续 3 次 → 长端供给承受力达到极限，激进情景预警。</w:t>
      </w:r>
    </w:p>
    <w:p>
      <w:pPr>
        <w:pStyle w:val="Heading2"/>
      </w:pPr>
      <w:r>
        <w:rPr>
          <w:rFonts w:ascii="Arial" w:cs="Arial" w:eastAsia="Arial" w:hAnsi="Arial"/>
          <w:b/>
          <w:bCs/>
          <w:sz w:val="26"/>
          <w:szCs w:val="26"/>
        </w:rPr>
        <w:t xml:space="preserve">6.5 N（叙事 / 政策反射）</w:t>
      </w:r>
    </w:p>
    <w:p>
      <w:pPr>
        <w:pStyle w:val="ListParagraph"/>
        <w:numPr>
          <w:ilvl w:val="0"/>
          <w:numId w:val="3"/>
        </w:numPr>
        <w:spacing w:after="40" w:before="40" w:line="340"/>
      </w:pPr>
      <w:r>
        <w:rPr>
          <w:rFonts w:ascii="Arial" w:cs="Arial" w:eastAsia="Arial" w:hAnsi="Arial"/>
          <w:sz w:val="22"/>
          <w:szCs w:val="22"/>
        </w:rPr>
        <w:t xml:space="preserve">FOMC 鹰鸽 MA5：维持在 +0.5 以上 → 鹰派框架确立；回落至 0 以下 → 框架松动。</w:t>
      </w:r>
    </w:p>
    <w:p>
      <w:pPr>
        <w:pStyle w:val="ListParagraph"/>
        <w:numPr>
          <w:ilvl w:val="0"/>
          <w:numId w:val="3"/>
        </w:numPr>
        <w:spacing w:after="40" w:before="40" w:line="340"/>
      </w:pPr>
      <w:r>
        <w:rPr>
          <w:rFonts w:ascii="Arial" w:cs="Arial" w:eastAsia="Arial" w:hAnsi="Arial"/>
          <w:sz w:val="22"/>
          <w:szCs w:val="22"/>
        </w:rPr>
        <w:t xml:space="preserve">CME FedWatch 2026 年降息次数：定价 3–4 次 → 沃什路径符合市场预期；&gt; 5 次 → 市场预期过鸽。</w:t>
      </w:r>
    </w:p>
    <w:p>
      <w:pPr>
        <w:pStyle w:val="ListParagraph"/>
        <w:numPr>
          <w:ilvl w:val="0"/>
          <w:numId w:val="3"/>
        </w:numPr>
        <w:spacing w:after="40" w:before="40" w:line="340"/>
      </w:pPr>
      <w:r>
        <w:rPr>
          <w:rFonts w:ascii="Arial" w:cs="Arial" w:eastAsia="Arial" w:hAnsi="Arial"/>
          <w:sz w:val="22"/>
          <w:szCs w:val="22"/>
        </w:rPr>
        <w:t xml:space="preserve">QT 月度缩减规模：启动时每月 $250 亿 → 目标 $600 亿/月 内。</w:t>
      </w:r>
    </w:p>
    <w:p>
      <w:pPr>
        <w:pStyle w:val="ListParagraph"/>
        <w:numPr>
          <w:ilvl w:val="0"/>
          <w:numId w:val="3"/>
        </w:numPr>
        <w:spacing w:after="40" w:before="40" w:line="340"/>
      </w:pPr>
      <w:r>
        <w:rPr>
          <w:rFonts w:ascii="Arial" w:cs="Arial" w:eastAsia="Arial" w:hAnsi="Arial"/>
          <w:sz w:val="22"/>
          <w:szCs w:val="22"/>
        </w:rPr>
        <w:t xml:space="preserve">MBS 占总资产比例：从当前 31% 降至 25% 以下 → QT 框架按设计推进。</w:t>
      </w:r>
    </w:p>
    <w:p>
      <w:pPr>
        <w:pStyle w:val="Heading2"/>
      </w:pPr>
      <w:r>
        <w:rPr>
          <w:rFonts w:ascii="Arial" w:cs="Arial" w:eastAsia="Arial" w:hAnsi="Arial"/>
          <w:b/>
          <w:bCs/>
          <w:sz w:val="26"/>
          <w:szCs w:val="26"/>
        </w:rPr>
        <w:t xml:space="preserve">6.6 沃什专属观察点</w:t>
      </w:r>
    </w:p>
    <w:p>
      <w:pPr>
        <w:pStyle w:val="ListParagraph"/>
        <w:numPr>
          <w:ilvl w:val="0"/>
          <w:numId w:val="3"/>
        </w:numPr>
        <w:spacing w:after="40" w:before="40" w:line="340"/>
      </w:pPr>
      <w:r>
        <w:rPr>
          <w:rFonts w:ascii="Arial" w:cs="Arial" w:eastAsia="Arial" w:hAnsi="Arial"/>
          <w:sz w:val="22"/>
          <w:szCs w:val="22"/>
        </w:rPr>
        <w:t xml:space="preserve">沃什公开演讲频率 + 内容：每月 &gt; 2 次演讲且「信誉」、「独立性」关键词高频 → 框架在加固。</w:t>
      </w:r>
    </w:p>
    <w:p>
      <w:pPr>
        <w:pStyle w:val="ListParagraph"/>
        <w:numPr>
          <w:ilvl w:val="0"/>
          <w:numId w:val="3"/>
        </w:numPr>
        <w:spacing w:after="40" w:before="40" w:line="340"/>
      </w:pPr>
      <w:r>
        <w:rPr>
          <w:rFonts w:ascii="Arial" w:cs="Arial" w:eastAsia="Arial" w:hAnsi="Arial"/>
          <w:sz w:val="22"/>
          <w:szCs w:val="22"/>
        </w:rPr>
        <w:t xml:space="preserve">点阵图权重：若 SEP 发布时点阵图被「降级展示」（如不再放在前页）→ 沃什具体改革在兑现。</w:t>
      </w:r>
    </w:p>
    <w:p>
      <w:pPr>
        <w:pStyle w:val="ListParagraph"/>
        <w:numPr>
          <w:ilvl w:val="0"/>
          <w:numId w:val="3"/>
        </w:numPr>
        <w:spacing w:after="40" w:before="40" w:line="340"/>
      </w:pPr>
      <w:r>
        <w:rPr>
          <w:rFonts w:ascii="Arial" w:cs="Arial" w:eastAsia="Arial" w:hAnsi="Arial"/>
          <w:sz w:val="22"/>
          <w:szCs w:val="22"/>
        </w:rPr>
        <w:t xml:space="preserve">与财政部协调声明：出现明确「分工」表述（货币 vs 财政责任）→ 制度安排推进。</w:t>
      </w:r>
    </w:p>
    <w:p>
      <w:pPr>
        <w:pStyle w:val="Heading1"/>
        <w:pageBreakBefore/>
      </w:pPr>
      <w:r>
        <w:rPr>
          <w:rFonts w:ascii="Arial" w:cs="Arial" w:eastAsia="Arial" w:hAnsi="Arial"/>
          <w:b/>
          <w:bCs/>
          <w:sz w:val="32"/>
          <w:szCs w:val="32"/>
        </w:rPr>
        <w:t xml:space="preserve">7. 风险、边界与假设失败路径</w:t>
      </w:r>
    </w:p>
    <w:p>
      <w:pPr>
        <w:pStyle w:val="Heading2"/>
      </w:pPr>
      <w:r>
        <w:rPr>
          <w:rFonts w:ascii="Arial" w:cs="Arial" w:eastAsia="Arial" w:hAnsi="Arial"/>
          <w:b/>
          <w:bCs/>
          <w:sz w:val="26"/>
          <w:szCs w:val="26"/>
        </w:rPr>
        <w:t xml:space="preserve">7.1 沃什未能上任</w:t>
      </w:r>
    </w:p>
    <w:p>
      <w:pPr>
        <w:spacing w:after="60" w:before="60" w:line="360"/>
      </w:pPr>
      <w:r>
        <w:rPr>
          <w:rFonts w:ascii="Arial" w:cs="Arial" w:eastAsia="Arial" w:hAnsi="Arial"/>
          <w:sz w:val="22"/>
          <w:szCs w:val="22"/>
        </w:rPr>
        <w:t xml:space="preserve">Trump 可能临时换人（候选人还有 Warsh、Waller、Hassett 等）。若提名被撤，框架连续性受损——但 Waller 和 Hassett 在关键议题上与沃什立场高度重合（QT 鹰派、AIT 批评），仅具体节奏可能差异。对四资产方向影响小于 20%。</w:t>
      </w:r>
    </w:p>
    <w:p>
      <w:pPr>
        <w:pStyle w:val="Heading2"/>
      </w:pPr>
      <w:r>
        <w:rPr>
          <w:rFonts w:ascii="Arial" w:cs="Arial" w:eastAsia="Arial" w:hAnsi="Arial"/>
          <w:b/>
          <w:bCs/>
          <w:sz w:val="26"/>
          <w:szCs w:val="26"/>
        </w:rPr>
        <w:t xml:space="preserve">7.2 财政主导（Fiscal Dominance）硬约束</w:t>
      </w:r>
    </w:p>
    <w:p>
      <w:pPr>
        <w:spacing w:after="60" w:before="60" w:line="360"/>
      </w:pPr>
      <w:r>
        <w:rPr>
          <w:rFonts w:ascii="Arial" w:cs="Arial" w:eastAsia="Arial" w:hAnsi="Arial"/>
          <w:sz w:val="22"/>
          <w:szCs w:val="22"/>
        </w:rPr>
        <w:t xml:space="preserve">若赤字持续 &gt; 6%，国会无法在未来 3 年内压缩至 &lt; 4%，则 QT 几乎必然受阻。这是最大的单一风险。触发信号：</w:t>
      </w:r>
    </w:p>
    <w:p>
      <w:pPr>
        <w:pStyle w:val="ListParagraph"/>
        <w:numPr>
          <w:ilvl w:val="0"/>
          <w:numId w:val="3"/>
        </w:numPr>
        <w:spacing w:after="40" w:before="40" w:line="340"/>
      </w:pPr>
      <w:r>
        <w:rPr>
          <w:rFonts w:ascii="Arial" w:cs="Arial" w:eastAsia="Arial" w:hAnsi="Arial"/>
          <w:sz w:val="22"/>
          <w:szCs w:val="22"/>
        </w:rPr>
        <w:t xml:space="preserve">10Y 拍卖尾差持续 &gt; 3bp；</w:t>
      </w:r>
    </w:p>
    <w:p>
      <w:pPr>
        <w:pStyle w:val="ListParagraph"/>
        <w:numPr>
          <w:ilvl w:val="0"/>
          <w:numId w:val="3"/>
        </w:numPr>
        <w:spacing w:after="40" w:before="40" w:line="340"/>
      </w:pPr>
      <w:r>
        <w:rPr>
          <w:rFonts w:ascii="Arial" w:cs="Arial" w:eastAsia="Arial" w:hAnsi="Arial"/>
          <w:sz w:val="22"/>
          <w:szCs w:val="22"/>
        </w:rPr>
        <w:t xml:space="preserve">外国央行美债持有占比加速下降；</w:t>
      </w:r>
    </w:p>
    <w:p>
      <w:pPr>
        <w:pStyle w:val="ListParagraph"/>
        <w:numPr>
          <w:ilvl w:val="0"/>
          <w:numId w:val="3"/>
        </w:numPr>
        <w:spacing w:after="40" w:before="40" w:line="340"/>
      </w:pPr>
      <w:r>
        <w:rPr>
          <w:rFonts w:ascii="Arial" w:cs="Arial" w:eastAsia="Arial" w:hAnsi="Arial"/>
          <w:sz w:val="22"/>
          <w:szCs w:val="22"/>
        </w:rPr>
        <w:t xml:space="preserve">美联储公开讨论「Yield Curve Control」（YCC）——若出现此讨论，沃什框架即宣告失败。</w:t>
      </w:r>
    </w:p>
    <w:p>
      <w:pPr>
        <w:pStyle w:val="Heading2"/>
      </w:pPr>
      <w:r>
        <w:rPr>
          <w:rFonts w:ascii="Arial" w:cs="Arial" w:eastAsia="Arial" w:hAnsi="Arial"/>
          <w:b/>
          <w:bCs/>
          <w:sz w:val="26"/>
          <w:szCs w:val="26"/>
        </w:rPr>
        <w:t xml:space="preserve">7.3 地缘冲击</w:t>
      </w:r>
    </w:p>
    <w:p>
      <w:pPr>
        <w:spacing w:after="60" w:before="60" w:line="360"/>
      </w:pPr>
      <w:r>
        <w:rPr>
          <w:rFonts w:ascii="Arial" w:cs="Arial" w:eastAsia="Arial" w:hAnsi="Arial"/>
          <w:sz w:val="22"/>
          <w:szCs w:val="22"/>
        </w:rPr>
        <w:t xml:space="preserve">油价 &gt; $110 持续 6 个月 / 中东 / 台海热战 / 供应链二次冲击（如半导体 / 稀土 / 医药）。任何一项都会：</w:t>
      </w:r>
    </w:p>
    <w:p>
      <w:pPr>
        <w:pStyle w:val="ListParagraph"/>
        <w:numPr>
          <w:ilvl w:val="0"/>
          <w:numId w:val="3"/>
        </w:numPr>
        <w:spacing w:after="40" w:before="40" w:line="340"/>
      </w:pPr>
      <w:r>
        <w:rPr>
          <w:rFonts w:ascii="Arial" w:cs="Arial" w:eastAsia="Arial" w:hAnsi="Arial"/>
          <w:sz w:val="22"/>
          <w:szCs w:val="22"/>
        </w:rPr>
        <w:t xml:space="preserve">推高通胀 → 削弱降息空间；</w:t>
      </w:r>
    </w:p>
    <w:p>
      <w:pPr>
        <w:pStyle w:val="ListParagraph"/>
        <w:numPr>
          <w:ilvl w:val="0"/>
          <w:numId w:val="3"/>
        </w:numPr>
        <w:spacing w:after="40" w:before="40" w:line="340"/>
      </w:pPr>
      <w:r>
        <w:rPr>
          <w:rFonts w:ascii="Arial" w:cs="Arial" w:eastAsia="Arial" w:hAnsi="Arial"/>
          <w:sz w:val="22"/>
          <w:szCs w:val="22"/>
        </w:rPr>
        <w:t xml:space="preserve">强化避险需求 → 短期美元和美债反弹；</w:t>
      </w:r>
    </w:p>
    <w:p>
      <w:pPr>
        <w:pStyle w:val="ListParagraph"/>
        <w:numPr>
          <w:ilvl w:val="0"/>
          <w:numId w:val="3"/>
        </w:numPr>
        <w:spacing w:after="40" w:before="40" w:line="340"/>
      </w:pPr>
      <w:r>
        <w:rPr>
          <w:rFonts w:ascii="Arial" w:cs="Arial" w:eastAsia="Arial" w:hAnsi="Arial"/>
          <w:sz w:val="22"/>
          <w:szCs w:val="22"/>
        </w:rPr>
        <w:t xml:space="preserve">但：黄金在地缘冲击中受益最大，其多头确定性被进一步强化。</w:t>
      </w:r>
    </w:p>
    <w:p>
      <w:pPr>
        <w:pStyle w:val="Heading2"/>
      </w:pPr>
      <w:r>
        <w:rPr>
          <w:rFonts w:ascii="Arial" w:cs="Arial" w:eastAsia="Arial" w:hAnsi="Arial"/>
          <w:b/>
          <w:bCs/>
          <w:sz w:val="26"/>
          <w:szCs w:val="26"/>
        </w:rPr>
        <w:t xml:space="preserve">7.4 AI 宏观幅度落空</w:t>
      </w:r>
    </w:p>
    <w:p>
      <w:pPr>
        <w:spacing w:after="60" w:before="60" w:line="360"/>
      </w:pPr>
      <w:r>
        <w:rPr>
          <w:rFonts w:ascii="Arial" w:cs="Arial" w:eastAsia="Arial" w:hAnsi="Arial"/>
          <w:sz w:val="22"/>
          <w:szCs w:val="22"/>
        </w:rPr>
        <w:t xml:space="preserve">若 AI 未能在 2026–2028 年兑现可测量的生产率红利（BLS 年化劳动生产率 &lt; 1.5%），则沃什「AI 乐观论」证伪，D 分项的结构性通缩因子消失。后果：</w:t>
      </w:r>
    </w:p>
    <w:p>
      <w:pPr>
        <w:pStyle w:val="ListParagraph"/>
        <w:numPr>
          <w:ilvl w:val="0"/>
          <w:numId w:val="3"/>
        </w:numPr>
        <w:spacing w:after="40" w:before="40" w:line="340"/>
      </w:pPr>
      <w:r>
        <w:rPr>
          <w:rFonts w:ascii="Arial" w:cs="Arial" w:eastAsia="Arial" w:hAnsi="Arial"/>
          <w:sz w:val="22"/>
          <w:szCs w:val="22"/>
        </w:rPr>
        <w:t xml:space="preserve">通胀粘性持续，降息空间被压缩；</w:t>
      </w:r>
    </w:p>
    <w:p>
      <w:pPr>
        <w:pStyle w:val="ListParagraph"/>
        <w:numPr>
          <w:ilvl w:val="0"/>
          <w:numId w:val="3"/>
        </w:numPr>
        <w:spacing w:after="40" w:before="40" w:line="340"/>
      </w:pPr>
      <w:r>
        <w:rPr>
          <w:rFonts w:ascii="Arial" w:cs="Arial" w:eastAsia="Arial" w:hAnsi="Arial"/>
          <w:sz w:val="22"/>
          <w:szCs w:val="22"/>
        </w:rPr>
        <w:t xml:space="preserve">科技股估值承压；</w:t>
      </w:r>
    </w:p>
    <w:p>
      <w:pPr>
        <w:pStyle w:val="ListParagraph"/>
        <w:numPr>
          <w:ilvl w:val="0"/>
          <w:numId w:val="3"/>
        </w:numPr>
        <w:spacing w:after="40" w:before="40" w:line="340"/>
      </w:pPr>
      <w:r>
        <w:rPr>
          <w:rFonts w:ascii="Arial" w:cs="Arial" w:eastAsia="Arial" w:hAnsi="Arial"/>
          <w:sz w:val="22"/>
          <w:szCs w:val="22"/>
        </w:rPr>
        <w:t xml:space="preserve">基础情景概率从 55% 下修至 35–40%。</w:t>
      </w:r>
    </w:p>
    <w:p>
      <w:pPr>
        <w:pStyle w:val="Heading2"/>
      </w:pPr>
      <w:r>
        <w:rPr>
          <w:rFonts w:ascii="Arial" w:cs="Arial" w:eastAsia="Arial" w:hAnsi="Arial"/>
          <w:b/>
          <w:bCs/>
          <w:sz w:val="26"/>
          <w:szCs w:val="26"/>
        </w:rPr>
        <w:t xml:space="preserve">7.5 美元信誉拐点</w:t>
      </w:r>
    </w:p>
    <w:p>
      <w:pPr>
        <w:spacing w:after="60" w:before="60" w:line="360"/>
      </w:pPr>
      <w:r>
        <w:rPr>
          <w:rFonts w:ascii="Arial" w:cs="Arial" w:eastAsia="Arial" w:hAnsi="Arial"/>
          <w:sz w:val="22"/>
          <w:szCs w:val="22"/>
        </w:rPr>
        <w:t xml:space="preserve">如去美元化超预期加速（BRICS 支付体系突破、沙特放弃石油美元、中国人民币国际化加速），则：</w:t>
      </w:r>
    </w:p>
    <w:p>
      <w:pPr>
        <w:pStyle w:val="ListParagraph"/>
        <w:numPr>
          <w:ilvl w:val="0"/>
          <w:numId w:val="3"/>
        </w:numPr>
        <w:spacing w:after="40" w:before="40" w:line="340"/>
      </w:pPr>
      <w:r>
        <w:rPr>
          <w:rFonts w:ascii="Arial" w:cs="Arial" w:eastAsia="Arial" w:hAnsi="Arial"/>
          <w:sz w:val="22"/>
          <w:szCs w:val="22"/>
        </w:rPr>
        <w:t xml:space="preserve">黄金大幅超预期（$5000+ 不再科幻）；</w:t>
      </w:r>
    </w:p>
    <w:p>
      <w:pPr>
        <w:pStyle w:val="ListParagraph"/>
        <w:numPr>
          <w:ilvl w:val="0"/>
          <w:numId w:val="3"/>
        </w:numPr>
        <w:spacing w:after="40" w:before="40" w:line="340"/>
      </w:pPr>
      <w:r>
        <w:rPr>
          <w:rFonts w:ascii="Arial" w:cs="Arial" w:eastAsia="Arial" w:hAnsi="Arial"/>
          <w:sz w:val="22"/>
          <w:szCs w:val="22"/>
        </w:rPr>
        <w:t xml:space="preserve">美元 DXY 可能跌破 90；</w:t>
      </w:r>
    </w:p>
    <w:p>
      <w:pPr>
        <w:pStyle w:val="ListParagraph"/>
        <w:numPr>
          <w:ilvl w:val="0"/>
          <w:numId w:val="3"/>
        </w:numPr>
        <w:spacing w:after="40" w:before="40" w:line="340"/>
      </w:pPr>
      <w:r>
        <w:rPr>
          <w:rFonts w:ascii="Arial" w:cs="Arial" w:eastAsia="Arial" w:hAnsi="Arial"/>
          <w:sz w:val="22"/>
          <w:szCs w:val="22"/>
        </w:rPr>
        <w:t xml:space="preserve">美债需求结构性收缩，10Y 可能破 5.5%；</w:t>
      </w:r>
    </w:p>
    <w:p>
      <w:pPr>
        <w:pStyle w:val="ListParagraph"/>
        <w:numPr>
          <w:ilvl w:val="0"/>
          <w:numId w:val="3"/>
        </w:numPr>
        <w:spacing w:after="40" w:before="40" w:line="340"/>
      </w:pPr>
      <w:r>
        <w:rPr>
          <w:rFonts w:ascii="Arial" w:cs="Arial" w:eastAsia="Arial" w:hAnsi="Arial"/>
          <w:sz w:val="22"/>
          <w:szCs w:val="22"/>
        </w:rPr>
        <w:t xml:space="preserve">美股短期受益于美元贬值但中期受长端利率冲击。</w:t>
      </w:r>
    </w:p>
    <w:p>
      <w:pPr>
        <w:spacing w:after="60" w:before="60" w:line="360"/>
      </w:pPr>
      <w:r>
        <w:rPr>
          <w:rFonts w:ascii="Arial" w:cs="Arial" w:eastAsia="Arial" w:hAnsi="Arial"/>
          <w:sz w:val="22"/>
          <w:szCs w:val="22"/>
        </w:rPr>
        <w:t xml:space="preserve">这是低概率、高影响的尾部风险，但也是沃什框架「货币主权回归」逻辑的必然副作用——你无法单方面宣告货币主权而不削弱其全球地位。</w:t>
      </w:r>
    </w:p>
    <w:p>
      <w:pPr>
        <w:pStyle w:val="Heading1"/>
        <w:pageBreakBefore/>
      </w:pPr>
      <w:r>
        <w:rPr>
          <w:rFonts w:ascii="Arial" w:cs="Arial" w:eastAsia="Arial" w:hAnsi="Arial"/>
          <w:b/>
          <w:bCs/>
          <w:sz w:val="32"/>
          <w:szCs w:val="32"/>
        </w:rPr>
        <w:t xml:space="preserve">8. 结论与投资组合建议</w:t>
      </w:r>
    </w:p>
    <w:p>
      <w:pPr>
        <w:pStyle w:val="Heading2"/>
      </w:pPr>
      <w:r>
        <w:rPr>
          <w:rFonts w:ascii="Arial" w:cs="Arial" w:eastAsia="Arial" w:hAnsi="Arial"/>
          <w:b/>
          <w:bCs/>
          <w:sz w:val="26"/>
          <w:szCs w:val="26"/>
        </w:rPr>
        <w:t xml:space="preserve">8.1 三个核心结论</w:t>
      </w:r>
    </w:p>
    <w:p>
      <w:pPr>
        <w:spacing w:after="60" w:before="60" w:line="360"/>
      </w:pPr>
      <w:r>
        <w:rPr>
          <w:rFonts w:ascii="Arial" w:cs="Arial" w:eastAsia="Arial" w:hAnsi="Arial"/>
          <w:b/>
          <w:bCs/>
          <w:sz w:val="22"/>
          <w:szCs w:val="22"/>
        </w:rPr>
        <w:t xml:space="preserve">结论一：沃什框架是一次货币政策范式的回归，而非调整。</w:t>
      </w:r>
    </w:p>
    <w:p>
      <w:pPr>
        <w:spacing w:after="60" w:before="60" w:line="360"/>
      </w:pPr>
      <w:r>
        <w:rPr>
          <w:rFonts w:ascii="Arial" w:cs="Arial" w:eastAsia="Arial" w:hAnsi="Arial"/>
          <w:sz w:val="22"/>
          <w:szCs w:val="22"/>
        </w:rPr>
        <w:t xml:space="preserve">从沃尔克到格林斯潘到伯南克，美联储的边界在不断扩张；沃什试图把这个扩张方向完整地倒回去——从全球央行退回美国央行，从金融稳定退回通胀锚定，从 QE 常态退回 QE 应急。这种回归的阻力在于 46 年积累的制度惯性和资产价格中隐含的 Fed Put 期权。范式转换的代价必然出现在资产价格上。</w:t>
      </w:r>
    </w:p>
    <w:p>
      <w:pPr>
        <w:spacing w:after="60" w:before="60" w:line="360"/>
      </w:pPr>
      <w:r>
        <w:rPr>
          <w:rFonts w:ascii="Arial" w:cs="Arial" w:eastAsia="Arial" w:hAnsi="Arial"/>
          <w:b/>
          <w:bCs/>
          <w:sz w:val="22"/>
          <w:szCs w:val="22"/>
        </w:rPr>
        <w:t xml:space="preserve">结论二：黄金是沃什框架下风险回报最优的资产。</w:t>
      </w:r>
    </w:p>
    <w:p>
      <w:pPr>
        <w:spacing w:after="60" w:before="60" w:line="360"/>
      </w:pPr>
      <w:r>
        <w:rPr>
          <w:rFonts w:ascii="Arial" w:cs="Arial" w:eastAsia="Arial" w:hAnsi="Arial"/>
          <w:sz w:val="22"/>
          <w:szCs w:val="22"/>
        </w:rPr>
        <w:t xml:space="preserve">三情景概率加权下，黄金在 1–3 年时间维度的回报确定性最高、回撤保护最强、尾部风险最受益。基础情景温和上行，激进情景短跌中涨，受阻情景最大受益。黄金的核心逻辑不是「反通胀」，而是「反美元信誉扩张」——沃什框架恰恰是对美元信誉的主动紧缩。</w:t>
      </w:r>
    </w:p>
    <w:p>
      <w:pPr>
        <w:spacing w:after="60" w:before="60" w:line="360"/>
      </w:pPr>
      <w:r>
        <w:rPr>
          <w:rFonts w:ascii="Arial" w:cs="Arial" w:eastAsia="Arial" w:hAnsi="Arial"/>
          <w:b/>
          <w:bCs/>
          <w:sz w:val="22"/>
          <w:szCs w:val="22"/>
        </w:rPr>
        <w:t xml:space="preserve">结论三：久期风险系统性偏高，「牛短熊长」是美股中长期常态。</w:t>
      </w:r>
    </w:p>
    <w:p>
      <w:pPr>
        <w:spacing w:after="60" w:before="60" w:line="360"/>
      </w:pPr>
      <w:r>
        <w:rPr>
          <w:rFonts w:ascii="Arial" w:cs="Arial" w:eastAsia="Arial" w:hAnsi="Arial"/>
          <w:sz w:val="22"/>
          <w:szCs w:val="22"/>
        </w:rPr>
        <w:t xml:space="preserve">QT 压制贴现率下行空间、Fed Put 弱化抬高波动率中枢，这两个因素共同导致长久期资产（长端美债、REITs、高估值成长股、小盘股）的风险溢价需要结构性抬升。这不是一次周期性回撤，而是定价基础的重构。</w:t>
      </w:r>
    </w:p>
    <w:p>
      <w:pPr>
        <w:pStyle w:val="Heading2"/>
      </w:pPr>
      <w:r>
        <w:rPr>
          <w:rFonts w:ascii="Arial" w:cs="Arial" w:eastAsia="Arial" w:hAnsi="Arial"/>
          <w:b/>
          <w:bCs/>
          <w:sz w:val="26"/>
          <w:szCs w:val="26"/>
        </w:rPr>
        <w:t xml:space="preserve">8.2 投资组合建议（中长期 / 1–3 年）</w:t>
      </w:r>
    </w:p>
    <w:p>
      <w:pPr>
        <w:spacing w:after="60" w:before="60" w:line="360"/>
      </w:pPr>
      <w:r>
        <w:rPr>
          <w:rFonts w:ascii="Arial" w:cs="Arial" w:eastAsia="Arial" w:hAnsi="Arial"/>
          <w:b/>
          <w:bCs/>
          <w:sz w:val="22"/>
          <w:szCs w:val="22"/>
        </w:rPr>
        <w:t xml:space="preserve">核心超配：</w:t>
      </w:r>
    </w:p>
    <w:p>
      <w:pPr>
        <w:pStyle w:val="ListParagraph"/>
        <w:numPr>
          <w:ilvl w:val="0"/>
          <w:numId w:val="3"/>
        </w:numPr>
        <w:spacing w:after="40" w:before="40" w:line="340"/>
      </w:pPr>
      <w:r>
        <w:rPr>
          <w:rFonts w:ascii="Arial" w:cs="Arial" w:eastAsia="Arial" w:hAnsi="Arial"/>
          <w:sz w:val="22"/>
          <w:szCs w:val="22"/>
        </w:rPr>
        <w:t xml:space="preserve">黄金（+8pp）：三情景均多头，配置为首选。</w:t>
      </w:r>
    </w:p>
    <w:p>
      <w:pPr>
        <w:pStyle w:val="ListParagraph"/>
        <w:numPr>
          <w:ilvl w:val="0"/>
          <w:numId w:val="3"/>
        </w:numPr>
        <w:spacing w:after="40" w:before="40" w:line="340"/>
      </w:pPr>
      <w:r>
        <w:rPr>
          <w:rFonts w:ascii="Arial" w:cs="Arial" w:eastAsia="Arial" w:hAnsi="Arial"/>
          <w:sz w:val="22"/>
          <w:szCs w:val="22"/>
        </w:rPr>
        <w:t xml:space="preserve">大盘科技（AI 受益）：超配 5pp，但分散至 Hyperscaler / 基础设施 / Enabler 三层。</w:t>
      </w:r>
    </w:p>
    <w:p>
      <w:pPr>
        <w:pStyle w:val="ListParagraph"/>
        <w:numPr>
          <w:ilvl w:val="0"/>
          <w:numId w:val="3"/>
        </w:numPr>
        <w:spacing w:after="40" w:before="40" w:line="340"/>
      </w:pPr>
      <w:r>
        <w:rPr>
          <w:rFonts w:ascii="Arial" w:cs="Arial" w:eastAsia="Arial" w:hAnsi="Arial"/>
          <w:sz w:val="22"/>
          <w:szCs w:val="22"/>
        </w:rPr>
        <w:t xml:space="preserve">TIPS（+5pp）：对抗受阻情景的实际利率下行陷阱。</w:t>
      </w:r>
    </w:p>
    <w:p>
      <w:pPr>
        <w:spacing w:after="60" w:before="60" w:line="360"/>
      </w:pPr>
      <w:r>
        <w:rPr>
          <w:rFonts w:ascii="Arial" w:cs="Arial" w:eastAsia="Arial" w:hAnsi="Arial"/>
          <w:b/>
          <w:bCs/>
          <w:sz w:val="22"/>
          <w:szCs w:val="22"/>
        </w:rPr>
        <w:t xml:space="preserve">核心低配：</w:t>
      </w:r>
    </w:p>
    <w:p>
      <w:pPr>
        <w:pStyle w:val="ListParagraph"/>
        <w:numPr>
          <w:ilvl w:val="0"/>
          <w:numId w:val="3"/>
        </w:numPr>
        <w:spacing w:after="40" w:before="40" w:line="340"/>
      </w:pPr>
      <w:r>
        <w:rPr>
          <w:rFonts w:ascii="Arial" w:cs="Arial" w:eastAsia="Arial" w:hAnsi="Arial"/>
          <w:sz w:val="22"/>
          <w:szCs w:val="22"/>
        </w:rPr>
        <w:t xml:space="preserve">长端美债（-5pp）：久期风险系统性偏高。</w:t>
      </w:r>
    </w:p>
    <w:p>
      <w:pPr>
        <w:pStyle w:val="ListParagraph"/>
        <w:numPr>
          <w:ilvl w:val="0"/>
          <w:numId w:val="3"/>
        </w:numPr>
        <w:spacing w:after="40" w:before="40" w:line="340"/>
      </w:pPr>
      <w:r>
        <w:rPr>
          <w:rFonts w:ascii="Arial" w:cs="Arial" w:eastAsia="Arial" w:hAnsi="Arial"/>
          <w:sz w:val="22"/>
          <w:szCs w:val="22"/>
        </w:rPr>
        <w:t xml:space="preserve">利率敏感消费 + 小盘 + REITs（合计 -3pp）：Fed Put 依赖度高，估值调整压力最大。</w:t>
      </w:r>
    </w:p>
    <w:p>
      <w:pPr>
        <w:pStyle w:val="ListParagraph"/>
        <w:numPr>
          <w:ilvl w:val="0"/>
          <w:numId w:val="3"/>
        </w:numPr>
        <w:spacing w:after="40" w:before="40" w:line="340"/>
      </w:pPr>
      <w:r>
        <w:rPr>
          <w:rFonts w:ascii="Arial" w:cs="Arial" w:eastAsia="Arial" w:hAnsi="Arial"/>
          <w:sz w:val="22"/>
          <w:szCs w:val="22"/>
        </w:rPr>
        <w:t xml:space="preserve">美元现金（-3pp）：结构性走弱，但保留应急流动性。</w:t>
      </w:r>
    </w:p>
    <w:p>
      <w:pPr>
        <w:spacing w:after="60" w:before="60" w:line="360"/>
      </w:pPr>
      <w:r>
        <w:rPr>
          <w:rFonts w:ascii="Arial" w:cs="Arial" w:eastAsia="Arial" w:hAnsi="Arial"/>
          <w:b/>
          <w:bCs/>
          <w:sz w:val="22"/>
          <w:szCs w:val="22"/>
        </w:rPr>
        <w:t xml:space="preserve">保留中性：</w:t>
      </w:r>
    </w:p>
    <w:p>
      <w:pPr>
        <w:pStyle w:val="ListParagraph"/>
        <w:numPr>
          <w:ilvl w:val="0"/>
          <w:numId w:val="3"/>
        </w:numPr>
        <w:spacing w:after="40" w:before="40" w:line="340"/>
      </w:pPr>
      <w:r>
        <w:rPr>
          <w:rFonts w:ascii="Arial" w:cs="Arial" w:eastAsia="Arial" w:hAnsi="Arial"/>
          <w:sz w:val="22"/>
          <w:szCs w:val="22"/>
        </w:rPr>
        <w:t xml:space="preserve">2–5Y 美债（+2pp）：受益降息，久期可控。</w:t>
      </w:r>
    </w:p>
    <w:p>
      <w:pPr>
        <w:pStyle w:val="ListParagraph"/>
        <w:numPr>
          <w:ilvl w:val="0"/>
          <w:numId w:val="3"/>
        </w:numPr>
        <w:spacing w:after="40" w:before="40" w:line="340"/>
      </w:pPr>
      <w:r>
        <w:rPr>
          <w:rFonts w:ascii="Arial" w:cs="Arial" w:eastAsia="Arial" w:hAnsi="Arial"/>
          <w:sz w:val="22"/>
          <w:szCs w:val="22"/>
        </w:rPr>
        <w:t xml:space="preserve">美股大盘（轻度低配 -4pp）：分化大于 Beta。</w:t>
      </w:r>
    </w:p>
    <w:p>
      <w:pPr>
        <w:pStyle w:val="ListParagraph"/>
        <w:numPr>
          <w:ilvl w:val="0"/>
          <w:numId w:val="3"/>
        </w:numPr>
        <w:spacing w:after="40" w:before="40" w:line="340"/>
      </w:pPr>
      <w:r>
        <w:rPr>
          <w:rFonts w:ascii="Arial" w:cs="Arial" w:eastAsia="Arial" w:hAnsi="Arial"/>
          <w:sz w:val="22"/>
          <w:szCs w:val="22"/>
        </w:rPr>
        <w:t xml:space="preserve">非美权益（0）：保留多元化，密切观察人民币 + 黄金储备国。</w:t>
      </w:r>
    </w:p>
    <w:p>
      <w:pPr>
        <w:pStyle w:val="Heading2"/>
      </w:pPr>
      <w:r>
        <w:rPr>
          <w:rFonts w:ascii="Arial" w:cs="Arial" w:eastAsia="Arial" w:hAnsi="Arial"/>
          <w:b/>
          <w:bCs/>
          <w:sz w:val="26"/>
          <w:szCs w:val="26"/>
        </w:rPr>
        <w:t xml:space="preserve">8.3 InflationMonitor IPS 框架的持续价值</w:t>
      </w:r>
    </w:p>
    <w:p>
      <w:pPr>
        <w:spacing w:after="60" w:before="60" w:line="360"/>
      </w:pPr>
      <w:r>
        <w:rPr>
          <w:rFonts w:ascii="Arial" w:cs="Arial" w:eastAsia="Arial" w:hAnsi="Arial"/>
          <w:sz w:val="22"/>
          <w:szCs w:val="22"/>
        </w:rPr>
        <w:t xml:space="preserve">沃什改革是一个 18–36 个月的渐进过程。在这个过程中，IPS 因子模型的五分项提供了连续的政策兑现度读数：</w:t>
      </w:r>
    </w:p>
    <w:p>
      <w:pPr>
        <w:pStyle w:val="ListParagraph"/>
        <w:numPr>
          <w:ilvl w:val="0"/>
          <w:numId w:val="3"/>
        </w:numPr>
        <w:spacing w:after="40" w:before="40" w:line="340"/>
      </w:pPr>
      <w:r>
        <w:rPr>
          <w:rFonts w:ascii="Arial" w:cs="Arial" w:eastAsia="Arial" w:hAnsi="Arial"/>
          <w:sz w:val="22"/>
          <w:szCs w:val="22"/>
        </w:rPr>
        <w:t xml:space="preserve">N 分项最先响应（鹰鸽指数、QT 声明、演讲关键词），作为先行指标；</w:t>
      </w:r>
    </w:p>
    <w:p>
      <w:pPr>
        <w:pStyle w:val="ListParagraph"/>
        <w:numPr>
          <w:ilvl w:val="0"/>
          <w:numId w:val="3"/>
        </w:numPr>
        <w:spacing w:after="40" w:before="40" w:line="340"/>
      </w:pPr>
      <w:r>
        <w:rPr>
          <w:rFonts w:ascii="Arial" w:cs="Arial" w:eastAsia="Arial" w:hAnsi="Arial"/>
          <w:sz w:val="22"/>
          <w:szCs w:val="22"/>
        </w:rPr>
        <w:t xml:space="preserve">F 分项是最大的制约变量（赤字 / TGA / 拍卖尾差），作为政策可行性指标；</w:t>
      </w:r>
    </w:p>
    <w:p>
      <w:pPr>
        <w:pStyle w:val="ListParagraph"/>
        <w:numPr>
          <w:ilvl w:val="0"/>
          <w:numId w:val="3"/>
        </w:numPr>
        <w:spacing w:after="40" w:before="40" w:line="340"/>
      </w:pPr>
      <w:r>
        <w:rPr>
          <w:rFonts w:ascii="Arial" w:cs="Arial" w:eastAsia="Arial" w:hAnsi="Arial"/>
          <w:sz w:val="22"/>
          <w:szCs w:val="22"/>
        </w:rPr>
        <w:t xml:space="preserve">D 分项通过 AI 生产率读数反映沃什「长期供给侧乐观」的证伪/证实；</w:t>
      </w:r>
    </w:p>
    <w:p>
      <w:pPr>
        <w:pStyle w:val="ListParagraph"/>
        <w:numPr>
          <w:ilvl w:val="0"/>
          <w:numId w:val="3"/>
        </w:numPr>
        <w:spacing w:after="40" w:before="40" w:line="340"/>
      </w:pPr>
      <w:r>
        <w:rPr>
          <w:rFonts w:ascii="Arial" w:cs="Arial" w:eastAsia="Arial" w:hAnsi="Arial"/>
          <w:sz w:val="22"/>
          <w:szCs w:val="22"/>
        </w:rPr>
        <w:t xml:space="preserve">P 分项的中长期锚定状态反映框架成效；</w:t>
      </w:r>
    </w:p>
    <w:p>
      <w:pPr>
        <w:pStyle w:val="ListParagraph"/>
        <w:numPr>
          <w:ilvl w:val="0"/>
          <w:numId w:val="3"/>
        </w:numPr>
        <w:spacing w:after="40" w:before="40" w:line="340"/>
      </w:pPr>
      <w:r>
        <w:rPr>
          <w:rFonts w:ascii="Arial" w:cs="Arial" w:eastAsia="Arial" w:hAnsi="Arial"/>
          <w:sz w:val="22"/>
          <w:szCs w:val="22"/>
        </w:rPr>
        <w:t xml:space="preserve">E 分项提供最终的政策信誉裁决。</w:t>
      </w:r>
    </w:p>
    <w:p>
      <w:pPr>
        <w:spacing w:after="60" w:before="60" w:line="360"/>
      </w:pPr>
      <w:r>
        <w:rPr>
          <w:rFonts w:ascii="Arial" w:cs="Arial" w:eastAsia="Arial" w:hAnsi="Arial"/>
          <w:b/>
          <w:bCs/>
          <w:sz w:val="22"/>
          <w:szCs w:val="22"/>
        </w:rPr>
        <w:t xml:space="preserve">建议的监测节奏：</w:t>
      </w:r>
    </w:p>
    <w:p>
      <w:pPr>
        <w:pStyle w:val="ListParagraph"/>
        <w:numPr>
          <w:ilvl w:val="0"/>
          <w:numId w:val="3"/>
        </w:numPr>
        <w:spacing w:after="40" w:before="40" w:line="340"/>
      </w:pPr>
      <w:r>
        <w:rPr>
          <w:rFonts w:ascii="Arial" w:cs="Arial" w:eastAsia="Arial" w:hAnsi="Arial"/>
          <w:sz w:val="22"/>
          <w:szCs w:val="22"/>
        </w:rPr>
        <w:t xml:space="preserve">日度：N 分项（鹰鸽指数 + FedWatch）；</w:t>
      </w:r>
    </w:p>
    <w:p>
      <w:pPr>
        <w:pStyle w:val="ListParagraph"/>
        <w:numPr>
          <w:ilvl w:val="0"/>
          <w:numId w:val="3"/>
        </w:numPr>
        <w:spacing w:after="40" w:before="40" w:line="340"/>
      </w:pPr>
      <w:r>
        <w:rPr>
          <w:rFonts w:ascii="Arial" w:cs="Arial" w:eastAsia="Arial" w:hAnsi="Arial"/>
          <w:sz w:val="22"/>
          <w:szCs w:val="22"/>
        </w:rPr>
        <w:t xml:space="preserve">周度：F 分项（TGA + 国债拍卖）；</w:t>
      </w:r>
    </w:p>
    <w:p>
      <w:pPr>
        <w:pStyle w:val="ListParagraph"/>
        <w:numPr>
          <w:ilvl w:val="0"/>
          <w:numId w:val="3"/>
        </w:numPr>
        <w:spacing w:after="40" w:before="40" w:line="340"/>
      </w:pPr>
      <w:r>
        <w:rPr>
          <w:rFonts w:ascii="Arial" w:cs="Arial" w:eastAsia="Arial" w:hAnsi="Arial"/>
          <w:sz w:val="22"/>
          <w:szCs w:val="22"/>
        </w:rPr>
        <w:t xml:space="preserve">月度：P 分项（Core PCE + Truflation）；</w:t>
      </w:r>
    </w:p>
    <w:p>
      <w:pPr>
        <w:pStyle w:val="ListParagraph"/>
        <w:numPr>
          <w:ilvl w:val="0"/>
          <w:numId w:val="3"/>
        </w:numPr>
        <w:spacing w:after="40" w:before="40" w:line="340"/>
      </w:pPr>
      <w:r>
        <w:rPr>
          <w:rFonts w:ascii="Arial" w:cs="Arial" w:eastAsia="Arial" w:hAnsi="Arial"/>
          <w:sz w:val="22"/>
          <w:szCs w:val="22"/>
        </w:rPr>
        <w:t xml:space="preserve">季度：E 分项（5Y5Y BEI + Michigan）；</w:t>
      </w:r>
    </w:p>
    <w:p>
      <w:pPr>
        <w:pStyle w:val="ListParagraph"/>
        <w:numPr>
          <w:ilvl w:val="0"/>
          <w:numId w:val="3"/>
        </w:numPr>
        <w:spacing w:after="40" w:before="40" w:line="340"/>
      </w:pPr>
      <w:r>
        <w:rPr>
          <w:rFonts w:ascii="Arial" w:cs="Arial" w:eastAsia="Arial" w:hAnsi="Arial"/>
          <w:sz w:val="22"/>
          <w:szCs w:val="22"/>
        </w:rPr>
        <w:t xml:space="preserve">年度：D 分项（AI 生产率读数）。</w:t>
      </w:r>
    </w:p>
    <w:p>
      <w:pPr>
        <w:spacing w:after="60" w:before="60" w:line="360"/>
      </w:pPr>
      <w:r>
        <w:rPr>
          <w:rFonts w:ascii="Arial" w:cs="Arial" w:eastAsia="Arial" w:hAnsi="Arial"/>
          <w:sz w:val="22"/>
          <w:szCs w:val="22"/>
        </w:rPr>
        <w:t xml:space="preserve">IPS 评分的中长期中枢预计从当前 57–62 区间系统性下移至 50–55 区间，对应的通胀体制从「粘性通胀」过渡到「温和通胀偏紧」。这个下移本身，就是沃什框架兑现的量化结果。</w:t>
      </w:r>
    </w:p>
    <w:p>
      <w:pPr>
        <w:pStyle w:val="Heading1"/>
        <w:pageBreakBefore/>
      </w:pPr>
      <w:r>
        <w:rPr>
          <w:rFonts w:ascii="Arial" w:cs="Arial" w:eastAsia="Arial" w:hAnsi="Arial"/>
          <w:b/>
          <w:bCs/>
          <w:sz w:val="32"/>
          <w:szCs w:val="32"/>
        </w:rPr>
        <w:t xml:space="preserve">附录：术语对照表</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3600"/>
        <w:gridCol w:w="4360"/>
      </w:tblGrid>
      <w:tr>
        <w:trPr>
          <w:tblHeader/>
        </w:trPr>
        <w:tc>
          <w:tcPr>
            <w:tcW w:type="dxa" w:w="1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术语</w:t>
            </w:r>
          </w:p>
        </w:tc>
        <w:tc>
          <w:tcPr>
            <w:tcW w:type="dxa" w:w="3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英文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解释</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Average Inflation Targeting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平均通胀目标制（2020 Powell 引入）</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Quantitative Tightening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量化紧缩，联储缩减资产负债表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ZLB</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Zero Lower Bound</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零利率下限</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enhanced Supplementary Leverage Ratio</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补充性杠杆率，银行资本监管工具</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TGA</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Treasury General Account</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财政部一般账户，影响市场流动性</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Fed Put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联储「看跌期权」预期，即联储在资产价格大幅下跌时会干预</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Fiscal Dominance</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财政主导，货币政策被迫服从财政需求</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Bear Steepener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熊市陡峭化，长端收益率涨幅 &gt; 短端</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YCC</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Yield Curve Control</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收益率曲线控制</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Breakeven Inflation</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盈亏平衡通胀率，通胀预期代理</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SPF</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Survey of Professional Forecasters</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专业预测者调查（费城联储）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GSCPI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Global Supply Chain Pressure Index</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纽约联储全球供应链压力指数</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参考资料</w:t>
      </w:r>
    </w:p>
    <w:p>
      <w:pPr>
        <w:pStyle w:val="ListParagraph"/>
        <w:numPr>
          <w:ilvl w:val="0"/>
          <w:numId w:val="2"/>
        </w:numPr>
        <w:spacing w:after="40" w:before="40" w:line="340"/>
      </w:pPr>
      <w:r>
        <w:rPr>
          <w:rFonts w:ascii="Arial" w:cs="Arial" w:eastAsia="Arial" w:hAnsi="Arial"/>
          <w:sz w:val="22"/>
          <w:szCs w:val="22"/>
        </w:rPr>
        <w:t xml:space="preserve">沃什 2026 年 4 月 21 日参议院银行委员会听证会证词。</w:t>
      </w:r>
    </w:p>
    <w:p>
      <w:pPr>
        <w:pStyle w:val="ListParagraph"/>
        <w:numPr>
          <w:ilvl w:val="0"/>
          <w:numId w:val="2"/>
        </w:numPr>
        <w:spacing w:after="40" w:before="40" w:line="340"/>
      </w:pPr>
      <w:r>
        <w:rPr>
          <w:rFonts w:ascii="Arial" w:cs="Arial" w:eastAsia="Arial" w:hAnsi="Arial"/>
          <w:sz w:val="22"/>
          <w:szCs w:val="22"/>
        </w:rPr>
        <w:t xml:space="preserve">Federal Reserve, "Minutes of the Federal Open Market Committee", 2024–2026 各期。</w:t>
      </w:r>
    </w:p>
    <w:p>
      <w:pPr>
        <w:pStyle w:val="ListParagraph"/>
        <w:numPr>
          <w:ilvl w:val="0"/>
          <w:numId w:val="2"/>
        </w:numPr>
        <w:spacing w:after="40" w:before="40" w:line="340"/>
      </w:pPr>
      <w:r>
        <w:rPr>
          <w:rFonts w:ascii="Arial" w:cs="Arial" w:eastAsia="Arial" w:hAnsi="Arial"/>
          <w:sz w:val="22"/>
          <w:szCs w:val="22"/>
        </w:rPr>
        <w:t xml:space="preserve">Warsh, Kevin, "The Fed's Balance Sheet: Crisis Tool or Policy Crutch?", Hoover Institution, 2023。</w:t>
      </w:r>
    </w:p>
    <w:p>
      <w:pPr>
        <w:pStyle w:val="ListParagraph"/>
        <w:numPr>
          <w:ilvl w:val="0"/>
          <w:numId w:val="2"/>
        </w:numPr>
        <w:spacing w:after="40" w:before="40" w:line="340"/>
      </w:pPr>
      <w:r>
        <w:rPr>
          <w:rFonts w:ascii="Arial" w:cs="Arial" w:eastAsia="Arial" w:hAnsi="Arial"/>
          <w:sz w:val="22"/>
          <w:szCs w:val="22"/>
        </w:rPr>
        <w:t xml:space="preserve">Friedman, Milton, "The Tyranny of the Status Quo", 1984。</w:t>
      </w:r>
    </w:p>
    <w:p>
      <w:pPr>
        <w:pStyle w:val="ListParagraph"/>
        <w:numPr>
          <w:ilvl w:val="0"/>
          <w:numId w:val="2"/>
        </w:numPr>
        <w:spacing w:after="40" w:before="40" w:line="340"/>
      </w:pPr>
      <w:r>
        <w:rPr>
          <w:rFonts w:ascii="Arial" w:cs="Arial" w:eastAsia="Arial" w:hAnsi="Arial"/>
          <w:sz w:val="22"/>
          <w:szCs w:val="22"/>
        </w:rPr>
        <w:t xml:space="preserve">Bernanke, Ben, "The New Tools of Monetary Policy", 2020 AEA Presidential Address。</w:t>
      </w:r>
    </w:p>
    <w:p>
      <w:pPr>
        <w:pStyle w:val="ListParagraph"/>
        <w:numPr>
          <w:ilvl w:val="0"/>
          <w:numId w:val="2"/>
        </w:numPr>
        <w:spacing w:after="40" w:before="40" w:line="340"/>
      </w:pPr>
      <w:r>
        <w:rPr>
          <w:rFonts w:ascii="Arial" w:cs="Arial" w:eastAsia="Arial" w:hAnsi="Arial"/>
          <w:sz w:val="22"/>
          <w:szCs w:val="22"/>
        </w:rPr>
        <w:t xml:space="preserve">Powell, Jerome, "New Economic Challenges and the Fed's Monetary Policy Review", 2020 Jackson Hole。</w:t>
      </w:r>
    </w:p>
    <w:p>
      <w:pPr>
        <w:pStyle w:val="ListParagraph"/>
        <w:numPr>
          <w:ilvl w:val="0"/>
          <w:numId w:val="2"/>
        </w:numPr>
        <w:spacing w:after="40" w:before="40" w:line="340"/>
      </w:pPr>
      <w:r>
        <w:rPr>
          <w:rFonts w:ascii="Arial" w:cs="Arial" w:eastAsia="Arial" w:hAnsi="Arial"/>
          <w:sz w:val="22"/>
          <w:szCs w:val="22"/>
        </w:rPr>
        <w:t xml:space="preserve">NY Fed, "Global Supply Chain Pressure Index (GSCPI)", 每月更新。</w:t>
      </w:r>
    </w:p>
    <w:p>
      <w:pPr>
        <w:pStyle w:val="ListParagraph"/>
        <w:numPr>
          <w:ilvl w:val="0"/>
          <w:numId w:val="2"/>
        </w:numPr>
        <w:spacing w:after="40" w:before="40" w:line="340"/>
      </w:pPr>
      <w:r>
        <w:rPr>
          <w:rFonts w:ascii="Arial" w:cs="Arial" w:eastAsia="Arial" w:hAnsi="Arial"/>
          <w:sz w:val="22"/>
          <w:szCs w:val="22"/>
        </w:rPr>
        <w:t xml:space="preserve">InflationMonitor IPS 因子模型 PRD v1.0（内部文档）。</w:t>
      </w:r>
    </w:p>
    <w:p>
      <w:pPr>
        <w:pStyle w:val="ListParagraph"/>
        <w:numPr>
          <w:ilvl w:val="0"/>
          <w:numId w:val="2"/>
        </w:numPr>
        <w:spacing w:after="40" w:before="40" w:line="340"/>
      </w:pPr>
      <w:r>
        <w:rPr>
          <w:rFonts w:ascii="Arial" w:cs="Arial" w:eastAsia="Arial" w:hAnsi="Arial"/>
          <w:sz w:val="22"/>
          <w:szCs w:val="22"/>
        </w:rPr>
        <w:t xml:space="preserve">米兰（Fed 理事），「美联储缩表用户指南」，2026 年。</w:t>
      </w:r>
    </w:p>
    <w:p>
      <w:pPr>
        <w:spacing w:after="0" w:before="120"/>
      </w:pPr>
      <w:r>
        <w:rPr>
          <w:rFonts w:ascii="Arial" w:cs="Arial" w:eastAsia="Arial" w:hAnsi="Arial"/>
        </w:rPr>
        <w:t xml:space="preserve"/>
      </w:r>
    </w:p>
    <w:p>
      <w:pPr>
        <w:spacing w:after="0" w:before="120"/>
      </w:pPr>
      <w:r>
        <w:rPr>
          <w:rFonts w:ascii="Arial" w:cs="Arial" w:eastAsia="Arial" w:hAnsi="Arial"/>
        </w:rPr>
        <w:t xml:space="preserve"/>
      </w:r>
    </w:p>
    <w:p>
      <w:pPr>
        <w:spacing w:after="60" w:before="60" w:line="360"/>
      </w:pPr>
      <w:r>
        <w:rPr>
          <w:rFonts w:ascii="Arial" w:cs="Arial" w:eastAsia="Arial" w:hAnsi="Arial"/>
          <w:i/>
          <w:iCs/>
          <w:color w:val="666666"/>
          <w:sz w:val="20"/>
          <w:szCs w:val="20"/>
        </w:rPr>
        <w:t xml:space="preserve">本文使用 InflationMonitor IPS 因子模型作为分析框架。IPS = 0.25·P + 0.20·E + 0.20·D + 0.15·F + 0.20·N，五个分项分别对应价格水平、通胀预期、驱动因子、财政脉冲、叙事+政策反射。当前 IPS 评分约 57.2，体制判断为「粘性通胀」。</w:t>
      </w:r>
    </w:p>
    <w:p>
      <w:pPr>
        <w:spacing w:after="60" w:before="60" w:line="360"/>
      </w:pPr>
      <w:r>
        <w:rPr>
          <w:rFonts w:ascii="Arial" w:cs="Arial" w:eastAsia="Arial" w:hAnsi="Arial"/>
          <w:i/>
          <w:iCs/>
          <w:color w:val="666666"/>
          <w:sz w:val="20"/>
          <w:szCs w:val="20"/>
        </w:rPr>
        <w:t xml:space="preserve">作者立场：本文不构成投资建议。作者可能持有文中讨论的任何资产。</w:t>
      </w:r>
    </w:p>
    <w:p>
      <w:pPr>
        <w:spacing w:after="60" w:before="60" w:line="360"/>
      </w:pPr>
      <w:r>
        <w:rPr>
          <w:rFonts w:ascii="Arial" w:cs="Arial" w:eastAsia="Arial" w:hAnsi="Arial"/>
          <w:i/>
          <w:iCs/>
          <w:color w:val="666666"/>
          <w:sz w:val="20"/>
          <w:szCs w:val="20"/>
        </w:rPr>
        <w:t xml:space="preserve">文档版本：v1.0 · 2026-04-22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InflationMonitor · 沃什框架与全球大类资产再定价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2E5F9E"/>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从沃什框架看美联储下一棒范式转换</dc:title>
  <dc:creator>InflationMonitor 研究组</dc:creator>
  <dc:description>Monetary policy framework reform paper</dc:description>
  <cp:lastModifiedBy>Un-named</cp:lastModifiedBy>
  <cp:revision>1</cp:revision>
  <dcterms:created xsi:type="dcterms:W3CDTF">2026-04-22T03:14:32.698Z</dcterms:created>
  <dcterms:modified xsi:type="dcterms:W3CDTF">2026-04-22T03:14:32.698Z</dcterms:modified>
</cp:coreProperties>
</file>

<file path=docProps/custom.xml><?xml version="1.0" encoding="utf-8"?>
<Properties xmlns="http://schemas.openxmlformats.org/officeDocument/2006/custom-properties" xmlns:vt="http://schemas.openxmlformats.org/officeDocument/2006/docPropsVTypes"/>
</file>