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Viviane V. N. Santos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Vitória N. Pereira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DATA ANALYTICS - TOMADA DE DECISÃO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  <w:t xml:space="preserve">SENAI</w:t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  <w:t xml:space="preserve">SÃO PAULO</w:t>
      </w:r>
    </w:p>
    <w:p w:rsidR="00000000" w:rsidDel="00000000" w:rsidP="00000000" w:rsidRDefault="00000000" w:rsidRPr="00000000" w14:paraId="00000031">
      <w:pPr>
        <w:pStyle w:val="Heading2"/>
        <w:jc w:val="center"/>
        <w:rPr/>
      </w:pPr>
      <w:bookmarkStart w:colFirst="0" w:colLast="0" w:name="_4nzsodd21lbu" w:id="0"/>
      <w:bookmarkEnd w:id="0"/>
      <w:r w:rsidDel="00000000" w:rsidR="00000000" w:rsidRPr="00000000">
        <w:rPr>
          <w:rtl w:val="0"/>
        </w:rPr>
        <w:t xml:space="preserve"> ANÁLISE DE DADOS: ESTATÍSTICAS DESCRITIVAS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Este relatório apresenta uma Análise Descritiva primária sobre o conjunto de dados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bmw.csv</w:t>
      </w:r>
      <w:r w:rsidDel="00000000" w:rsidR="00000000" w:rsidRPr="00000000">
        <w:rPr>
          <w:rtl w:val="0"/>
        </w:rPr>
        <w:t xml:space="preserve">) de veículos BMW. </w:t>
      </w:r>
    </w:p>
    <w:p w:rsidR="00000000" w:rsidDel="00000000" w:rsidP="00000000" w:rsidRDefault="00000000" w:rsidRPr="00000000" w14:paraId="00000034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O objetivo é estabelecer uma compreensão fundamental da distribuição e das estatísticas centrais das variáveis-chave (Preço, Quilometragem, Ano e Especificações Técnicas) para identificar o perfil médio do inventário.</w:t>
      </w:r>
    </w:p>
    <w:p w:rsidR="00000000" w:rsidDel="00000000" w:rsidP="00000000" w:rsidRDefault="00000000" w:rsidRPr="00000000" w14:paraId="0000003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 análise empregou métodos estatísticos descritivos padrão, incluindo medidas de tendência central (Média, Mediana), dispersão (</w:t>
      </w:r>
      <w:r w:rsidDel="00000000" w:rsidR="00000000" w:rsidRPr="00000000">
        <w:rPr>
          <w:rtl w:val="0"/>
        </w:rPr>
        <w:t xml:space="preserve">Desvio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Padrão</w:t>
      </w:r>
      <w:r w:rsidDel="00000000" w:rsidR="00000000" w:rsidRPr="00000000">
        <w:rPr>
          <w:rtl w:val="0"/>
        </w:rPr>
        <w:t xml:space="preserve">) e frequência (Contagem Absoluta e Proporção) sobre as colunas numéricas e categóricas do </w:t>
      </w:r>
      <w:r w:rsidDel="00000000" w:rsidR="00000000" w:rsidRPr="00000000">
        <w:rPr>
          <w:i w:val="1"/>
          <w:i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Dados Analisados:</w:t>
      </w:r>
      <w:r w:rsidDel="00000000" w:rsidR="00000000" w:rsidRPr="00000000">
        <w:rPr>
          <w:rtl w:val="0"/>
        </w:rPr>
        <w:t xml:space="preserve"> 10.781 registros de veículos.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24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Tabela 01: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TABELA</w:t>
      </w:r>
    </w:p>
    <w:p w:rsidR="00000000" w:rsidDel="00000000" w:rsidP="00000000" w:rsidRDefault="00000000" w:rsidRPr="00000000" w14:paraId="00000039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0" w:lineRule="auto"/>
        <w:jc w:val="both"/>
        <w:rPr/>
      </w:pPr>
      <w:r w:rsidDel="00000000" w:rsidR="00000000" w:rsidRPr="00000000">
        <w:rPr>
          <w:rtl w:val="0"/>
        </w:rPr>
        <w:t xml:space="preserve">Observações: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Preço:</w:t>
      </w:r>
      <w:r w:rsidDel="00000000" w:rsidR="00000000" w:rsidRPr="00000000">
        <w:rPr>
          <w:rtl w:val="0"/>
        </w:rPr>
        <w:t xml:space="preserve"> A diferença significativa entre a média (22.772) e a mediana ( 20.462), juntamente com o valor máximo atípico (123.456), sugere uma </w:t>
      </w:r>
      <w:r w:rsidDel="00000000" w:rsidR="00000000" w:rsidRPr="00000000">
        <w:rPr>
          <w:b w:val="1"/>
          <w:bCs w:val="1"/>
          <w:rtl w:val="0"/>
        </w:rPr>
        <w:t xml:space="preserve">distribuição assimétrica positiva</w:t>
      </w:r>
      <w:r w:rsidDel="00000000" w:rsidR="00000000" w:rsidRPr="00000000">
        <w:rPr>
          <w:rtl w:val="0"/>
        </w:rPr>
        <w:t xml:space="preserve">, indicando a presença de veículos de alto valor que elevam a média.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Quilometragem:</w:t>
      </w:r>
      <w:r w:rsidDel="00000000" w:rsidR="00000000" w:rsidRPr="00000000">
        <w:rPr>
          <w:rtl w:val="0"/>
        </w:rPr>
        <w:t xml:space="preserve"> A quilometragem média (43.308 milhas) é ligeiramente superior à mediana (39.558 milhas), mas o DP (25.176) indica uma dispersão moderada dos dados em torno da média.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Tamanho do Motor:</w:t>
      </w:r>
      <w:r w:rsidDel="00000000" w:rsidR="00000000" w:rsidRPr="00000000">
        <w:rPr>
          <w:rtl w:val="0"/>
        </w:rPr>
        <w:t xml:space="preserve"> A forte concentração de motores em </w:t>
      </w:r>
      <w:r w:rsidDel="00000000" w:rsidR="00000000" w:rsidRPr="00000000">
        <w:rPr>
          <w:b w:val="1"/>
          <w:bCs w:val="1"/>
          <w:rtl w:val="0"/>
        </w:rPr>
        <w:t xml:space="preserve">2.0 litros</w:t>
      </w:r>
      <w:r w:rsidDel="00000000" w:rsidR="00000000" w:rsidRPr="00000000">
        <w:rPr>
          <w:rtl w:val="0"/>
        </w:rPr>
        <w:t xml:space="preserve"> (mediana e 75º percentil em 2.0) define este como o padrão dominante na amostra.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 A Tabela 2 e a Tabela 3: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Tabela 2: Distribuição por Tipo de Combustível</w:t>
      </w:r>
    </w:p>
    <w:p w:rsidR="00000000" w:rsidDel="00000000" w:rsidP="00000000" w:rsidRDefault="00000000" w:rsidRPr="00000000" w14:paraId="00000040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52938" cy="175688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1756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 frota é majoritariamente </w:t>
      </w:r>
      <w:r w:rsidDel="00000000" w:rsidR="00000000" w:rsidRPr="00000000">
        <w:rPr>
          <w:b w:val="1"/>
          <w:bCs w:val="1"/>
          <w:rtl w:val="0"/>
        </w:rPr>
        <w:t xml:space="preserve">Diesel</w:t>
      </w:r>
      <w:r w:rsidDel="00000000" w:rsidR="00000000" w:rsidRPr="00000000">
        <w:rPr>
          <w:rtl w:val="0"/>
        </w:rPr>
        <w:t xml:space="preserve"> (60,83%), indicando que o </w:t>
      </w:r>
      <w:r w:rsidDel="00000000" w:rsidR="00000000" w:rsidRPr="00000000">
        <w:rPr>
          <w:i w:val="1"/>
          <w:i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 reflete uma amostra de mercado com forte inclinação para motores de alta eficiência e torque, historicamente populares em regiões como a Europa.</w:t>
      </w:r>
    </w:p>
    <w:p w:rsidR="00000000" w:rsidDel="00000000" w:rsidP="00000000" w:rsidRDefault="00000000" w:rsidRPr="00000000" w14:paraId="00000042">
      <w:pPr>
        <w:ind w:left="720" w:firstLine="720"/>
        <w:rPr/>
      </w:pPr>
      <w:r w:rsidDel="00000000" w:rsidR="00000000" w:rsidRPr="00000000">
        <w:rPr>
          <w:rtl w:val="0"/>
        </w:rPr>
        <w:t xml:space="preserve">Tabela 3: Distribuição por Transmissão</w:t>
      </w:r>
    </w:p>
    <w:p w:rsidR="00000000" w:rsidDel="00000000" w:rsidP="00000000" w:rsidRDefault="00000000" w:rsidRPr="00000000" w14:paraId="00000043">
      <w:pPr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67325" cy="1209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 preferência por </w:t>
      </w:r>
      <w:r w:rsidDel="00000000" w:rsidR="00000000" w:rsidRPr="00000000">
        <w:rPr>
          <w:b w:val="1"/>
          <w:bCs w:val="1"/>
          <w:rtl w:val="0"/>
        </w:rPr>
        <w:t xml:space="preserve">transmissões automáticas</w:t>
      </w:r>
      <w:r w:rsidDel="00000000" w:rsidR="00000000" w:rsidRPr="00000000">
        <w:rPr>
          <w:rtl w:val="0"/>
        </w:rPr>
        <w:t xml:space="preserve">, domina 69,22% da amostra, refletindo as tendências modernas de mercado em direção ao conforto e conveniência na condução.</w:t>
      </w:r>
    </w:p>
    <w:p w:rsidR="00000000" w:rsidDel="00000000" w:rsidP="00000000" w:rsidRDefault="00000000" w:rsidRPr="00000000" w14:paraId="0000004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jc w:val="center"/>
        <w:rPr>
          <w:sz w:val="28"/>
          <w:szCs w:val="28"/>
        </w:rPr>
      </w:pPr>
      <w:bookmarkStart w:colFirst="0" w:colLast="0" w:name="_nznfsfvlgftk" w:id="1"/>
      <w:bookmarkEnd w:id="1"/>
      <w:r w:rsidDel="00000000" w:rsidR="00000000" w:rsidRPr="00000000">
        <w:rPr>
          <w:sz w:val="28"/>
          <w:szCs w:val="28"/>
          <w:rtl w:val="0"/>
        </w:rPr>
        <w:t xml:space="preserve">ANÁLISE DE PRODUTO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Modelos de veículos mais frequentes no conjunto de dados, fornecendo uma visão da popularidade ou disponibilidade de inventário.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jc w:val="center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