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результатам выручки — Январь 2026</w:t>
      </w:r>
    </w:p>
    <w:p>
      <w:r>
        <w:t>Данный отчёт представляет обзор показателей выручки, поведения клиентов, структуры платежей и краткосрочной динамики доходов на основе предоставленных операционных данных.</w:t>
      </w:r>
    </w:p>
    <w:p>
      <w:pPr>
        <w:pStyle w:val="Heading2"/>
      </w:pPr>
      <w:r>
        <w:t>1. Ключевые финансовые показатели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Общая выручка</w:t>
            </w:r>
          </w:p>
        </w:tc>
        <w:tc>
          <w:tcPr>
            <w:tcW w:type="dxa" w:w="4320"/>
          </w:tcPr>
          <w:p>
            <w:r>
              <w:t>268 500</w:t>
            </w:r>
          </w:p>
        </w:tc>
      </w:tr>
      <w:tr>
        <w:tc>
          <w:tcPr>
            <w:tcW w:type="dxa" w:w="4320"/>
          </w:tcPr>
          <w:p>
            <w:r>
              <w:t>Выручка — Алматы</w:t>
            </w:r>
          </w:p>
        </w:tc>
        <w:tc>
          <w:tcPr>
            <w:tcW w:type="dxa" w:w="4320"/>
          </w:tcPr>
          <w:p>
            <w:r>
              <w:t>148 500 (55,3%)</w:t>
            </w:r>
          </w:p>
        </w:tc>
      </w:tr>
      <w:tr>
        <w:tc>
          <w:tcPr>
            <w:tcW w:type="dxa" w:w="4320"/>
          </w:tcPr>
          <w:p>
            <w:r>
              <w:t>Выручка — Астана</w:t>
            </w:r>
          </w:p>
        </w:tc>
        <w:tc>
          <w:tcPr>
            <w:tcW w:type="dxa" w:w="4320"/>
          </w:tcPr>
          <w:p>
            <w:r>
              <w:t>120 000 (44,7%)</w:t>
            </w:r>
          </w:p>
        </w:tc>
      </w:tr>
      <w:tr>
        <w:tc>
          <w:tcPr>
            <w:tcW w:type="dxa" w:w="4320"/>
          </w:tcPr>
          <w:p>
            <w:r>
              <w:t>Количество клиентов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ADR (средняя дневная выручка)</w:t>
            </w:r>
          </w:p>
        </w:tc>
        <w:tc>
          <w:tcPr>
            <w:tcW w:type="dxa" w:w="4320"/>
          </w:tcPr>
          <w:p>
            <w:r>
              <w:t>11 375</w:t>
            </w:r>
          </w:p>
        </w:tc>
      </w:tr>
      <w:tr>
        <w:tc>
          <w:tcPr>
            <w:tcW w:type="dxa" w:w="4320"/>
          </w:tcPr>
          <w:p>
            <w:r>
              <w:t>ARPU</w:t>
            </w:r>
          </w:p>
        </w:tc>
        <w:tc>
          <w:tcPr>
            <w:tcW w:type="dxa" w:w="4320"/>
          </w:tcPr>
          <w:p>
            <w:r>
              <w:t>8 661</w:t>
            </w:r>
          </w:p>
        </w:tc>
      </w:tr>
      <w:tr>
        <w:tc>
          <w:tcPr>
            <w:tcW w:type="dxa" w:w="4320"/>
          </w:tcPr>
          <w:p>
            <w:r>
              <w:t>Средний чек</w:t>
            </w:r>
          </w:p>
        </w:tc>
        <w:tc>
          <w:tcPr>
            <w:tcW w:type="dxa" w:w="4320"/>
          </w:tcPr>
          <w:p>
            <w:r>
              <w:t>6 090</w:t>
            </w:r>
          </w:p>
        </w:tc>
      </w:tr>
      <w:tr>
        <w:tc>
          <w:tcPr>
            <w:tcW w:type="dxa" w:w="4320"/>
          </w:tcPr>
          <w:p>
            <w:r>
              <w:t>Единиц в транзакции</w:t>
            </w:r>
          </w:p>
        </w:tc>
        <w:tc>
          <w:tcPr>
            <w:tcW w:type="dxa" w:w="4320"/>
          </w:tcPr>
          <w:p>
            <w:r>
              <w:t>2,33</w:t>
            </w:r>
          </w:p>
        </w:tc>
      </w:tr>
    </w:tbl>
    <w:p>
      <w:pPr>
        <w:pStyle w:val="Heading2"/>
      </w:pPr>
      <w:r>
        <w:t>2. Структура выручки и поведение клиентов</w:t>
      </w:r>
    </w:p>
    <w:p>
      <w:r>
        <w:t>Выручка распределена относительно равномерно между Алматы и Астаной, с небольшим преобладанием Алматы. Концентрация выручки на уровне 9,08% указывает на умеренную зависимость от ключевых клиентов и приемлемый уровень диверсификации.</w:t>
      </w:r>
    </w:p>
    <w:p>
      <w:r>
        <w:t>Структура платежей демонстрирует выраженное преобладание безналичных платежей (65,18%) над наличными (34,82%), что способствует повышению прозрачности, снижению операционных рисков и лучшей масштабируемости бизнеса.</w:t>
      </w:r>
    </w:p>
    <w:p>
      <w:pPr>
        <w:pStyle w:val="Heading2"/>
      </w:pPr>
      <w:r>
        <w:t>3. Удержание клиентов и динамика покупок</w:t>
      </w:r>
    </w:p>
    <w:p>
      <w:r>
        <w:t>Доля повторных покупок составляет 16,1%, что является относительно низким показателем. Это указывает на зависимость бизнеса от разовых или нерегулярных клиентов, что ограничивает пожизненную ценность клиента и повышает нагрузку на привлечение новых пользователей.</w:t>
      </w:r>
    </w:p>
    <w:p>
      <w:pPr>
        <w:pStyle w:val="Heading2"/>
      </w:pPr>
      <w:r>
        <w:t>4. Волатильность роста выручки</w:t>
      </w:r>
    </w:p>
    <w:p>
      <w:r>
        <w:t>Дневная динамика роста выручки характеризуется высокой волатильностью: резкие положительные скачки сменяются значительными отрицательными коррекциями. Такая картина указывает на нестабильный спрос и отсутствие устойчивого повторяющегося дохода.</w:t>
      </w:r>
    </w:p>
    <w:p>
      <w:pPr>
        <w:pStyle w:val="Heading2"/>
      </w:pPr>
      <w:r>
        <w:t>5. Практические рекомендации</w:t>
      </w:r>
    </w:p>
    <w:p>
      <w:pPr>
        <w:pStyle w:val="ListBullet"/>
      </w:pPr>
      <w:r>
        <w:t>Повысить удержание клиентов за счёт программ лояльности, подписок и персонализированных предложений.</w:t>
      </w:r>
    </w:p>
    <w:p>
      <w:pPr>
        <w:pStyle w:val="ListBullet"/>
      </w:pPr>
      <w:r>
        <w:t>Сконцентрировать маркетинговые усилия на Алматы, параллельно тестируя ростовые кампании в Астане.</w:t>
      </w:r>
    </w:p>
    <w:p>
      <w:pPr>
        <w:pStyle w:val="ListBullet"/>
      </w:pPr>
      <w:r>
        <w:t>Увеличить средний чек через бандлинг и апселл-предложения на этапе оформления заказа.</w:t>
      </w:r>
    </w:p>
    <w:p>
      <w:pPr>
        <w:pStyle w:val="ListBullet"/>
      </w:pPr>
      <w:r>
        <w:t>Дополнительно стимулировать безналичные платежи для снижения затрат на работу с наличными.</w:t>
      </w:r>
    </w:p>
    <w:p>
      <w:pPr>
        <w:pStyle w:val="ListBullet"/>
      </w:pPr>
      <w:r>
        <w:t>Стабилизировать выручку за счёт перехода от разовых акций к регулярным источникам дохода (контракты, подписки).</w:t>
      </w:r>
    </w:p>
    <w:p>
      <w:pPr>
        <w:pStyle w:val="ListBullet"/>
      </w:pPr>
      <w:r>
        <w:t>Еженедельно анализировать повторные покупки по когортам для выявления точек оттока клиентов.</w:t>
      </w:r>
    </w:p>
    <w:p>
      <w:r>
        <w:t>Отчёт подготовлен для целей стратегического и операционного управления.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