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98965" w14:textId="77777777" w:rsidR="00634761" w:rsidRDefault="00E9223E">
      <w:pPr>
        <w:pStyle w:val="aa"/>
      </w:pPr>
      <w:r>
        <w:t>Presentation Script</w:t>
      </w:r>
    </w:p>
    <w:p w14:paraId="0C489F37" w14:textId="77777777" w:rsidR="00634761" w:rsidRDefault="00E9223E">
      <w:pPr>
        <w:pStyle w:val="ac"/>
      </w:pPr>
      <w:r>
        <w:t>Analysis of NVIDIA GPU Market Dynamics and Cryptocurrency Correlations</w:t>
      </w:r>
      <w:r>
        <w:br/>
        <w:t>2020/09 – 2022/09: A Full-Cycle Study from Mining Boom to Market Crash</w:t>
      </w:r>
    </w:p>
    <w:p w14:paraId="5910CB4F" w14:textId="77777777" w:rsidR="00634761" w:rsidRDefault="00E9223E">
      <w:r>
        <w:t>Presenter: YAN Weibo</w:t>
      </w:r>
    </w:p>
    <w:p w14:paraId="745476BA" w14:textId="77777777" w:rsidR="00634761" w:rsidRDefault="00E9223E">
      <w:r>
        <w:t>Estimated speaking time: ~10 minutes</w:t>
      </w:r>
    </w:p>
    <w:p w14:paraId="675BC663" w14:textId="77777777" w:rsidR="00634761" w:rsidRDefault="00E9223E">
      <w:r>
        <w:rPr>
          <w:i/>
        </w:rPr>
        <w:t>Note: Slides 8–16 (Results) are the core of the presentation and should receive the most time. Adjust pacing as needed to stay within 10 minutes.</w:t>
      </w:r>
    </w:p>
    <w:p w14:paraId="46D6B7E1" w14:textId="77777777" w:rsidR="00634761" w:rsidRDefault="00E9223E">
      <w:r>
        <w:t>————————————————————————————————————————</w:t>
      </w:r>
    </w:p>
    <w:p w14:paraId="36590C81" w14:textId="77777777" w:rsidR="00634761" w:rsidRDefault="00E9223E">
      <w:pPr>
        <w:pStyle w:val="21"/>
      </w:pPr>
      <w:r>
        <w:t>Slide 1 — Title Slide</w:t>
      </w:r>
    </w:p>
    <w:p w14:paraId="11417B92" w14:textId="1C4BD3A9" w:rsidR="00634761" w:rsidRDefault="005939EA">
      <w:r>
        <w:t>Hello</w:t>
      </w:r>
      <w:r w:rsidR="00E9223E">
        <w:t xml:space="preserve"> everyone. Today I'l</w:t>
      </w:r>
      <w:r w:rsidR="00F26A5D">
        <w:t xml:space="preserve">l present my COMP2501 Project: </w:t>
      </w:r>
      <w:r w:rsidR="00E9223E">
        <w:t xml:space="preserve"> analysis of NVIDIA GPU market dynamics and cryptocurrency correlations — a full-cycle study from the mining boom of 2020 through to the crash of 2022.</w:t>
      </w:r>
    </w:p>
    <w:p w14:paraId="182E4730" w14:textId="77777777" w:rsidR="00634761" w:rsidRDefault="00634761"/>
    <w:p w14:paraId="426DCA4A" w14:textId="77777777" w:rsidR="00634761" w:rsidRDefault="00E9223E">
      <w:pPr>
        <w:pStyle w:val="21"/>
      </w:pPr>
      <w:r>
        <w:t>Slide 2 — Background</w:t>
      </w:r>
    </w:p>
    <w:p w14:paraId="08F64829" w14:textId="1A773B1A" w:rsidR="00634761" w:rsidRPr="00103E38" w:rsidRDefault="00E9223E">
      <w:pPr>
        <w:rPr>
          <w:rFonts w:eastAsia="宋体"/>
          <w:lang w:eastAsia="zh-CN"/>
        </w:rPr>
      </w:pPr>
      <w:r>
        <w:t>Here's what happened. From late 2020, Ethereum surged from about four hundred dollars to nearly four thousand eight hundred. This made GPU mining extremely profitable. Miners bought cards in bulk, causing global shortages, and eBay prices hit two to three times MSRP — the official retail price.</w:t>
      </w:r>
      <w:r>
        <w:br/>
      </w:r>
      <w:r>
        <w:br/>
        <w:t xml:space="preserve">In May 2021, NVIDIA fought back with LHR — </w:t>
      </w:r>
      <w:r w:rsidR="000179AB">
        <w:rPr>
          <w:rFonts w:eastAsia="宋体" w:hint="eastAsia"/>
          <w:lang w:eastAsia="zh-CN"/>
        </w:rPr>
        <w:t>L</w:t>
      </w:r>
      <w:r w:rsidR="005C33DC">
        <w:rPr>
          <w:rFonts w:eastAsia="宋体" w:hint="eastAsia"/>
          <w:lang w:eastAsia="zh-CN"/>
        </w:rPr>
        <w:t>ite</w:t>
      </w:r>
      <w:r>
        <w:t xml:space="preserve"> Hash Rate technology — that halved mining performance on new cards. Then in mid-2022, crypto crashed. Ethereum fell to around thirteen hundred dollars, and GPU secondary prices collapsed with it</w:t>
      </w:r>
      <w:r w:rsidR="00103E38">
        <w:rPr>
          <w:rFonts w:eastAsia="宋体" w:hint="eastAsia"/>
          <w:lang w:eastAsia="zh-CN"/>
        </w:rPr>
        <w:t xml:space="preserve">. </w:t>
      </w:r>
    </w:p>
    <w:p w14:paraId="6B3B071D" w14:textId="77777777" w:rsidR="00634761" w:rsidRDefault="00634761"/>
    <w:p w14:paraId="528CC28B" w14:textId="77777777" w:rsidR="00634761" w:rsidRDefault="00E9223E">
      <w:pPr>
        <w:pStyle w:val="21"/>
      </w:pPr>
      <w:r>
        <w:t>Slide 3 — Research Questions</w:t>
      </w:r>
    </w:p>
    <w:p w14:paraId="7D10349F" w14:textId="6A1A0586" w:rsidR="00634761" w:rsidRDefault="00CB73ED">
      <w:r>
        <w:rPr>
          <w:rFonts w:eastAsia="宋体" w:hint="eastAsia"/>
          <w:lang w:eastAsia="zh-CN"/>
        </w:rPr>
        <w:t>I</w:t>
      </w:r>
      <w:r w:rsidR="00E9223E">
        <w:t xml:space="preserve"> asked four questions. One: do crypto price movements actually drive GPU secondary-market prices? Two: which GPU attributes — VRAM, hash rate, LHR — explain the size of price premiums over MSRP? Three: do different GPU tiers show different price volatility? And four: did LHR actually reduce miners' willingness to pay, and how persistent was the effect?</w:t>
      </w:r>
    </w:p>
    <w:p w14:paraId="71BFA7B4" w14:textId="77777777" w:rsidR="00634761" w:rsidRDefault="00634761"/>
    <w:p w14:paraId="60918C9D" w14:textId="77777777" w:rsidR="00634761" w:rsidRDefault="00E9223E">
      <w:pPr>
        <w:pStyle w:val="21"/>
      </w:pPr>
      <w:r>
        <w:t>Slide 4 — Research Challenges</w:t>
      </w:r>
    </w:p>
    <w:p w14:paraId="4ACC5659" w14:textId="3906B43D" w:rsidR="00634761" w:rsidRDefault="00412034">
      <w:r>
        <w:rPr>
          <w:rFonts w:eastAsia="宋体" w:hint="eastAsia"/>
          <w:lang w:eastAsia="zh-CN"/>
        </w:rPr>
        <w:t xml:space="preserve">During the </w:t>
      </w:r>
      <w:r w:rsidR="00CB73ED">
        <w:rPr>
          <w:rFonts w:eastAsia="宋体" w:hint="eastAsia"/>
          <w:lang w:eastAsia="zh-CN"/>
        </w:rPr>
        <w:t xml:space="preserve">process of doing my project, </w:t>
      </w:r>
      <w:r w:rsidR="00CB73ED">
        <w:rPr>
          <w:rFonts w:eastAsia="宋体"/>
          <w:lang w:eastAsia="zh-CN"/>
        </w:rPr>
        <w:t>I</w:t>
      </w:r>
      <w:r w:rsidR="00E9223E">
        <w:t xml:space="preserve"> faced two main challenges. First, multicollinearity — cards with more VRAM also have higher MSRP and higher hash rates. These variables are tangled together, making it hard to isolate individual effects. Second, a frequency mismatch — crypto data is daily, but GPU eBay data is monthly</w:t>
      </w:r>
      <w:r w:rsidR="00E85214">
        <w:t xml:space="preserve">. So I </w:t>
      </w:r>
      <w:r w:rsidR="00E9223E">
        <w:t>had to align them carefully.</w:t>
      </w:r>
    </w:p>
    <w:p w14:paraId="1C198314" w14:textId="77777777" w:rsidR="00634761" w:rsidRDefault="00634761"/>
    <w:p w14:paraId="19C65B94" w14:textId="77777777" w:rsidR="00634761" w:rsidRDefault="00E9223E">
      <w:pPr>
        <w:pStyle w:val="21"/>
      </w:pPr>
      <w:r>
        <w:t>Slide 5 — Data Sources</w:t>
      </w:r>
    </w:p>
    <w:p w14:paraId="69B3F0EA" w14:textId="3DF34C35" w:rsidR="00634761" w:rsidRPr="00DB4DBE" w:rsidRDefault="00774053">
      <w:pPr>
        <w:rPr>
          <w:rFonts w:eastAsia="宋体"/>
          <w:lang w:eastAsia="zh-CN"/>
        </w:rPr>
      </w:pPr>
      <w:r>
        <w:rPr>
          <w:rFonts w:eastAsia="宋体" w:hint="eastAsia"/>
          <w:lang w:eastAsia="zh-CN"/>
        </w:rPr>
        <w:t>I</w:t>
      </w:r>
      <w:r w:rsidR="00E9223E">
        <w:t xml:space="preserve"> used three data sources. Cryptocurrency prices from the CoinGecko API. </w:t>
      </w:r>
      <w:r w:rsidR="008C3E4C">
        <w:t xml:space="preserve">Detailed GPU information </w:t>
      </w:r>
      <w:r w:rsidR="00E9223E">
        <w:t>from NVIDIA's official documentation.</w:t>
      </w:r>
      <w:r w:rsidR="00E9223E">
        <w:br/>
      </w:r>
      <w:r w:rsidR="00E9223E">
        <w:br/>
        <w:t xml:space="preserve">For GPU eBay prices, there's no public API — </w:t>
      </w:r>
      <w:r w:rsidR="00B86521" w:rsidRPr="00B86521">
        <w:t>so I used AI-driven text mining to extract data from multiple published sources</w:t>
      </w:r>
      <w:r w:rsidR="00E1308A">
        <w:t xml:space="preserve"> including </w:t>
      </w:r>
      <w:r w:rsidR="00B86521" w:rsidRPr="00B86521">
        <w:t>Tom's Hardware, PCMag, and 3D Cente</w:t>
      </w:r>
      <w:r w:rsidR="00B86521">
        <w:rPr>
          <w:rFonts w:eastAsia="宋体" w:hint="eastAsia"/>
          <w:lang w:eastAsia="zh-CN"/>
        </w:rPr>
        <w:t>r</w:t>
      </w:r>
      <w:r w:rsidR="00E9223E">
        <w:t>. All three independently tracked eBay sold listings, filtering out box-only listings, broken cards, and bundles</w:t>
      </w:r>
      <w:r w:rsidR="00DB4DBE">
        <w:rPr>
          <w:rFonts w:eastAsia="宋体" w:hint="eastAsia"/>
          <w:lang w:eastAsia="zh-CN"/>
        </w:rPr>
        <w:t xml:space="preserve">.  </w:t>
      </w:r>
    </w:p>
    <w:p w14:paraId="372E2B08" w14:textId="77777777" w:rsidR="00634761" w:rsidRDefault="00634761"/>
    <w:p w14:paraId="0135AC93" w14:textId="77777777" w:rsidR="00634761" w:rsidRDefault="00E9223E">
      <w:pPr>
        <w:pStyle w:val="21"/>
      </w:pPr>
      <w:r>
        <w:t>Slide 6 — Tools and Software</w:t>
      </w:r>
    </w:p>
    <w:p w14:paraId="032A2EA4" w14:textId="7FE2802B" w:rsidR="00634761" w:rsidRDefault="00DB4DBE">
      <w:r>
        <w:rPr>
          <w:rFonts w:eastAsia="宋体" w:hint="eastAsia"/>
          <w:lang w:eastAsia="zh-CN"/>
        </w:rPr>
        <w:t>I</w:t>
      </w:r>
      <w:r w:rsidR="00E9223E">
        <w:t xml:space="preserve"> used Python </w:t>
      </w:r>
      <w:r w:rsidR="00D974A7">
        <w:t xml:space="preserve">and R </w:t>
      </w:r>
      <w:r w:rsidR="00297B50">
        <w:t>for data analysis and making graphs</w:t>
      </w:r>
      <w:r w:rsidR="00E9223E">
        <w:t>. Claude Code assisted with web scraping scripts for the more complex data collection tasks.</w:t>
      </w:r>
    </w:p>
    <w:p w14:paraId="044BF5A4" w14:textId="77777777" w:rsidR="00634761" w:rsidRDefault="00634761"/>
    <w:p w14:paraId="711B4C0F" w14:textId="77777777" w:rsidR="00634761" w:rsidRDefault="00E9223E">
      <w:pPr>
        <w:pStyle w:val="21"/>
      </w:pPr>
      <w:r>
        <w:t>Slide 7 — Final Dataset</w:t>
      </w:r>
    </w:p>
    <w:p w14:paraId="3F41C4D8" w14:textId="147413BB" w:rsidR="00634761" w:rsidRPr="00AA4698" w:rsidRDefault="00AA4698">
      <w:pPr>
        <w:rPr>
          <w:rFonts w:eastAsia="宋体"/>
          <w:lang w:eastAsia="zh-CN"/>
        </w:rPr>
      </w:pPr>
      <w:r>
        <w:rPr>
          <w:rFonts w:eastAsia="宋体" w:hint="eastAsia"/>
          <w:lang w:eastAsia="zh-CN"/>
        </w:rPr>
        <w:t>This is the</w:t>
      </w:r>
      <w:r w:rsidR="00E9223E">
        <w:t xml:space="preserve"> final dataset: ten GPU models — seven non-LHR and three LHR variants — across twenty-four months, </w:t>
      </w:r>
      <w:r w:rsidR="009A2B46">
        <w:t>which in total</w:t>
      </w:r>
      <w:r w:rsidR="00E9223E">
        <w:t xml:space="preserve"> over one hundred ninety data points</w:t>
      </w:r>
      <w:r>
        <w:rPr>
          <w:rFonts w:eastAsia="宋体" w:hint="eastAsia"/>
          <w:lang w:eastAsia="zh-CN"/>
        </w:rPr>
        <w:t xml:space="preserve">. </w:t>
      </w:r>
    </w:p>
    <w:p w14:paraId="59297AD8" w14:textId="77777777" w:rsidR="00634761" w:rsidRDefault="00634761"/>
    <w:p w14:paraId="275A8B49" w14:textId="77777777" w:rsidR="00634761" w:rsidRDefault="00E9223E">
      <w:pPr>
        <w:pStyle w:val="21"/>
      </w:pPr>
      <w:r>
        <w:t>Slide 8 — Figure 1: Time Series Overview</w:t>
      </w:r>
    </w:p>
    <w:p w14:paraId="04F69AB6" w14:textId="74485B0C" w:rsidR="00ED19A5" w:rsidRDefault="00E9223E">
      <w:pPr>
        <w:rPr>
          <w:rFonts w:eastAsia="宋体"/>
          <w:lang w:eastAsia="zh-CN"/>
        </w:rPr>
      </w:pPr>
      <w:r>
        <w:t xml:space="preserve">Let's start with the big picture. </w:t>
      </w:r>
      <w:r w:rsidR="00ED19A5">
        <w:rPr>
          <w:rFonts w:eastAsia="宋体" w:hint="eastAsia"/>
          <w:lang w:eastAsia="zh-CN"/>
        </w:rPr>
        <w:t>The</w:t>
      </w:r>
      <w:r>
        <w:t xml:space="preserve"> </w:t>
      </w:r>
      <w:r w:rsidR="00ED19A5">
        <w:rPr>
          <w:rFonts w:eastAsia="宋体" w:hint="eastAsia"/>
          <w:lang w:eastAsia="zh-CN"/>
        </w:rPr>
        <w:t xml:space="preserve">upper </w:t>
      </w:r>
      <w:r>
        <w:t>chart overlays ETH price with GPU eBay prices for each tier — XX60 through XX90.</w:t>
      </w:r>
    </w:p>
    <w:p w14:paraId="579E28B0" w14:textId="45D79264" w:rsidR="00634761" w:rsidRDefault="00ED19A5">
      <w:r>
        <w:t xml:space="preserve">The bottom panel shows individual models. The XX90 hit nearly thirty-two hundred dollars at peak; the XX60 peaked around nine hundred. </w:t>
      </w:r>
      <w:r w:rsidR="00E9223E">
        <w:br/>
      </w:r>
      <w:r w:rsidR="00E9223E">
        <w:br/>
        <w:t>The key observation: GPU prices and ETH are visually highly synchronized. They rise together, peak around May 2021 when LHR launched, and crash together through mid-2022. This holds across ALL tiers.</w:t>
      </w:r>
      <w:r>
        <w:rPr>
          <w:rFonts w:eastAsia="宋体" w:hint="eastAsia"/>
          <w:lang w:eastAsia="zh-CN"/>
        </w:rPr>
        <w:t xml:space="preserve"> </w:t>
      </w:r>
      <w:r>
        <w:t>The sync is clear — but we need to measure how strong the link actually is.</w:t>
      </w:r>
      <w:r w:rsidR="00E9223E">
        <w:br/>
      </w:r>
      <w:r w:rsidR="00E9223E">
        <w:br/>
      </w:r>
    </w:p>
    <w:p w14:paraId="698BD87A" w14:textId="77777777" w:rsidR="00634761" w:rsidRDefault="00634761"/>
    <w:p w14:paraId="34FCB9C8" w14:textId="77777777" w:rsidR="00634761" w:rsidRDefault="00E9223E">
      <w:pPr>
        <w:pStyle w:val="21"/>
      </w:pPr>
      <w:r>
        <w:t>Slide 9 — Figure 2: How Strong Is the Link?</w:t>
      </w:r>
    </w:p>
    <w:p w14:paraId="5E6FF1FD" w14:textId="1F10D0C8" w:rsidR="00634761" w:rsidRDefault="00E9223E">
      <w:r>
        <w:t xml:space="preserve">To quantify the link, </w:t>
      </w:r>
      <w:r w:rsidR="00706DDC">
        <w:rPr>
          <w:rFonts w:eastAsia="宋体" w:hint="eastAsia"/>
          <w:lang w:eastAsia="zh-CN"/>
        </w:rPr>
        <w:t>I</w:t>
      </w:r>
      <w:r>
        <w:t xml:space="preserve"> use two panels. Left: ETH price versus GPU price. Clear positive correlation, but there's a problem — both share a common boom-bust trend, which can inflate the correlation.</w:t>
      </w:r>
      <w:r>
        <w:br/>
      </w:r>
      <w:r>
        <w:br/>
        <w:t xml:space="preserve">So on the right, </w:t>
      </w:r>
      <w:r w:rsidR="004771B4">
        <w:t>I</w:t>
      </w:r>
      <w:r>
        <w:t xml:space="preserve"> use first-differencing — </w:t>
      </w:r>
      <w:r w:rsidR="0040574F">
        <w:t>I</w:t>
      </w:r>
      <w:r>
        <w:t xml:space="preserve"> compare monthly changes, not price levels. This removes the shared trend. Stars mark statistically significant correlations.</w:t>
      </w:r>
      <w:r>
        <w:br/>
      </w:r>
      <w:r>
        <w:br/>
      </w:r>
      <w:r w:rsidR="001E23A5">
        <w:rPr>
          <w:rFonts w:eastAsia="宋体" w:hint="eastAsia"/>
          <w:lang w:eastAsia="zh-CN"/>
        </w:rPr>
        <w:t>The</w:t>
      </w:r>
      <w:r w:rsidR="005B2671">
        <w:rPr>
          <w:rFonts w:eastAsia="宋体" w:hint="eastAsia"/>
          <w:lang w:eastAsia="zh-CN"/>
        </w:rPr>
        <w:t xml:space="preserve"> relationship is</w:t>
      </w:r>
      <w:r>
        <w:t xml:space="preserve"> quite strong. RTX 3090 shows r </w:t>
      </w:r>
      <w:r w:rsidR="00BF29E7">
        <w:rPr>
          <w:rFonts w:eastAsia="宋体" w:hint="eastAsia"/>
          <w:lang w:eastAsia="zh-CN"/>
        </w:rPr>
        <w:t>= 0.56</w:t>
      </w:r>
      <w:r>
        <w:t xml:space="preserve">, p below </w:t>
      </w:r>
      <w:r w:rsidR="00BF29E7">
        <w:rPr>
          <w:rFonts w:eastAsia="宋体" w:hint="eastAsia"/>
          <w:lang w:eastAsia="zh-CN"/>
        </w:rPr>
        <w:t>0.01</w:t>
      </w:r>
      <w:r>
        <w:t>. Crypto prices do drive GPU prices — this is real, not a statistical artifact.</w:t>
      </w:r>
    </w:p>
    <w:p w14:paraId="07A369EE" w14:textId="77777777" w:rsidR="00634761" w:rsidRDefault="00634761"/>
    <w:p w14:paraId="23237BF8" w14:textId="77777777" w:rsidR="00634761" w:rsidRDefault="00E9223E">
      <w:pPr>
        <w:pStyle w:val="21"/>
      </w:pPr>
      <w:r>
        <w:t>Slide 10 — Premium Drivers: VRAM?</w:t>
      </w:r>
    </w:p>
    <w:p w14:paraId="2357AEE4" w14:textId="30E0F099" w:rsidR="00634761" w:rsidRDefault="00E9223E">
      <w:r>
        <w:t>Now — what drives the price premium?</w:t>
      </w:r>
      <w:r>
        <w:br/>
      </w:r>
      <w:r>
        <w:br/>
      </w:r>
      <w:r w:rsidR="00902CD8">
        <w:rPr>
          <w:rFonts w:eastAsia="宋体" w:hint="eastAsia"/>
          <w:lang w:eastAsia="zh-CN"/>
        </w:rPr>
        <w:t>My</w:t>
      </w:r>
      <w:r>
        <w:t xml:space="preserve"> first guess</w:t>
      </w:r>
      <w:r w:rsidR="00902CD8">
        <w:rPr>
          <w:rFonts w:eastAsia="宋体" w:hint="eastAsia"/>
          <w:lang w:eastAsia="zh-CN"/>
        </w:rPr>
        <w:t xml:space="preserve"> is</w:t>
      </w:r>
      <w:r>
        <w:t xml:space="preserve"> VRAM. More memory should mean better mining, so higher premiums. This chart plots premium against VRAM with the red regression line.</w:t>
      </w:r>
      <w:r>
        <w:br/>
      </w:r>
      <w:r>
        <w:br/>
        <w:t xml:space="preserve">Surprisingly, the slope is NEGATIVE — more VRAM is associated with LOWER premiums. The coefficient is </w:t>
      </w:r>
      <w:r w:rsidR="00D52F3A">
        <w:rPr>
          <w:rFonts w:eastAsia="宋体" w:hint="eastAsia"/>
          <w:lang w:eastAsia="zh-CN"/>
        </w:rPr>
        <w:t>-2.76</w:t>
      </w:r>
      <w:r>
        <w:t>, and significant. This contradicts everything we'd expect.</w:t>
      </w:r>
      <w:r>
        <w:br/>
      </w:r>
      <w:r>
        <w:br/>
        <w:t>[Pause]</w:t>
      </w:r>
      <w:r>
        <w:br/>
      </w:r>
      <w:r>
        <w:br/>
      </w:r>
      <w:r w:rsidR="00D52F3A">
        <w:rPr>
          <w:rFonts w:eastAsia="宋体" w:hint="eastAsia"/>
          <w:lang w:eastAsia="zh-CN"/>
        </w:rPr>
        <w:t xml:space="preserve">Actually, </w:t>
      </w:r>
      <w:r>
        <w:t xml:space="preserve">We've been tricked by MSRP. MSRP is a confounding variable. High-VRAM cards like the RTX 3090 — 24 gigabytes — launched at </w:t>
      </w:r>
      <w:r w:rsidR="00887EAD">
        <w:rPr>
          <w:rFonts w:eastAsia="宋体" w:hint="eastAsia"/>
          <w:lang w:eastAsia="zh-CN"/>
        </w:rPr>
        <w:t>$1499</w:t>
      </w:r>
      <w:r>
        <w:t xml:space="preserve">. The RTX 3060 with 12 gigabytes launched at just </w:t>
      </w:r>
      <w:r w:rsidR="00887EAD">
        <w:rPr>
          <w:rFonts w:eastAsia="宋体" w:hint="eastAsia"/>
          <w:lang w:eastAsia="zh-CN"/>
        </w:rPr>
        <w:t>$329</w:t>
      </w:r>
      <w:r>
        <w:t>. A high MSRP limits the percentage premium you can charge. You simply can't get a three hundred percent markup on a fifteen hundred dollar card.</w:t>
      </w:r>
    </w:p>
    <w:p w14:paraId="75DD137A" w14:textId="77777777" w:rsidR="00634761" w:rsidRDefault="00634761"/>
    <w:p w14:paraId="3D41276E" w14:textId="77777777" w:rsidR="00634761" w:rsidRDefault="00E9223E">
      <w:pPr>
        <w:pStyle w:val="21"/>
      </w:pPr>
      <w:r>
        <w:t>Slide 11 — Premium Drivers: Controlling for MSRP</w:t>
      </w:r>
    </w:p>
    <w:p w14:paraId="07928766" w14:textId="28BD315D" w:rsidR="00634761" w:rsidRDefault="00E9223E">
      <w:r>
        <w:t xml:space="preserve">So </w:t>
      </w:r>
      <w:r w:rsidR="00C07E48">
        <w:rPr>
          <w:rFonts w:eastAsia="宋体" w:hint="eastAsia"/>
          <w:lang w:eastAsia="zh-CN"/>
        </w:rPr>
        <w:t>I</w:t>
      </w:r>
      <w:r w:rsidR="007C47DF">
        <w:rPr>
          <w:rFonts w:eastAsia="宋体" w:hint="eastAsia"/>
          <w:lang w:eastAsia="zh-CN"/>
        </w:rPr>
        <w:t xml:space="preserve"> factor MSRP into the analysis in</w:t>
      </w:r>
      <w:r>
        <w:t xml:space="preserve"> Model 2</w:t>
      </w:r>
      <w:r w:rsidR="004B0419">
        <w:rPr>
          <w:rFonts w:eastAsia="宋体" w:hint="eastAsia"/>
          <w:lang w:eastAsia="zh-CN"/>
        </w:rPr>
        <w:t>.</w:t>
      </w:r>
      <w:r>
        <w:t xml:space="preserve"> The left panel is an added-variable plot: the X-axis is VRAM after removing MSRP's influence, the Y-axis is premium after removing MSRP's influence.</w:t>
      </w:r>
      <w:r>
        <w:br/>
      </w:r>
      <w:r>
        <w:br/>
        <w:t>Once we strip out MSRP, the relationship FLIPS positive. More VRAM genuinely means more premium — after proper control.</w:t>
      </w:r>
      <w:r>
        <w:br/>
      </w:r>
      <w:r>
        <w:br/>
        <w:t>The right panel confirms this: VRAM coefficient is positive two point three percentage points per gigabyte. MSRP</w:t>
      </w:r>
      <w:r w:rsidR="00F45E3D">
        <w:rPr>
          <w:rFonts w:eastAsia="宋体" w:hint="eastAsia"/>
          <w:lang w:eastAsia="zh-CN"/>
        </w:rPr>
        <w:t xml:space="preserve"> is </w:t>
      </w:r>
      <w:r>
        <w:t>negative eight points per hundred dollars. Both significant. MSRP was the hidden confounder — once controlled, the true relationship emerges.</w:t>
      </w:r>
    </w:p>
    <w:p w14:paraId="1B60FEC4" w14:textId="77777777" w:rsidR="00634761" w:rsidRDefault="00634761"/>
    <w:p w14:paraId="731A6D35" w14:textId="77777777" w:rsidR="00634761" w:rsidRDefault="00E9223E">
      <w:pPr>
        <w:pStyle w:val="21"/>
      </w:pPr>
      <w:r>
        <w:t>Slide 12 — Premium Drivers: Adding Tier</w:t>
      </w:r>
    </w:p>
    <w:p w14:paraId="57DC7972" w14:textId="1AE47202" w:rsidR="00634761" w:rsidRDefault="00E9223E">
      <w:r>
        <w:t>Let's go one step further — what if we also account for GPU tier?</w:t>
      </w:r>
      <w:r>
        <w:br/>
      </w:r>
      <w:r>
        <w:br/>
        <w:t xml:space="preserve">This is Model 3. Look at the premium by tier: XX60 — the entry level — averages </w:t>
      </w:r>
      <w:r w:rsidR="00B326D3">
        <w:rPr>
          <w:rFonts w:eastAsia="宋体" w:hint="eastAsia"/>
          <w:lang w:eastAsia="zh-CN"/>
        </w:rPr>
        <w:t>107%</w:t>
      </w:r>
      <w:r>
        <w:t xml:space="preserve"> premium. That's more than double MSRP. XX70: about seventy percent. XX80: sixty percent. XX90, the flagship: only fifty-two percent.</w:t>
      </w:r>
      <w:r>
        <w:br/>
      </w:r>
      <w:r>
        <w:br/>
        <w:t>XX60 has the HIGHEST premium! And when we add Tier into the regression, VRAM becomes insignificant. Tier is the real driver, not VRAM.</w:t>
      </w:r>
      <w:r>
        <w:br/>
      </w:r>
      <w:r>
        <w:br/>
        <w:t>Which raises the obvious question: why? Why are the cheapest cards getting the biggest percentage markup?</w:t>
      </w:r>
    </w:p>
    <w:p w14:paraId="402BF988" w14:textId="77777777" w:rsidR="00634761" w:rsidRDefault="00634761"/>
    <w:p w14:paraId="7210BE8E" w14:textId="77777777" w:rsidR="00634761" w:rsidRDefault="00E9223E">
      <w:pPr>
        <w:pStyle w:val="21"/>
      </w:pPr>
      <w:r>
        <w:t>Slide 13 — Mining Economics: Cost Per Hashrate</w:t>
      </w:r>
    </w:p>
    <w:p w14:paraId="076B39DC" w14:textId="77777777" w:rsidR="00634761" w:rsidRDefault="00E9223E">
      <w:r>
        <w:t>The answer is mining economics — specifically, dollars per megahash per second. This tells a miner what they pay per unit of mining power. Lower is better.</w:t>
      </w:r>
      <w:r>
        <w:br/>
      </w:r>
      <w:r>
        <w:br/>
        <w:t>Look at the XX60 line at the bottom — it consistently has the lowest cost per unit of mining power. XX60 cards offer the highest mining return on investment. So miners bid them up the most in percentage terms.</w:t>
      </w:r>
      <w:r>
        <w:br/>
      </w:r>
      <w:r>
        <w:br/>
        <w:t>This is the key insight: miners didn't target the most powerful cards — they targeted the most cost-efficient ones. It's not about raw power; it's about dollars per hash.</w:t>
      </w:r>
    </w:p>
    <w:p w14:paraId="37977288" w14:textId="77777777" w:rsidR="00634761" w:rsidRDefault="00634761"/>
    <w:p w14:paraId="48119B6E" w14:textId="77777777" w:rsidR="00634761" w:rsidRDefault="00E9223E">
      <w:pPr>
        <w:pStyle w:val="21"/>
      </w:pPr>
      <w:r>
        <w:t>Slide 14 — LHR: Background</w:t>
      </w:r>
    </w:p>
    <w:p w14:paraId="6684A480" w14:textId="77777777" w:rsidR="00634761" w:rsidRDefault="00E9223E">
      <w:r>
        <w:t>Now let's talk LHR. In May 2021, at the peak of the mining craze, NVIDIA announced: 'We're reducing the hash rate of newly manufactured RTX 3080, 3070, and 3060 Ti cards so they're less desirable to miners.'</w:t>
      </w:r>
      <w:r>
        <w:br/>
      </w:r>
      <w:r>
        <w:br/>
        <w:t>The question: did it actually work?</w:t>
      </w:r>
    </w:p>
    <w:p w14:paraId="09A79EAA" w14:textId="77777777" w:rsidR="00634761" w:rsidRDefault="00634761"/>
    <w:p w14:paraId="7E7EA344" w14:textId="77777777" w:rsidR="00634761" w:rsidRDefault="00E9223E">
      <w:pPr>
        <w:pStyle w:val="21"/>
      </w:pPr>
      <w:r>
        <w:t>Slide 15 — LHR: Real Impact</w:t>
      </w:r>
    </w:p>
    <w:p w14:paraId="5B4A5ACB" w14:textId="5CB94BC1" w:rsidR="00634761" w:rsidRDefault="00E9223E">
      <w:r>
        <w:t>Here's the comparison — LHR versus non-LHR for the same models.</w:t>
      </w:r>
      <w:r w:rsidR="004A0CFF">
        <w:t xml:space="preserve"> </w:t>
      </w:r>
      <w:r>
        <w:br/>
      </w:r>
      <w:r>
        <w:br/>
        <w:t>During the mining boom of mid-2021, the gap was big: LHR cards sold twenty to thirty-seven percent below non-LHR. Miners clearly valued full hash rate.</w:t>
      </w:r>
      <w:r>
        <w:br/>
      </w:r>
      <w:r>
        <w:br/>
        <w:t>But after the crypto crash in mid-2022, the gap nearly vanished — narrowing to about three percent.</w:t>
      </w:r>
      <w:r>
        <w:br/>
      </w:r>
      <w:r>
        <w:br/>
        <w:t>The LHR price gap is NOT constant — it varies with market conditions. LHR only matters when mining is profitable. When mining isn't profitable, nobody cares about hash rate, and prices converge.</w:t>
      </w:r>
    </w:p>
    <w:p w14:paraId="4E89F796" w14:textId="77777777" w:rsidR="00634761" w:rsidRDefault="00634761"/>
    <w:p w14:paraId="1DEC072B" w14:textId="77777777" w:rsidR="00634761" w:rsidRDefault="00E9223E">
      <w:pPr>
        <w:pStyle w:val="21"/>
      </w:pPr>
      <w:r>
        <w:t>Slide 16 — Mining Economics With LHR</w:t>
      </w:r>
    </w:p>
    <w:p w14:paraId="02DBAFA7" w14:textId="77777777" w:rsidR="00634761" w:rsidRDefault="00E9223E">
      <w:r>
        <w:t>From the mining economics angle: dashed lines are LHR cards. They consistently sit above their non-LHR counterparts — LHR variants have a forty to fifty percent higher cost per unit of mining power.</w:t>
      </w:r>
      <w:r>
        <w:br/>
      </w:r>
      <w:r>
        <w:br/>
        <w:t>NVIDIA succeeded. They made mining on LHR cards far less rewarding. The technology worked exactly as intended.</w:t>
      </w:r>
    </w:p>
    <w:p w14:paraId="40EE4188" w14:textId="77777777" w:rsidR="00634761" w:rsidRDefault="00634761"/>
    <w:p w14:paraId="0F54CA2A" w14:textId="77777777" w:rsidR="00634761" w:rsidRDefault="00E9223E">
      <w:pPr>
        <w:pStyle w:val="21"/>
      </w:pPr>
      <w:r>
        <w:t>Slide 17 — Answers to Research Questions</w:t>
      </w:r>
    </w:p>
    <w:p w14:paraId="42DC69E0" w14:textId="77777777" w:rsidR="00634761" w:rsidRDefault="00E9223E">
      <w:r>
        <w:t>So, to our research questions. Do crypto prices drive GPU secondary-market prices? Yes — and the connection is quite strong, confirmed by both visual evidence and first-difference correlation tests.</w:t>
      </w:r>
      <w:r>
        <w:br/>
      </w:r>
      <w:r>
        <w:br/>
        <w:t>Which GPU attributes explain the premium? It's mining cost-efficiency — dollars per megahash — which explains why entry-level cards had the highest percentage premiums.</w:t>
      </w:r>
      <w:r>
        <w:br/>
      </w:r>
      <w:r>
        <w:br/>
        <w:t>Do different tiers show different volatility? Not really — all four tiers show nearly identical month-over-month volatility.</w:t>
      </w:r>
      <w:r>
        <w:br/>
      </w:r>
      <w:r>
        <w:br/>
        <w:t>Did LHR work? Yes, and quite successfully — a twenty to thirty-seven percent price gap during the boom, though the effect disappeared when mining became unprofitable.</w:t>
      </w:r>
    </w:p>
    <w:p w14:paraId="44F8666B" w14:textId="38114697" w:rsidR="00700D6D" w:rsidRPr="00700D6D" w:rsidRDefault="00A22781">
      <w:pPr>
        <w:pStyle w:val="p1"/>
      </w:pPr>
      <w:r>
        <w:rPr>
          <w:rStyle w:val="s1"/>
        </w:rPr>
        <w:t>There is a strong</w:t>
      </w:r>
      <w:r w:rsidR="00B90A9A">
        <w:rPr>
          <w:rStyle w:val="s1"/>
        </w:rPr>
        <w:t xml:space="preserve"> </w:t>
      </w:r>
      <w:r>
        <w:rPr>
          <w:rStyle w:val="s1"/>
        </w:rPr>
        <w:t>link between crypto prices and the GPU secondary market</w:t>
      </w:r>
      <w:r w:rsidR="009201F6">
        <w:rPr>
          <w:rStyle w:val="s1"/>
        </w:rPr>
        <w:t>. The price premium</w:t>
      </w:r>
      <w:r>
        <w:rPr>
          <w:rStyle w:val="s1"/>
        </w:rPr>
        <w:t xml:space="preserve"> </w:t>
      </w:r>
      <w:r w:rsidR="009201F6">
        <w:rPr>
          <w:rStyle w:val="s1"/>
        </w:rPr>
        <w:t>is</w:t>
      </w:r>
      <w:r w:rsidR="00700D6D" w:rsidRPr="00700D6D">
        <w:rPr>
          <w:rFonts w:ascii=".SFUI-Regular" w:hAnsi=".SFUI-Regular"/>
        </w:rPr>
        <w:t xml:space="preserve"> driven by </w:t>
      </w:r>
      <w:r w:rsidR="00700D6D" w:rsidRPr="00700D6D">
        <w:rPr>
          <w:rFonts w:ascii=".SFUI-Semibold" w:hAnsi=".SFUI-Semibold"/>
          <w:b/>
          <w:bCs/>
        </w:rPr>
        <w:t>mining efficiency ($/MH)</w:t>
      </w:r>
      <w:r w:rsidR="00700D6D">
        <w:rPr>
          <w:rFonts w:ascii=".SFUI-Regular" w:hAnsi=".SFUI-Regular"/>
        </w:rPr>
        <w:t>, which</w:t>
      </w:r>
      <w:r w:rsidR="00700D6D" w:rsidRPr="00700D6D">
        <w:rPr>
          <w:rFonts w:ascii=".SFUI-Regular" w:hAnsi=".SFUI-Regular"/>
        </w:rPr>
        <w:t xml:space="preserve"> explains why entry-level cards saw the highest percentage markups.</w:t>
      </w:r>
    </w:p>
    <w:p w14:paraId="56255054" w14:textId="11F7BDCB" w:rsidR="00684366" w:rsidRPr="00684366" w:rsidRDefault="00F512FC">
      <w:pPr>
        <w:pStyle w:val="p1"/>
      </w:pPr>
      <w:r>
        <w:rPr>
          <w:rFonts w:ascii=".SFUI-Semibold" w:hAnsi=".SFUI-Semibold"/>
          <w:b/>
          <w:bCs/>
        </w:rPr>
        <w:t xml:space="preserve">The </w:t>
      </w:r>
      <w:r w:rsidRPr="00F512FC">
        <w:rPr>
          <w:rFonts w:ascii=".SFUI-Semibold" w:hAnsi=".SFUI-Semibold"/>
          <w:b/>
          <w:bCs/>
        </w:rPr>
        <w:t>Tier Volatility</w:t>
      </w:r>
      <w:r>
        <w:rPr>
          <w:rFonts w:ascii=".SFUI-Semibold" w:hAnsi=".SFUI-Semibold"/>
          <w:b/>
          <w:bCs/>
        </w:rPr>
        <w:t xml:space="preserve"> is </w:t>
      </w:r>
      <w:r w:rsidRPr="00F512FC">
        <w:rPr>
          <w:rFonts w:ascii=".SFUI-Regular" w:hAnsi=".SFUI-Regular"/>
        </w:rPr>
        <w:t>Surprisingly consistent.</w:t>
      </w:r>
      <w:r w:rsidR="00684366" w:rsidRPr="00684366">
        <w:rPr>
          <w:rFonts w:ascii=".SFUI-Regular" w:hAnsi=".SFUI-Regular"/>
        </w:rPr>
        <w:t xml:space="preserve"> All four GPU tiers showed nearly identical month-over-month price swings.</w:t>
      </w:r>
    </w:p>
    <w:p w14:paraId="7974B723" w14:textId="67BB8738" w:rsidR="00F512FC" w:rsidRPr="00F512FC" w:rsidRDefault="002A0C40" w:rsidP="00F512FC">
      <w:pPr>
        <w:spacing w:before="132" w:after="0" w:line="240" w:lineRule="auto"/>
        <w:ind w:left="342" w:hanging="102"/>
        <w:rPr>
          <w:rFonts w:ascii=".AppleSystemUIFont" w:eastAsia="宋体" w:hAnsi=".AppleSystemUIFont" w:cs="宋体"/>
          <w:color w:val="1B1C1D"/>
          <w:sz w:val="23"/>
          <w:szCs w:val="23"/>
          <w:lang w:eastAsia="zh-CN"/>
        </w:rPr>
      </w:pPr>
      <w:r>
        <w:rPr>
          <w:rFonts w:ascii=".AppleSystemUIFont" w:eastAsia="宋体" w:hAnsi=".AppleSystemUIFont" w:cs="宋体"/>
          <w:color w:val="1B1C1D"/>
          <w:sz w:val="23"/>
          <w:szCs w:val="23"/>
          <w:lang w:eastAsia="zh-CN"/>
        </w:rPr>
        <w:t>And the LHR</w:t>
      </w:r>
      <w:r w:rsidR="00C06A58">
        <w:rPr>
          <w:rFonts w:ascii=".AppleSystemUIFont" w:eastAsia="宋体" w:hAnsi=".AppleSystemUIFont" w:cs="宋体"/>
          <w:color w:val="1B1C1D"/>
          <w:sz w:val="23"/>
          <w:szCs w:val="23"/>
          <w:lang w:eastAsia="zh-CN"/>
        </w:rPr>
        <w:t xml:space="preserve"> technology do </w:t>
      </w:r>
      <w:r w:rsidR="006B2D31">
        <w:rPr>
          <w:rFonts w:ascii=".AppleSystemUIFont" w:eastAsia="宋体" w:hAnsi=".AppleSystemUIFont" w:cs="宋体"/>
          <w:color w:val="1B1C1D"/>
          <w:sz w:val="23"/>
          <w:szCs w:val="23"/>
          <w:lang w:eastAsia="zh-CN"/>
        </w:rPr>
        <w:t>reduced miners willingness to pay</w:t>
      </w:r>
    </w:p>
    <w:p w14:paraId="1CD68E32" w14:textId="087DEFAA" w:rsidR="00634761" w:rsidRPr="009201F6" w:rsidRDefault="00634761" w:rsidP="009201F6">
      <w:pPr>
        <w:pStyle w:val="p1"/>
        <w:rPr>
          <w:rFonts w:hint="eastAsia"/>
        </w:rPr>
      </w:pPr>
    </w:p>
    <w:p w14:paraId="6E19C324" w14:textId="77777777" w:rsidR="00634761" w:rsidRDefault="00E9223E">
      <w:pPr>
        <w:pStyle w:val="21"/>
      </w:pPr>
      <w:r>
        <w:t>Slide 18 — Limitations</w:t>
      </w:r>
    </w:p>
    <w:p w14:paraId="35A27B6F" w14:textId="3A48708D" w:rsidR="00B80C58" w:rsidRPr="00B80C58" w:rsidRDefault="006D1B68">
      <w:pPr>
        <w:pStyle w:val="p1"/>
      </w:pPr>
      <w:r>
        <w:rPr>
          <w:rFonts w:hint="eastAsia"/>
        </w:rPr>
        <w:t>However, the project do</w:t>
      </w:r>
      <w:r w:rsidR="00E9223E">
        <w:t xml:space="preserve"> have limitations</w:t>
      </w:r>
      <w:r w:rsidR="00B80C58" w:rsidRPr="00B80C58">
        <w:rPr>
          <w:rFonts w:ascii=".SFUI-Regular" w:hAnsi=".SFUI-Regular"/>
        </w:rPr>
        <w:t xml:space="preserve"> includ</w:t>
      </w:r>
      <w:r w:rsidR="00903A4A">
        <w:rPr>
          <w:rFonts w:ascii=".SFUI-Regular" w:hAnsi=".SFUI-Regular"/>
        </w:rPr>
        <w:t xml:space="preserve">ing </w:t>
      </w:r>
      <w:r w:rsidR="00B80C58" w:rsidRPr="00B80C58">
        <w:rPr>
          <w:rFonts w:ascii=".SFUI-Regular" w:hAnsi=".SFUI-Regular"/>
        </w:rPr>
        <w:t>a narrow sample size (10 models/eBay only) and the exclusion of external shocks like the chip shortage and pandemic.</w:t>
      </w:r>
    </w:p>
    <w:p w14:paraId="1F518F5A" w14:textId="77777777" w:rsidR="00634761" w:rsidRDefault="00634761"/>
    <w:p w14:paraId="16F53575" w14:textId="77777777" w:rsidR="00634761" w:rsidRDefault="00E9223E">
      <w:pPr>
        <w:pStyle w:val="21"/>
      </w:pPr>
      <w:r>
        <w:t>Slide 19 — Future Work</w:t>
      </w:r>
    </w:p>
    <w:p w14:paraId="58108119" w14:textId="7887BDBB" w:rsidR="00634761" w:rsidRPr="00DF17B2" w:rsidRDefault="00E9223E">
      <w:pPr>
        <w:rPr>
          <w:rFonts w:eastAsia="宋体"/>
          <w:lang w:eastAsia="zh-CN"/>
        </w:rPr>
      </w:pPr>
      <w:r>
        <w:t xml:space="preserve">Future directions: </w:t>
      </w:r>
      <w:r w:rsidR="00797B4E" w:rsidRPr="00797B4E">
        <w:t xml:space="preserve">First, the 2022 LHR unlock events — when miners found ways to bypass the hash rate limiter — provide a perfect natural experiment for a difference-in-differences design. Second, we could expand beyond US eBay to compare across European and Asian second-hand platforms and see whether these patterns hold globally. </w:t>
      </w:r>
      <w:r>
        <w:t xml:space="preserve"> And </w:t>
      </w:r>
      <w:r w:rsidR="00DF17B2">
        <w:rPr>
          <w:rFonts w:eastAsia="宋体" w:hint="eastAsia"/>
          <w:lang w:eastAsia="zh-CN"/>
        </w:rPr>
        <w:t>I</w:t>
      </w:r>
      <w:r>
        <w:t xml:space="preserve"> could </w:t>
      </w:r>
      <w:r w:rsidR="00797B4E">
        <w:rPr>
          <w:rFonts w:eastAsia="宋体" w:hint="eastAsia"/>
          <w:lang w:eastAsia="zh-CN"/>
        </w:rPr>
        <w:t xml:space="preserve">also </w:t>
      </w:r>
      <w:r>
        <w:t xml:space="preserve">try to </w:t>
      </w:r>
      <w:r w:rsidR="00DF17B2">
        <w:rPr>
          <w:rFonts w:eastAsia="宋体" w:hint="eastAsia"/>
          <w:lang w:eastAsia="zh-CN"/>
        </w:rPr>
        <w:t xml:space="preserve">consider </w:t>
      </w:r>
      <w:r w:rsidR="008E42CC">
        <w:rPr>
          <w:rFonts w:eastAsia="宋体" w:hint="eastAsia"/>
          <w:lang w:eastAsia="zh-CN"/>
        </w:rPr>
        <w:t xml:space="preserve">other external factors. </w:t>
      </w:r>
    </w:p>
    <w:p w14:paraId="0C3593BF" w14:textId="5E3364A4" w:rsidR="00634761" w:rsidRPr="00FF173F" w:rsidRDefault="003B14C6" w:rsidP="00FF173F">
      <w:pPr>
        <w:spacing w:after="0" w:line="240" w:lineRule="auto"/>
        <w:rPr>
          <w:rFonts w:ascii=".AppleSystemUIFont" w:eastAsia="宋体" w:hAnsi=".AppleSystemUIFont" w:cs="宋体" w:hint="eastAsia"/>
          <w:color w:val="1B1C1D"/>
          <w:sz w:val="23"/>
          <w:szCs w:val="23"/>
          <w:lang w:eastAsia="zh-CN"/>
        </w:rPr>
      </w:pPr>
      <w:r w:rsidRPr="003B14C6">
        <w:rPr>
          <w:rFonts w:ascii=".SFUI-Regular" w:eastAsia="宋体" w:hAnsi=".SFUI-Regular" w:cs="宋体"/>
          <w:color w:val="1B1C1D"/>
          <w:sz w:val="23"/>
          <w:szCs w:val="23"/>
          <w:lang w:eastAsia="zh-CN"/>
        </w:rPr>
        <w:t xml:space="preserve">Future research could </w:t>
      </w:r>
      <w:r w:rsidR="00FF173F">
        <w:rPr>
          <w:rFonts w:ascii=".SFUI-Regular" w:eastAsia="宋体" w:hAnsi=".SFUI-Regular" w:cs="宋体" w:hint="eastAsia"/>
          <w:color w:val="1B1C1D"/>
          <w:sz w:val="23"/>
          <w:szCs w:val="23"/>
          <w:lang w:eastAsia="zh-CN"/>
        </w:rPr>
        <w:t>consider</w:t>
      </w:r>
      <w:r w:rsidRPr="003B14C6">
        <w:rPr>
          <w:rFonts w:ascii=".SFUI-Regular" w:eastAsia="宋体" w:hAnsi=".SFUI-Regular" w:cs="宋体"/>
          <w:color w:val="1B1C1D"/>
          <w:sz w:val="23"/>
          <w:szCs w:val="23"/>
          <w:lang w:eastAsia="zh-CN"/>
        </w:rPr>
        <w:t xml:space="preserve"> the 2022 LHR unlock for a difference-in-differences study,and incorporate external market variables.</w:t>
      </w:r>
    </w:p>
    <w:p w14:paraId="7E71BCEE" w14:textId="77777777" w:rsidR="00634761" w:rsidRDefault="00E9223E">
      <w:pPr>
        <w:pStyle w:val="21"/>
      </w:pPr>
      <w:r>
        <w:t>Slide 20 — References</w:t>
      </w:r>
    </w:p>
    <w:p w14:paraId="6C69FFA7" w14:textId="68BACFD9" w:rsidR="00634761" w:rsidRPr="00B93C38" w:rsidRDefault="00B93C38">
      <w:pPr>
        <w:rPr>
          <w:rFonts w:eastAsia="宋体"/>
          <w:lang w:eastAsia="zh-CN"/>
        </w:rPr>
      </w:pPr>
      <w:r>
        <w:rPr>
          <w:rFonts w:eastAsia="宋体" w:hint="eastAsia"/>
          <w:lang w:eastAsia="zh-CN"/>
        </w:rPr>
        <w:t xml:space="preserve">These are the </w:t>
      </w:r>
      <w:r w:rsidR="00E9223E">
        <w:t>data sources</w:t>
      </w:r>
      <w:r>
        <w:rPr>
          <w:rFonts w:eastAsia="宋体" w:hint="eastAsia"/>
          <w:lang w:eastAsia="zh-CN"/>
        </w:rPr>
        <w:t xml:space="preserve"> and picture references</w:t>
      </w:r>
      <w:r w:rsidR="00E9223E">
        <w:t>. AI assistance via DeepSeek V4 Pro Max through Claude Code was used for data collection scripts.</w:t>
      </w:r>
      <w:r>
        <w:rPr>
          <w:rFonts w:eastAsia="宋体" w:hint="eastAsia"/>
          <w:lang w:eastAsia="zh-CN"/>
        </w:rPr>
        <w:t xml:space="preserve"> </w:t>
      </w:r>
    </w:p>
    <w:p w14:paraId="398199FC" w14:textId="77777777" w:rsidR="00634761" w:rsidRDefault="00634761"/>
    <w:p w14:paraId="3BFD3D2D" w14:textId="77777777" w:rsidR="00634761" w:rsidRDefault="00E9223E">
      <w:pPr>
        <w:pStyle w:val="21"/>
      </w:pPr>
      <w:r>
        <w:t>Slide 21 — Thank You</w:t>
      </w:r>
    </w:p>
    <w:p w14:paraId="6C4CC3DB" w14:textId="0FC75C98" w:rsidR="00634761" w:rsidRPr="00B93C38" w:rsidRDefault="00E9223E">
      <w:pPr>
        <w:rPr>
          <w:rFonts w:eastAsia="宋体"/>
          <w:lang w:eastAsia="zh-CN"/>
        </w:rPr>
      </w:pPr>
      <w:r>
        <w:t>Thank</w:t>
      </w:r>
      <w:r w:rsidR="00B93C38">
        <w:rPr>
          <w:rFonts w:eastAsia="宋体" w:hint="eastAsia"/>
          <w:lang w:eastAsia="zh-CN"/>
        </w:rPr>
        <w:t xml:space="preserve">s for </w:t>
      </w:r>
      <w:r w:rsidR="00E418AA">
        <w:rPr>
          <w:rFonts w:eastAsia="宋体"/>
          <w:lang w:eastAsia="zh-CN"/>
        </w:rPr>
        <w:t>listening</w:t>
      </w:r>
      <w:r w:rsidR="00B93C38">
        <w:rPr>
          <w:rFonts w:eastAsia="宋体" w:hint="eastAsia"/>
          <w:lang w:eastAsia="zh-CN"/>
        </w:rPr>
        <w:t xml:space="preserve">. </w:t>
      </w:r>
    </w:p>
    <w:sectPr w:rsidR="00634761" w:rsidRPr="00B93C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SFUI-Regular">
    <w:altName w:val="Cambria"/>
    <w:panose1 w:val="020B0604020202020204"/>
    <w:charset w:val="00"/>
    <w:family w:val="roman"/>
    <w:pitch w:val="default"/>
  </w:font>
  <w:font w:name=".SFUI-Semibol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77222225">
    <w:abstractNumId w:val="8"/>
  </w:num>
  <w:num w:numId="2" w16cid:durableId="1309213616">
    <w:abstractNumId w:val="6"/>
  </w:num>
  <w:num w:numId="3" w16cid:durableId="1615013684">
    <w:abstractNumId w:val="5"/>
  </w:num>
  <w:num w:numId="4" w16cid:durableId="482889913">
    <w:abstractNumId w:val="4"/>
  </w:num>
  <w:num w:numId="5" w16cid:durableId="239601987">
    <w:abstractNumId w:val="7"/>
  </w:num>
  <w:num w:numId="6" w16cid:durableId="1003704602">
    <w:abstractNumId w:val="3"/>
  </w:num>
  <w:num w:numId="7" w16cid:durableId="27147414">
    <w:abstractNumId w:val="2"/>
  </w:num>
  <w:num w:numId="8" w16cid:durableId="143738321">
    <w:abstractNumId w:val="1"/>
  </w:num>
  <w:num w:numId="9" w16cid:durableId="155511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AB"/>
    <w:rsid w:val="00022B65"/>
    <w:rsid w:val="00034616"/>
    <w:rsid w:val="0006063C"/>
    <w:rsid w:val="00103E38"/>
    <w:rsid w:val="0015074B"/>
    <w:rsid w:val="001E23A5"/>
    <w:rsid w:val="0029639D"/>
    <w:rsid w:val="00297B50"/>
    <w:rsid w:val="002A0C40"/>
    <w:rsid w:val="00326F90"/>
    <w:rsid w:val="003B14C6"/>
    <w:rsid w:val="0040574F"/>
    <w:rsid w:val="00412034"/>
    <w:rsid w:val="004771B4"/>
    <w:rsid w:val="004A0CFF"/>
    <w:rsid w:val="004B0419"/>
    <w:rsid w:val="005939EA"/>
    <w:rsid w:val="005B2671"/>
    <w:rsid w:val="005C33DC"/>
    <w:rsid w:val="006035CD"/>
    <w:rsid w:val="00634761"/>
    <w:rsid w:val="00684366"/>
    <w:rsid w:val="006B2D31"/>
    <w:rsid w:val="006D1B68"/>
    <w:rsid w:val="00700D6D"/>
    <w:rsid w:val="00706DDC"/>
    <w:rsid w:val="00774053"/>
    <w:rsid w:val="00797B4E"/>
    <w:rsid w:val="007C47DF"/>
    <w:rsid w:val="00886DD8"/>
    <w:rsid w:val="00887EAD"/>
    <w:rsid w:val="008C3E4C"/>
    <w:rsid w:val="008D78CD"/>
    <w:rsid w:val="008E42CC"/>
    <w:rsid w:val="00902CD8"/>
    <w:rsid w:val="00903A4A"/>
    <w:rsid w:val="009201F6"/>
    <w:rsid w:val="00964EB6"/>
    <w:rsid w:val="009A2B46"/>
    <w:rsid w:val="00A22781"/>
    <w:rsid w:val="00AA1D8D"/>
    <w:rsid w:val="00AA4698"/>
    <w:rsid w:val="00B326D3"/>
    <w:rsid w:val="00B40D6E"/>
    <w:rsid w:val="00B47730"/>
    <w:rsid w:val="00B80C58"/>
    <w:rsid w:val="00B86521"/>
    <w:rsid w:val="00B90A9A"/>
    <w:rsid w:val="00B93C38"/>
    <w:rsid w:val="00BF29E7"/>
    <w:rsid w:val="00C06A58"/>
    <w:rsid w:val="00C07E48"/>
    <w:rsid w:val="00CB0664"/>
    <w:rsid w:val="00CB73ED"/>
    <w:rsid w:val="00CD6C47"/>
    <w:rsid w:val="00D52CEE"/>
    <w:rsid w:val="00D52F3A"/>
    <w:rsid w:val="00D974A7"/>
    <w:rsid w:val="00DB4DBE"/>
    <w:rsid w:val="00DF17B2"/>
    <w:rsid w:val="00E1308A"/>
    <w:rsid w:val="00E418AA"/>
    <w:rsid w:val="00E85214"/>
    <w:rsid w:val="00E9223E"/>
    <w:rsid w:val="00ED19A5"/>
    <w:rsid w:val="00F26A5D"/>
    <w:rsid w:val="00F43F90"/>
    <w:rsid w:val="00F45E3D"/>
    <w:rsid w:val="00F512FC"/>
    <w:rsid w:val="00FC693F"/>
    <w:rsid w:val="00FF17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254045E-0274-41EB-986E-203E8CD61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A22781"/>
    <w:pPr>
      <w:spacing w:before="39" w:after="0" w:line="240" w:lineRule="auto"/>
      <w:ind w:left="342" w:hanging="102"/>
    </w:pPr>
    <w:rPr>
      <w:rFonts w:ascii=".AppleSystemUIFont" w:eastAsia="宋体" w:hAnsi=".AppleSystemUIFont" w:cs="宋体"/>
      <w:color w:val="1B1C1D"/>
      <w:sz w:val="23"/>
      <w:szCs w:val="23"/>
      <w:lang w:eastAsia="zh-CN"/>
    </w:rPr>
  </w:style>
  <w:style w:type="character" w:customStyle="1" w:styleId="s1">
    <w:name w:val="s1"/>
    <w:basedOn w:val="a2"/>
    <w:rsid w:val="00A22781"/>
    <w:rPr>
      <w:rFonts w:ascii=".SFUI-Regular" w:hAnsi=".SFUI-Regular" w:hint="default"/>
      <w:b w:val="0"/>
      <w:bCs w:val="0"/>
      <w:i w:val="0"/>
      <w:iCs w:val="0"/>
      <w:sz w:val="23"/>
      <w:szCs w:val="23"/>
    </w:rPr>
  </w:style>
  <w:style w:type="character" w:customStyle="1" w:styleId="s2">
    <w:name w:val="s2"/>
    <w:basedOn w:val="a2"/>
    <w:rsid w:val="00700D6D"/>
    <w:rPr>
      <w:rFonts w:ascii=".SFUI-Semibold" w:hAnsi=".SFUI-Semibold" w:hint="default"/>
      <w:b/>
      <w:bCs/>
      <w:i w:val="0"/>
      <w:iCs w:val="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Pages>
  <Words>1444</Words>
  <Characters>8235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vwalker@connect.hku.hk</cp:lastModifiedBy>
  <cp:revision>60</cp:revision>
  <dcterms:created xsi:type="dcterms:W3CDTF">2013-12-23T23:15:00Z</dcterms:created>
  <dcterms:modified xsi:type="dcterms:W3CDTF">2026-05-13T08:53:00Z</dcterms:modified>
  <cp:category/>
</cp:coreProperties>
</file>