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FE8AB" w14:textId="77777777" w:rsidR="00F968FC" w:rsidRDefault="00D26288">
      <w:pPr>
        <w:spacing w:after="80"/>
        <w:jc w:val="center"/>
      </w:pPr>
      <w:r>
        <w:rPr>
          <w:b/>
          <w:bCs/>
          <w:color w:val="1A3C5E"/>
          <w:sz w:val="40"/>
          <w:szCs w:val="40"/>
        </w:rPr>
        <w:t>INDIAN STOCK MARKET PERFORMANCE ANALYSIS</w:t>
      </w:r>
    </w:p>
    <w:p w14:paraId="226DBCF1" w14:textId="77777777" w:rsidR="00F968FC" w:rsidRDefault="00D26288">
      <w:pPr>
        <w:spacing w:after="80"/>
        <w:jc w:val="center"/>
      </w:pPr>
      <w:r>
        <w:rPr>
          <w:color w:val="444444"/>
          <w:sz w:val="26"/>
          <w:szCs w:val="26"/>
        </w:rPr>
        <w:t>2020 – 2024 | Nifty 50 Companies</w:t>
      </w:r>
    </w:p>
    <w:p w14:paraId="66F634B4" w14:textId="65E33CEB" w:rsidR="00F968FC" w:rsidRDefault="00D26288">
      <w:pPr>
        <w:spacing w:after="200"/>
        <w:jc w:val="center"/>
      </w:pPr>
      <w:r>
        <w:rPr>
          <w:color w:val="888888"/>
          <w:sz w:val="20"/>
          <w:szCs w:val="20"/>
        </w:rPr>
        <w:t>Vivek Singh Chandel | April</w:t>
      </w:r>
      <w:r>
        <w:rPr>
          <w:color w:val="888888"/>
          <w:sz w:val="20"/>
          <w:szCs w:val="20"/>
        </w:rPr>
        <w:t xml:space="preserve"> 2026 | Tools</w:t>
      </w:r>
      <w:r>
        <w:rPr>
          <w:color w:val="888888"/>
          <w:sz w:val="20"/>
          <w:szCs w:val="20"/>
        </w:rPr>
        <w:t>: Excel, Power BI</w:t>
      </w:r>
    </w:p>
    <w:p w14:paraId="0E50BE5A" w14:textId="77777777" w:rsidR="00F968FC" w:rsidRDefault="00F968FC">
      <w:pPr>
        <w:pBdr>
          <w:bottom w:val="single" w:sz="4" w:space="1" w:color="1A3C5E"/>
        </w:pBdr>
        <w:spacing w:before="120" w:after="120"/>
      </w:pPr>
    </w:p>
    <w:p w14:paraId="4AA337D2" w14:textId="77777777" w:rsidR="00F968FC" w:rsidRDefault="00D26288">
      <w:pPr>
        <w:pStyle w:val="Heading1"/>
        <w:spacing w:before="240" w:after="120"/>
      </w:pPr>
      <w:r>
        <w:rPr>
          <w:b/>
          <w:bCs/>
          <w:color w:val="1A3C5E"/>
          <w:sz w:val="28"/>
          <w:szCs w:val="28"/>
        </w:rPr>
        <w:t>1. Project Overview</w:t>
      </w:r>
    </w:p>
    <w:p w14:paraId="72A144CF" w14:textId="379469B0" w:rsidR="00F968FC" w:rsidRDefault="00D26288">
      <w:pPr>
        <w:spacing w:before="60" w:after="60"/>
      </w:pPr>
      <w:r>
        <w:t xml:space="preserve">This project </w:t>
      </w:r>
      <w:r w:rsidR="00C65080">
        <w:t>analyses</w:t>
      </w:r>
      <w:r>
        <w:t xml:space="preserve"> the historical stock performance of four major Nifty 50 companies — TCS, Infosys, Reliance Industries, and HDFC Bank — over a </w:t>
      </w:r>
      <w:proofErr w:type="gramStart"/>
      <w:r>
        <w:t>4.5 year</w:t>
      </w:r>
      <w:proofErr w:type="gramEnd"/>
      <w:r>
        <w:t xml:space="preserve"> period from April 2020 to December 2024. The analysis covers price trends, monthly returns, volatil</w:t>
      </w:r>
      <w:r>
        <w:t>ity, and seasonal patterns to derive actionable investment insights.</w:t>
      </w:r>
    </w:p>
    <w:p w14:paraId="2FD9AB04" w14:textId="77777777" w:rsidR="00F968FC" w:rsidRDefault="00F968F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68FC" w14:paraId="773595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C828EFF" w14:textId="77777777" w:rsidR="00F968FC" w:rsidRDefault="00D26288">
            <w:r>
              <w:rPr>
                <w:b/>
                <w:bCs/>
                <w:color w:val="FFFFFF"/>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B49E9C" w14:textId="77777777" w:rsidR="00F968FC" w:rsidRDefault="00D26288">
            <w:r>
              <w:rPr>
                <w:b/>
                <w:bCs/>
                <w:color w:val="FFFFFF"/>
                <w:sz w:val="20"/>
                <w:szCs w:val="20"/>
              </w:rPr>
              <w:t>Details</w:t>
            </w:r>
          </w:p>
        </w:tc>
      </w:tr>
      <w:tr w:rsidR="00F968FC" w14:paraId="1E12F8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7E624" w14:textId="403DDBA6" w:rsidR="00F968FC" w:rsidRDefault="00D26288">
            <w:r>
              <w:rPr>
                <w:sz w:val="20"/>
                <w:szCs w:val="20"/>
              </w:rPr>
              <w:t xml:space="preserve">Companies </w:t>
            </w:r>
            <w:r w:rsidR="00D9620E">
              <w:rPr>
                <w:sz w:val="20"/>
                <w:szCs w:val="20"/>
              </w:rPr>
              <w:t>Analysed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4E6B1" w14:textId="77777777" w:rsidR="00F968FC" w:rsidRDefault="00D26288">
            <w:r>
              <w:rPr>
                <w:sz w:val="20"/>
                <w:szCs w:val="20"/>
              </w:rPr>
              <w:t>TCS, Infosys, Reliance, HDFC Bank</w:t>
            </w:r>
          </w:p>
        </w:tc>
      </w:tr>
      <w:tr w:rsidR="00F968FC" w14:paraId="554062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63AEC" w14:textId="77777777" w:rsidR="00F968FC" w:rsidRDefault="00D26288">
            <w:r>
              <w:rPr>
                <w:sz w:val="20"/>
                <w:szCs w:val="20"/>
              </w:rPr>
              <w:t>Time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59AF" w14:textId="77777777" w:rsidR="00F968FC" w:rsidRDefault="00D26288">
            <w:r>
              <w:rPr>
                <w:sz w:val="20"/>
                <w:szCs w:val="20"/>
              </w:rPr>
              <w:t>April 2020 – December 2024</w:t>
            </w:r>
          </w:p>
        </w:tc>
      </w:tr>
      <w:tr w:rsidR="00F968FC" w14:paraId="4AEE65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6C6C9" w14:textId="77777777" w:rsidR="00F968FC" w:rsidRDefault="00D26288">
            <w:r>
              <w:rPr>
                <w:sz w:val="20"/>
                <w:szCs w:val="20"/>
              </w:rPr>
              <w:t>Data Frequency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DF10" w14:textId="77777777" w:rsidR="00F968FC" w:rsidRDefault="00D26288">
            <w:r>
              <w:rPr>
                <w:sz w:val="20"/>
                <w:szCs w:val="20"/>
              </w:rPr>
              <w:t>Monthly (approx. 225 data points)</w:t>
            </w:r>
          </w:p>
        </w:tc>
      </w:tr>
      <w:tr w:rsidR="00F968FC" w14:paraId="7AECA1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73721" w14:textId="77777777" w:rsidR="00F968FC" w:rsidRDefault="00D26288">
            <w:r>
              <w:rPr>
                <w:sz w:val="20"/>
                <w:szCs w:val="20"/>
              </w:rPr>
              <w:t>Tools Used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C88D" w14:textId="77777777" w:rsidR="00F968FC" w:rsidRDefault="00D26288">
            <w:r>
              <w:rPr>
                <w:sz w:val="20"/>
                <w:szCs w:val="20"/>
              </w:rPr>
              <w:t>Microsoft Excel, Power BI</w:t>
            </w:r>
          </w:p>
        </w:tc>
      </w:tr>
      <w:tr w:rsidR="00F968FC" w14:paraId="070347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4B0CF" w14:textId="77777777" w:rsidR="00F968FC" w:rsidRDefault="00D26288">
            <w:r>
              <w:rPr>
                <w:sz w:val="20"/>
                <w:szCs w:val="20"/>
              </w:rPr>
              <w:t>Key Metrics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F268" w14:textId="77777777" w:rsidR="00F968FC" w:rsidRDefault="00D26288">
            <w:r>
              <w:rPr>
                <w:sz w:val="20"/>
                <w:szCs w:val="20"/>
              </w:rPr>
              <w:t>Close Price, Monthly Return %, Price Range, Volatility</w:t>
            </w:r>
          </w:p>
        </w:tc>
      </w:tr>
    </w:tbl>
    <w:p w14:paraId="23D1BA1F" w14:textId="77777777" w:rsidR="00F968FC" w:rsidRDefault="00F968FC">
      <w:pPr>
        <w:spacing w:before="200"/>
      </w:pPr>
    </w:p>
    <w:p w14:paraId="3FDDF680" w14:textId="77777777" w:rsidR="00F968FC" w:rsidRDefault="00F968FC">
      <w:pPr>
        <w:pBdr>
          <w:bottom w:val="single" w:sz="4" w:space="1" w:color="1A3C5E"/>
        </w:pBdr>
        <w:spacing w:before="120" w:after="120"/>
      </w:pPr>
    </w:p>
    <w:p w14:paraId="41467207" w14:textId="77777777" w:rsidR="00F968FC" w:rsidRDefault="00D26288">
      <w:pPr>
        <w:pStyle w:val="Heading1"/>
        <w:spacing w:before="240" w:after="120"/>
      </w:pPr>
      <w:r>
        <w:rPr>
          <w:b/>
          <w:bCs/>
          <w:color w:val="1A3C5E"/>
          <w:sz w:val="28"/>
          <w:szCs w:val="28"/>
        </w:rPr>
        <w:t>2. Key Findings</w:t>
      </w:r>
    </w:p>
    <w:p w14:paraId="4691551A" w14:textId="77777777" w:rsidR="00F968FC" w:rsidRDefault="00D26288">
      <w:pPr>
        <w:pStyle w:val="Heading2"/>
        <w:spacing w:before="240" w:after="120"/>
      </w:pPr>
      <w:r>
        <w:rPr>
          <w:b/>
          <w:bCs/>
          <w:color w:val="1A3C5E"/>
          <w:sz w:val="24"/>
          <w:szCs w:val="24"/>
        </w:rPr>
        <w:t>2.1 Stock Price Trend</w:t>
      </w:r>
    </w:p>
    <w:p w14:paraId="507AA920" w14:textId="77777777" w:rsidR="00F968FC" w:rsidRDefault="00D26288">
      <w:pPr>
        <w:pStyle w:val="ListParagraph"/>
        <w:numPr>
          <w:ilvl w:val="0"/>
          <w:numId w:val="2"/>
        </w:numPr>
        <w:spacing w:before="40" w:after="40"/>
      </w:pPr>
      <w:r>
        <w:rPr>
          <w:b/>
          <w:bCs/>
        </w:rPr>
        <w:t>All 4 companies showed strong upward price trends from 2020 to 2024 — reflecting India's post-COVID economic recovery</w:t>
      </w:r>
    </w:p>
    <w:p w14:paraId="0CB712EF" w14:textId="77777777" w:rsidR="00F968FC" w:rsidRDefault="00D26288">
      <w:pPr>
        <w:pStyle w:val="ListParagraph"/>
        <w:numPr>
          <w:ilvl w:val="0"/>
          <w:numId w:val="2"/>
        </w:numPr>
        <w:spacing w:before="40" w:after="40"/>
      </w:pPr>
      <w:r>
        <w:t>TCS consistently traded at the highest price levels throughout the period — averaging ₹3,330 per share</w:t>
      </w:r>
    </w:p>
    <w:p w14:paraId="665E1A49" w14:textId="77777777" w:rsidR="00F968FC" w:rsidRDefault="00D26288">
      <w:pPr>
        <w:pStyle w:val="ListParagraph"/>
        <w:numPr>
          <w:ilvl w:val="0"/>
          <w:numId w:val="2"/>
        </w:numPr>
        <w:spacing w:before="40" w:after="40"/>
      </w:pPr>
      <w:r>
        <w:t>Infosys and Reliance showed steady growth with moderate price levels</w:t>
      </w:r>
    </w:p>
    <w:p w14:paraId="43235CF4" w14:textId="77777777" w:rsidR="00F968FC" w:rsidRDefault="00D26288">
      <w:pPr>
        <w:pStyle w:val="ListParagraph"/>
        <w:numPr>
          <w:ilvl w:val="0"/>
          <w:numId w:val="2"/>
        </w:numPr>
        <w:spacing w:before="40" w:after="40"/>
      </w:pPr>
      <w:r>
        <w:t>HDFC Bank traded at the lowest average price of ₹740 among the four — but showed con</w:t>
      </w:r>
      <w:r>
        <w:t>sistent growth</w:t>
      </w:r>
    </w:p>
    <w:p w14:paraId="3EB1CED6" w14:textId="77777777" w:rsidR="00F968FC" w:rsidRDefault="00D26288">
      <w:pPr>
        <w:pStyle w:val="ListParagraph"/>
        <w:numPr>
          <w:ilvl w:val="0"/>
          <w:numId w:val="2"/>
        </w:numPr>
        <w:spacing w:before="40" w:after="40"/>
      </w:pPr>
      <w:r>
        <w:t>The COVID crash of April 2020 is clearly visible as the starting low point for all companies</w:t>
      </w:r>
    </w:p>
    <w:p w14:paraId="4658CB8C" w14:textId="77777777" w:rsidR="00F968FC" w:rsidRDefault="00F968FC">
      <w:pPr>
        <w:spacing w:before="120"/>
      </w:pPr>
    </w:p>
    <w:p w14:paraId="57859199" w14:textId="77777777" w:rsidR="00F968FC" w:rsidRDefault="00D26288">
      <w:pPr>
        <w:pStyle w:val="Heading2"/>
        <w:spacing w:before="240" w:after="120"/>
      </w:pPr>
      <w:r>
        <w:rPr>
          <w:b/>
          <w:bCs/>
          <w:color w:val="1A3C5E"/>
          <w:sz w:val="24"/>
          <w:szCs w:val="24"/>
        </w:rPr>
        <w:t>2.2 Monthly Returns Analysis</w:t>
      </w:r>
    </w:p>
    <w:p w14:paraId="3A2F8F52" w14:textId="77777777" w:rsidR="00F968FC" w:rsidRDefault="00D26288">
      <w:pPr>
        <w:pStyle w:val="ListParagraph"/>
        <w:numPr>
          <w:ilvl w:val="0"/>
          <w:numId w:val="2"/>
        </w:numPr>
        <w:spacing w:before="40" w:after="40"/>
      </w:pPr>
      <w:r>
        <w:rPr>
          <w:b/>
          <w:bCs/>
        </w:rPr>
        <w:t>Infosys delivered the best average monthly returns among all four companies</w:t>
      </w:r>
    </w:p>
    <w:p w14:paraId="4D9A167A" w14:textId="77777777" w:rsidR="00F968FC" w:rsidRDefault="00D26288">
      <w:pPr>
        <w:pStyle w:val="ListParagraph"/>
        <w:numPr>
          <w:ilvl w:val="0"/>
          <w:numId w:val="2"/>
        </w:numPr>
        <w:spacing w:before="40" w:after="40"/>
      </w:pPr>
      <w:r>
        <w:lastRenderedPageBreak/>
        <w:t xml:space="preserve">Overall average monthly return across all </w:t>
      </w:r>
      <w:r>
        <w:t xml:space="preserve">companies was 1.33% — indicating healthy </w:t>
      </w:r>
      <w:proofErr w:type="gramStart"/>
      <w:r>
        <w:t>long term</w:t>
      </w:r>
      <w:proofErr w:type="gramEnd"/>
      <w:r>
        <w:t xml:space="preserve"> growth</w:t>
      </w:r>
    </w:p>
    <w:p w14:paraId="2B5D306C" w14:textId="77777777" w:rsidR="00F968FC" w:rsidRDefault="00D26288">
      <w:pPr>
        <w:pStyle w:val="ListParagraph"/>
        <w:numPr>
          <w:ilvl w:val="0"/>
          <w:numId w:val="2"/>
        </w:numPr>
        <w:spacing w:before="40" w:after="40"/>
      </w:pPr>
      <w:r>
        <w:t>IT sector stocks (TCS and Infosys) outperformed BFSI stocks (HDFC) on return metrics</w:t>
      </w:r>
    </w:p>
    <w:p w14:paraId="31175A81" w14:textId="77777777" w:rsidR="00F968FC" w:rsidRDefault="00D26288">
      <w:pPr>
        <w:pStyle w:val="ListParagraph"/>
        <w:numPr>
          <w:ilvl w:val="0"/>
          <w:numId w:val="2"/>
        </w:numPr>
        <w:spacing w:before="40" w:after="40"/>
      </w:pPr>
      <w:r>
        <w:t>Reliance showed moderate but consistent monthly returns driven by diversified business segments</w:t>
      </w:r>
    </w:p>
    <w:p w14:paraId="67F7D456" w14:textId="77777777" w:rsidR="00F968FC" w:rsidRDefault="00F968FC">
      <w:pPr>
        <w:spacing w:before="120"/>
      </w:pPr>
    </w:p>
    <w:p w14:paraId="2999E067" w14:textId="77777777" w:rsidR="00F968FC" w:rsidRDefault="00D26288">
      <w:pPr>
        <w:pStyle w:val="Heading2"/>
        <w:spacing w:before="240" w:after="120"/>
      </w:pPr>
      <w:r>
        <w:rPr>
          <w:b/>
          <w:bCs/>
          <w:color w:val="1A3C5E"/>
          <w:sz w:val="24"/>
          <w:szCs w:val="24"/>
        </w:rPr>
        <w:t>2.3 Volatility A</w:t>
      </w:r>
      <w:r>
        <w:rPr>
          <w:b/>
          <w:bCs/>
          <w:color w:val="1A3C5E"/>
          <w:sz w:val="24"/>
          <w:szCs w:val="24"/>
        </w:rPr>
        <w:t>nalysis</w:t>
      </w:r>
    </w:p>
    <w:p w14:paraId="0F429E3F" w14:textId="77777777" w:rsidR="00F968FC" w:rsidRDefault="00D26288">
      <w:pPr>
        <w:pStyle w:val="ListParagraph"/>
        <w:numPr>
          <w:ilvl w:val="0"/>
          <w:numId w:val="2"/>
        </w:numPr>
        <w:spacing w:before="40" w:after="40"/>
      </w:pPr>
      <w:r>
        <w:rPr>
          <w:b/>
          <w:bCs/>
        </w:rPr>
        <w:t>TCS showed the highest absolute price range — most volatile in rupee terms due to high share price</w:t>
      </w:r>
    </w:p>
    <w:p w14:paraId="09BD8DAA" w14:textId="77777777" w:rsidR="00F968FC" w:rsidRDefault="00D26288">
      <w:pPr>
        <w:pStyle w:val="ListParagraph"/>
        <w:numPr>
          <w:ilvl w:val="0"/>
          <w:numId w:val="2"/>
        </w:numPr>
        <w:spacing w:before="40" w:after="40"/>
      </w:pPr>
      <w:r>
        <w:t>HDFC Bank showed the lowest absolute price range — most stable in rupee terms</w:t>
      </w:r>
    </w:p>
    <w:p w14:paraId="47F05DC4" w14:textId="77777777" w:rsidR="00F968FC" w:rsidRDefault="00D26288">
      <w:pPr>
        <w:pStyle w:val="ListParagraph"/>
        <w:numPr>
          <w:ilvl w:val="0"/>
          <w:numId w:val="2"/>
        </w:numPr>
        <w:spacing w:before="40" w:after="40"/>
      </w:pPr>
      <w:r>
        <w:t>Higher volatility in TCS and Infosys presents both higher risk and high</w:t>
      </w:r>
      <w:r>
        <w:t>er return opportunity for traders</w:t>
      </w:r>
    </w:p>
    <w:p w14:paraId="6B4A0C15" w14:textId="53EC4C7E" w:rsidR="00F968FC" w:rsidRDefault="00D26288">
      <w:pPr>
        <w:pStyle w:val="ListParagraph"/>
        <w:numPr>
          <w:ilvl w:val="0"/>
          <w:numId w:val="2"/>
        </w:numPr>
        <w:spacing w:before="40" w:after="40"/>
      </w:pPr>
      <w:r>
        <w:t xml:space="preserve">HDFC Bank suits conservative </w:t>
      </w:r>
      <w:r w:rsidR="00C65080">
        <w:t>long-term</w:t>
      </w:r>
      <w:r>
        <w:t xml:space="preserve"> investors due to lower price volatility</w:t>
      </w:r>
    </w:p>
    <w:p w14:paraId="12BE6057" w14:textId="77777777" w:rsidR="00F968FC" w:rsidRDefault="00F968FC">
      <w:pPr>
        <w:spacing w:before="120"/>
      </w:pPr>
    </w:p>
    <w:p w14:paraId="2C82B3DC" w14:textId="77777777" w:rsidR="00F968FC" w:rsidRDefault="00D26288">
      <w:pPr>
        <w:pStyle w:val="Heading2"/>
        <w:spacing w:before="240" w:after="120"/>
      </w:pPr>
      <w:r>
        <w:rPr>
          <w:b/>
          <w:bCs/>
          <w:color w:val="1A3C5E"/>
          <w:sz w:val="24"/>
          <w:szCs w:val="24"/>
        </w:rPr>
        <w:t>2.4 Seasonal Patterns</w:t>
      </w:r>
    </w:p>
    <w:p w14:paraId="2D3AD8FD" w14:textId="77777777" w:rsidR="00F968FC" w:rsidRDefault="00D26288">
      <w:pPr>
        <w:pStyle w:val="ListParagraph"/>
        <w:numPr>
          <w:ilvl w:val="0"/>
          <w:numId w:val="2"/>
        </w:numPr>
        <w:spacing w:before="40" w:after="40"/>
      </w:pPr>
      <w:r>
        <w:rPr>
          <w:b/>
          <w:bCs/>
        </w:rPr>
        <w:t>July consistently showed the highest average monthly returns across all companies</w:t>
      </w:r>
    </w:p>
    <w:p w14:paraId="45A32220" w14:textId="77777777" w:rsidR="00F968FC" w:rsidRDefault="00D26288">
      <w:pPr>
        <w:pStyle w:val="ListParagraph"/>
        <w:numPr>
          <w:ilvl w:val="0"/>
          <w:numId w:val="2"/>
        </w:numPr>
        <w:spacing w:before="40" w:after="40"/>
      </w:pPr>
      <w:r>
        <w:t>April showed the lowest average monthl</w:t>
      </w:r>
      <w:r>
        <w:t>y returns — driven by COVID crash in April 2020</w:t>
      </w:r>
    </w:p>
    <w:p w14:paraId="1E60F2A7" w14:textId="77777777" w:rsidR="00F968FC" w:rsidRDefault="00D26288">
      <w:pPr>
        <w:pStyle w:val="ListParagraph"/>
        <w:numPr>
          <w:ilvl w:val="0"/>
          <w:numId w:val="2"/>
        </w:numPr>
        <w:spacing w:before="40" w:after="40"/>
      </w:pPr>
      <w:r>
        <w:t>Post monsoon months (August-September) also showed strong positive returns</w:t>
      </w:r>
    </w:p>
    <w:p w14:paraId="0849C005" w14:textId="77777777" w:rsidR="00F968FC" w:rsidRDefault="00D26288">
      <w:pPr>
        <w:pStyle w:val="ListParagraph"/>
        <w:numPr>
          <w:ilvl w:val="0"/>
          <w:numId w:val="2"/>
        </w:numPr>
        <w:spacing w:before="40" w:after="40"/>
      </w:pPr>
      <w:r>
        <w:t>January and February showed relatively weak returns — typical of global FII outflow patterns</w:t>
      </w:r>
    </w:p>
    <w:p w14:paraId="10584102" w14:textId="77777777" w:rsidR="00F968FC" w:rsidRDefault="00F968FC">
      <w:pPr>
        <w:spacing w:before="200"/>
      </w:pPr>
    </w:p>
    <w:p w14:paraId="24C29E41" w14:textId="77777777" w:rsidR="00F968FC" w:rsidRDefault="00F968FC">
      <w:pPr>
        <w:pBdr>
          <w:bottom w:val="single" w:sz="4" w:space="1" w:color="1A3C5E"/>
        </w:pBdr>
        <w:spacing w:before="120" w:after="120"/>
      </w:pPr>
    </w:p>
    <w:p w14:paraId="593DE3C0" w14:textId="77777777" w:rsidR="00F968FC" w:rsidRDefault="00D26288">
      <w:pPr>
        <w:pStyle w:val="Heading1"/>
        <w:spacing w:before="240" w:after="120"/>
      </w:pPr>
      <w:r>
        <w:rPr>
          <w:b/>
          <w:bCs/>
          <w:color w:val="1A3C5E"/>
          <w:sz w:val="28"/>
          <w:szCs w:val="28"/>
        </w:rPr>
        <w:t>3. Company Performance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F968FC" w14:paraId="53E956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57292C" w14:textId="77777777" w:rsidR="00F968FC" w:rsidRDefault="00D26288">
            <w:r>
              <w:rPr>
                <w:b/>
                <w:bCs/>
                <w:color w:val="FFFFFF"/>
                <w:sz w:val="20"/>
                <w:szCs w:val="20"/>
              </w:rPr>
              <w:t>Company</w:t>
            </w:r>
          </w:p>
        </w:tc>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D35074" w14:textId="77777777" w:rsidR="00F968FC" w:rsidRDefault="00D26288">
            <w:r>
              <w:rPr>
                <w:b/>
                <w:bCs/>
                <w:color w:val="FFFFFF"/>
                <w:sz w:val="20"/>
                <w:szCs w:val="20"/>
              </w:rPr>
              <w:t>Key Strength</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DC25950" w14:textId="77777777" w:rsidR="00F968FC" w:rsidRDefault="00D26288">
            <w:r>
              <w:rPr>
                <w:b/>
                <w:bCs/>
                <w:color w:val="FFFFFF"/>
                <w:sz w:val="20"/>
                <w:szCs w:val="20"/>
              </w:rPr>
              <w:t>Best Suited For</w:t>
            </w:r>
          </w:p>
        </w:tc>
      </w:tr>
      <w:tr w:rsidR="00F968FC" w14:paraId="60BD25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5247D" w14:textId="77777777" w:rsidR="00F968FC" w:rsidRDefault="00D26288">
            <w:r>
              <w:rPr>
                <w:color w:val="000000"/>
                <w:sz w:val="20"/>
                <w:szCs w:val="20"/>
              </w:rPr>
              <w:t>TCS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59398" w14:textId="77777777" w:rsidR="00F968FC" w:rsidRDefault="00D26288">
            <w:r>
              <w:rPr>
                <w:color w:val="000000"/>
                <w:sz w:val="20"/>
                <w:szCs w:val="20"/>
              </w:rPr>
              <w:t>Highest average price — premium valuation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C134D" w14:textId="77777777" w:rsidR="00F968FC" w:rsidRDefault="00D26288">
            <w:r>
              <w:rPr>
                <w:color w:val="000000"/>
                <w:sz w:val="20"/>
                <w:szCs w:val="20"/>
              </w:rPr>
              <w:t>Growth investors with high capital</w:t>
            </w:r>
          </w:p>
        </w:tc>
      </w:tr>
      <w:tr w:rsidR="00F968FC" w14:paraId="3B987A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FDF1F" w14:textId="77777777" w:rsidR="00F968FC" w:rsidRDefault="00D26288">
            <w:r>
              <w:rPr>
                <w:color w:val="000000"/>
                <w:sz w:val="20"/>
                <w:szCs w:val="20"/>
              </w:rPr>
              <w:t>Infosys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8433" w14:textId="77777777" w:rsidR="00F968FC" w:rsidRDefault="00D26288">
            <w:r>
              <w:rPr>
                <w:color w:val="000000"/>
                <w:sz w:val="20"/>
                <w:szCs w:val="20"/>
              </w:rPr>
              <w:t>Best average monthly returns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F6D7F" w14:textId="77777777" w:rsidR="00F968FC" w:rsidRDefault="00D26288">
            <w:r>
              <w:rPr>
                <w:color w:val="000000"/>
                <w:sz w:val="20"/>
                <w:szCs w:val="20"/>
              </w:rPr>
              <w:t>Return-focused investors</w:t>
            </w:r>
          </w:p>
        </w:tc>
      </w:tr>
      <w:tr w:rsidR="00F968FC" w14:paraId="2B42E1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5DBC9" w14:textId="77777777" w:rsidR="00F968FC" w:rsidRDefault="00D26288">
            <w:r>
              <w:rPr>
                <w:color w:val="000000"/>
                <w:sz w:val="20"/>
                <w:szCs w:val="20"/>
              </w:rPr>
              <w:t>Reliance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D8A43" w14:textId="77777777" w:rsidR="00F968FC" w:rsidRDefault="00D26288">
            <w:r>
              <w:rPr>
                <w:color w:val="000000"/>
                <w:sz w:val="20"/>
                <w:szCs w:val="20"/>
              </w:rPr>
              <w:t>Diversified business — stable growth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DD075" w14:textId="77777777" w:rsidR="00F968FC" w:rsidRDefault="00D26288">
            <w:r>
              <w:rPr>
                <w:color w:val="000000"/>
                <w:sz w:val="20"/>
                <w:szCs w:val="20"/>
              </w:rPr>
              <w:t>Long term wealth creation</w:t>
            </w:r>
          </w:p>
        </w:tc>
      </w:tr>
      <w:tr w:rsidR="00F968FC" w14:paraId="23FC11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2C963" w14:textId="77777777" w:rsidR="00F968FC" w:rsidRDefault="00D26288">
            <w:r>
              <w:rPr>
                <w:color w:val="000000"/>
                <w:sz w:val="20"/>
                <w:szCs w:val="20"/>
              </w:rPr>
              <w:t>HDFC Bank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4A91E" w14:textId="77777777" w:rsidR="00F968FC" w:rsidRDefault="00D26288">
            <w:r>
              <w:rPr>
                <w:color w:val="000000"/>
                <w:sz w:val="20"/>
                <w:szCs w:val="20"/>
              </w:rPr>
              <w:t>Lowest volatility — most stable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8A8AE" w14:textId="77777777" w:rsidR="00F968FC" w:rsidRDefault="00D26288">
            <w:r>
              <w:rPr>
                <w:color w:val="000000"/>
                <w:sz w:val="20"/>
                <w:szCs w:val="20"/>
              </w:rPr>
              <w:t>Conservative/defensive investors</w:t>
            </w:r>
          </w:p>
        </w:tc>
      </w:tr>
    </w:tbl>
    <w:p w14:paraId="183ED3FF" w14:textId="77777777" w:rsidR="00F968FC" w:rsidRDefault="00F968FC">
      <w:pPr>
        <w:spacing w:before="200"/>
      </w:pPr>
    </w:p>
    <w:p w14:paraId="3D578F51" w14:textId="77777777" w:rsidR="00F968FC" w:rsidRDefault="00F968FC">
      <w:pPr>
        <w:pBdr>
          <w:bottom w:val="single" w:sz="4" w:space="1" w:color="1A3C5E"/>
        </w:pBdr>
        <w:spacing w:before="120" w:after="120"/>
      </w:pPr>
    </w:p>
    <w:p w14:paraId="6321DA4F" w14:textId="77777777" w:rsidR="00F968FC" w:rsidRDefault="00D26288">
      <w:pPr>
        <w:pStyle w:val="Heading1"/>
        <w:spacing w:before="240" w:after="120"/>
      </w:pPr>
      <w:r>
        <w:rPr>
          <w:b/>
          <w:bCs/>
          <w:color w:val="1A3C5E"/>
          <w:sz w:val="28"/>
          <w:szCs w:val="28"/>
        </w:rPr>
        <w:t>4. Investment Recommendations</w:t>
      </w:r>
    </w:p>
    <w:p w14:paraId="24C0F845" w14:textId="77777777" w:rsidR="00F968FC" w:rsidRDefault="00D26288">
      <w:pPr>
        <w:pStyle w:val="ListParagraph"/>
        <w:numPr>
          <w:ilvl w:val="0"/>
          <w:numId w:val="2"/>
        </w:numPr>
        <w:spacing w:before="40" w:after="40"/>
      </w:pPr>
      <w:r>
        <w:rPr>
          <w:b/>
          <w:bCs/>
        </w:rPr>
        <w:t>Accumulate positions in January and February dips — data shows these are historically weak months, creating buying opportunities</w:t>
      </w:r>
    </w:p>
    <w:p w14:paraId="1A01344E" w14:textId="77777777" w:rsidR="00F968FC" w:rsidRDefault="00D26288">
      <w:pPr>
        <w:pStyle w:val="ListParagraph"/>
        <w:numPr>
          <w:ilvl w:val="0"/>
          <w:numId w:val="2"/>
        </w:numPr>
        <w:spacing w:before="40" w:after="40"/>
      </w:pPr>
      <w:r>
        <w:lastRenderedPageBreak/>
        <w:t>Consider booking partial profits in July — consistently the strongest month across all four stock</w:t>
      </w:r>
      <w:r>
        <w:t>s</w:t>
      </w:r>
    </w:p>
    <w:p w14:paraId="3B404185" w14:textId="77777777" w:rsidR="00F968FC" w:rsidRDefault="00D26288">
      <w:pPr>
        <w:pStyle w:val="ListParagraph"/>
        <w:numPr>
          <w:ilvl w:val="0"/>
          <w:numId w:val="2"/>
        </w:numPr>
        <w:spacing w:before="40" w:after="40"/>
      </w:pPr>
      <w:r>
        <w:t>Infosys offers the best risk-adjusted returns for investors seeking consistent monthly gains</w:t>
      </w:r>
    </w:p>
    <w:p w14:paraId="2B1E5319" w14:textId="77777777" w:rsidR="00F968FC" w:rsidRDefault="00D26288">
      <w:pPr>
        <w:pStyle w:val="ListParagraph"/>
        <w:numPr>
          <w:ilvl w:val="0"/>
          <w:numId w:val="2"/>
        </w:numPr>
        <w:spacing w:before="40" w:after="40"/>
      </w:pPr>
      <w:r>
        <w:t>TCS is the benchmark stock for IT sector exposure — suitable for long term portfolio anchoring</w:t>
      </w:r>
    </w:p>
    <w:p w14:paraId="4566C05F" w14:textId="77777777" w:rsidR="00F968FC" w:rsidRDefault="00D26288">
      <w:pPr>
        <w:pStyle w:val="ListParagraph"/>
        <w:numPr>
          <w:ilvl w:val="0"/>
          <w:numId w:val="2"/>
        </w:numPr>
        <w:spacing w:before="40" w:after="40"/>
      </w:pPr>
      <w:r>
        <w:t>HDFC Bank provides defensive stability during market downturns — i</w:t>
      </w:r>
      <w:r>
        <w:t>deal for portfolio risk balancing</w:t>
      </w:r>
    </w:p>
    <w:p w14:paraId="11EED1A2" w14:textId="77777777" w:rsidR="00F968FC" w:rsidRDefault="00D26288">
      <w:pPr>
        <w:pStyle w:val="ListParagraph"/>
        <w:numPr>
          <w:ilvl w:val="0"/>
          <w:numId w:val="2"/>
        </w:numPr>
        <w:spacing w:before="40" w:after="40"/>
      </w:pPr>
      <w:r>
        <w:t>Reliance Industries acts as a market proxy — moves broadly in line with overall Nifty 50 sentiment</w:t>
      </w:r>
    </w:p>
    <w:p w14:paraId="11ECF485" w14:textId="77777777" w:rsidR="00F968FC" w:rsidRDefault="00F968FC">
      <w:pPr>
        <w:spacing w:before="200"/>
      </w:pPr>
    </w:p>
    <w:p w14:paraId="4A6D3C6D" w14:textId="77777777" w:rsidR="00F968FC" w:rsidRDefault="00F968FC">
      <w:pPr>
        <w:pBdr>
          <w:bottom w:val="single" w:sz="4" w:space="1" w:color="1A3C5E"/>
        </w:pBdr>
        <w:spacing w:before="120" w:after="120"/>
      </w:pPr>
    </w:p>
    <w:p w14:paraId="5BB3FE95" w14:textId="77777777" w:rsidR="00F968FC" w:rsidRDefault="00D26288">
      <w:pPr>
        <w:pStyle w:val="Heading1"/>
        <w:spacing w:before="240" w:after="120"/>
      </w:pPr>
      <w:r>
        <w:rPr>
          <w:b/>
          <w:bCs/>
          <w:color w:val="1A3C5E"/>
          <w:sz w:val="28"/>
          <w:szCs w:val="28"/>
        </w:rPr>
        <w:t>5. Conclusion</w:t>
      </w:r>
    </w:p>
    <w:p w14:paraId="233A83EE" w14:textId="77777777" w:rsidR="00F968FC" w:rsidRDefault="00D26288">
      <w:pPr>
        <w:spacing w:before="60" w:after="60"/>
      </w:pPr>
      <w:r>
        <w:t>This analysis demonstrates that all four Nifty 50 companies delivered strong long term returns between 2020</w:t>
      </w:r>
      <w:r>
        <w:t xml:space="preserve"> and 2024, recovering strongly from the COVID crash. The IT sector (TCS and Infosys) outperformed on returns while HDFC Bank offered stability. Seasonal patterns show clear buying opportunities in early calendar year months and profit-taking opportunities </w:t>
      </w:r>
      <w:r>
        <w:t>in July.</w:t>
      </w:r>
    </w:p>
    <w:p w14:paraId="16E40739" w14:textId="77777777" w:rsidR="00F968FC" w:rsidRDefault="00F968FC">
      <w:pPr>
        <w:spacing w:before="80"/>
      </w:pPr>
    </w:p>
    <w:p w14:paraId="44F5CD4E" w14:textId="77777777" w:rsidR="00F968FC" w:rsidRDefault="00D26288">
      <w:pPr>
        <w:spacing w:before="60" w:after="60"/>
      </w:pPr>
      <w:r>
        <w:t>A diversified portfolio combining Infosys for returns, HDFC Bank for stability, and TCS for growth would have delivered optimal risk-adjusted performance over this period.</w:t>
      </w:r>
    </w:p>
    <w:p w14:paraId="24D1FAA3" w14:textId="77777777" w:rsidR="00F968FC" w:rsidRDefault="00F968FC">
      <w:pPr>
        <w:spacing w:before="200"/>
      </w:pPr>
    </w:p>
    <w:p w14:paraId="2688F5C4" w14:textId="77777777" w:rsidR="00F968FC" w:rsidRDefault="00F968FC">
      <w:pPr>
        <w:pBdr>
          <w:bottom w:val="single" w:sz="4" w:space="1" w:color="1A3C5E"/>
        </w:pBdr>
        <w:spacing w:before="120" w:after="120"/>
      </w:pPr>
    </w:p>
    <w:p w14:paraId="6F491CAB" w14:textId="77777777" w:rsidR="00F968FC" w:rsidRDefault="00D26288">
      <w:pPr>
        <w:spacing w:before="120"/>
        <w:jc w:val="center"/>
      </w:pPr>
      <w:r>
        <w:rPr>
          <w:color w:val="888888"/>
          <w:sz w:val="18"/>
          <w:szCs w:val="18"/>
        </w:rPr>
        <w:t xml:space="preserve">Vivek Singh </w:t>
      </w:r>
      <w:proofErr w:type="gramStart"/>
      <w:r>
        <w:rPr>
          <w:color w:val="888888"/>
          <w:sz w:val="18"/>
          <w:szCs w:val="18"/>
        </w:rPr>
        <w:t>Chandel  |</w:t>
      </w:r>
      <w:proofErr w:type="gramEnd"/>
      <w:r>
        <w:rPr>
          <w:color w:val="888888"/>
          <w:sz w:val="18"/>
          <w:szCs w:val="18"/>
        </w:rPr>
        <w:t xml:space="preserve">  vivekschandel7@gmail.com  |  linkedin.com/in/viv</w:t>
      </w:r>
      <w:r>
        <w:rPr>
          <w:color w:val="888888"/>
          <w:sz w:val="18"/>
          <w:szCs w:val="18"/>
        </w:rPr>
        <w:t>eksinghchandel</w:t>
      </w:r>
    </w:p>
    <w:sectPr w:rsidR="00F968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94AB2"/>
    <w:multiLevelType w:val="hybridMultilevel"/>
    <w:tmpl w:val="80968A7A"/>
    <w:lvl w:ilvl="0" w:tplc="CD86089A">
      <w:start w:val="1"/>
      <w:numFmt w:val="bullet"/>
      <w:lvlText w:val="●"/>
      <w:lvlJc w:val="left"/>
      <w:pPr>
        <w:ind w:left="720" w:hanging="360"/>
      </w:pPr>
    </w:lvl>
    <w:lvl w:ilvl="1" w:tplc="769A93AA">
      <w:start w:val="1"/>
      <w:numFmt w:val="bullet"/>
      <w:lvlText w:val="○"/>
      <w:lvlJc w:val="left"/>
      <w:pPr>
        <w:ind w:left="1440" w:hanging="360"/>
      </w:pPr>
    </w:lvl>
    <w:lvl w:ilvl="2" w:tplc="7D1E728A">
      <w:start w:val="1"/>
      <w:numFmt w:val="bullet"/>
      <w:lvlText w:val="■"/>
      <w:lvlJc w:val="left"/>
      <w:pPr>
        <w:ind w:left="2160" w:hanging="360"/>
      </w:pPr>
    </w:lvl>
    <w:lvl w:ilvl="3" w:tplc="80BE5DA2">
      <w:start w:val="1"/>
      <w:numFmt w:val="bullet"/>
      <w:lvlText w:val="●"/>
      <w:lvlJc w:val="left"/>
      <w:pPr>
        <w:ind w:left="2880" w:hanging="360"/>
      </w:pPr>
    </w:lvl>
    <w:lvl w:ilvl="4" w:tplc="A65E0AEE">
      <w:start w:val="1"/>
      <w:numFmt w:val="bullet"/>
      <w:lvlText w:val="○"/>
      <w:lvlJc w:val="left"/>
      <w:pPr>
        <w:ind w:left="3600" w:hanging="360"/>
      </w:pPr>
    </w:lvl>
    <w:lvl w:ilvl="5" w:tplc="AE464770">
      <w:start w:val="1"/>
      <w:numFmt w:val="bullet"/>
      <w:lvlText w:val="■"/>
      <w:lvlJc w:val="left"/>
      <w:pPr>
        <w:ind w:left="4320" w:hanging="360"/>
      </w:pPr>
    </w:lvl>
    <w:lvl w:ilvl="6" w:tplc="E14EEFC6">
      <w:start w:val="1"/>
      <w:numFmt w:val="bullet"/>
      <w:lvlText w:val="●"/>
      <w:lvlJc w:val="left"/>
      <w:pPr>
        <w:ind w:left="5040" w:hanging="360"/>
      </w:pPr>
    </w:lvl>
    <w:lvl w:ilvl="7" w:tplc="0D3CF10A">
      <w:start w:val="1"/>
      <w:numFmt w:val="bullet"/>
      <w:lvlText w:val="●"/>
      <w:lvlJc w:val="left"/>
      <w:pPr>
        <w:ind w:left="5760" w:hanging="360"/>
      </w:pPr>
    </w:lvl>
    <w:lvl w:ilvl="8" w:tplc="91F6379C">
      <w:start w:val="1"/>
      <w:numFmt w:val="bullet"/>
      <w:lvlText w:val="●"/>
      <w:lvlJc w:val="left"/>
      <w:pPr>
        <w:ind w:left="6480" w:hanging="360"/>
      </w:pPr>
    </w:lvl>
  </w:abstractNum>
  <w:abstractNum w:abstractNumId="1" w15:restartNumberingAfterBreak="0">
    <w:nsid w:val="65437934"/>
    <w:multiLevelType w:val="hybridMultilevel"/>
    <w:tmpl w:val="05CA7276"/>
    <w:lvl w:ilvl="0" w:tplc="8118F28C">
      <w:start w:val="1"/>
      <w:numFmt w:val="bullet"/>
      <w:lvlText w:val="•"/>
      <w:lvlJc w:val="left"/>
      <w:pPr>
        <w:ind w:left="720" w:hanging="360"/>
      </w:pPr>
    </w:lvl>
    <w:lvl w:ilvl="1" w:tplc="7AE890F4">
      <w:numFmt w:val="decimal"/>
      <w:lvlText w:val=""/>
      <w:lvlJc w:val="left"/>
    </w:lvl>
    <w:lvl w:ilvl="2" w:tplc="6CD23FF8">
      <w:numFmt w:val="decimal"/>
      <w:lvlText w:val=""/>
      <w:lvlJc w:val="left"/>
    </w:lvl>
    <w:lvl w:ilvl="3" w:tplc="8048C80E">
      <w:numFmt w:val="decimal"/>
      <w:lvlText w:val=""/>
      <w:lvlJc w:val="left"/>
    </w:lvl>
    <w:lvl w:ilvl="4" w:tplc="5C185D08">
      <w:numFmt w:val="decimal"/>
      <w:lvlText w:val=""/>
      <w:lvlJc w:val="left"/>
    </w:lvl>
    <w:lvl w:ilvl="5" w:tplc="5956D57E">
      <w:numFmt w:val="decimal"/>
      <w:lvlText w:val=""/>
      <w:lvlJc w:val="left"/>
    </w:lvl>
    <w:lvl w:ilvl="6" w:tplc="C62040F6">
      <w:numFmt w:val="decimal"/>
      <w:lvlText w:val=""/>
      <w:lvlJc w:val="left"/>
    </w:lvl>
    <w:lvl w:ilvl="7" w:tplc="6816706E">
      <w:numFmt w:val="decimal"/>
      <w:lvlText w:val=""/>
      <w:lvlJc w:val="left"/>
    </w:lvl>
    <w:lvl w:ilvl="8" w:tplc="99968B0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8FC"/>
    <w:rsid w:val="008F77AB"/>
    <w:rsid w:val="00B92882"/>
    <w:rsid w:val="00C65080"/>
    <w:rsid w:val="00D26288"/>
    <w:rsid w:val="00D9620E"/>
    <w:rsid w:val="00F9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1985"/>
  <w15:docId w15:val="{19803853-820D-4C04-9243-7F9B9121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9</cp:revision>
  <dcterms:created xsi:type="dcterms:W3CDTF">2026-04-30T12:10:00Z</dcterms:created>
  <dcterms:modified xsi:type="dcterms:W3CDTF">2026-04-30T18:57:00Z</dcterms:modified>
</cp:coreProperties>
</file>