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B1CB" w14:textId="77777777" w:rsidR="000D57D7" w:rsidRDefault="000D57D7" w:rsidP="00FF4C6B">
      <w:pPr>
        <w:jc w:val="center"/>
      </w:pPr>
      <w:r>
        <w:rPr>
          <w:noProof/>
          <w:sz w:val="20"/>
        </w:rPr>
        <w:drawing>
          <wp:inline distT="0" distB="0" distL="0" distR="0" wp14:anchorId="263FE93E" wp14:editId="7CE3AE03">
            <wp:extent cx="4964496" cy="1828800"/>
            <wp:effectExtent l="0" t="0" r="7620" b="0"/>
            <wp:docPr id="1" name="Image 1" descr="VIT new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IT new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6530" cy="18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0BBF" w14:textId="77777777" w:rsidR="000D57D7" w:rsidRDefault="000D57D7" w:rsidP="007020ED">
      <w:pPr>
        <w:rPr>
          <w:rFonts w:ascii="Bierstadt" w:hAnsi="Bierstadt"/>
          <w:b/>
          <w:bCs/>
          <w:sz w:val="32"/>
          <w:szCs w:val="32"/>
        </w:rPr>
      </w:pPr>
    </w:p>
    <w:p w14:paraId="554D838A" w14:textId="77777777" w:rsidR="000D57D7" w:rsidRPr="00F95400" w:rsidRDefault="000D57D7" w:rsidP="000D57D7">
      <w:pPr>
        <w:jc w:val="center"/>
        <w:rPr>
          <w:rFonts w:ascii="Bierstadt" w:hAnsi="Bierstadt"/>
          <w:b/>
          <w:bCs/>
          <w:sz w:val="40"/>
          <w:szCs w:val="40"/>
        </w:rPr>
      </w:pPr>
      <w:r w:rsidRPr="00F95400">
        <w:rPr>
          <w:rFonts w:ascii="Bierstadt" w:hAnsi="Bierstadt"/>
          <w:b/>
          <w:bCs/>
          <w:sz w:val="40"/>
          <w:szCs w:val="40"/>
        </w:rPr>
        <w:t>School of Computer Science Engineering and Information Systems (SCORE)</w:t>
      </w:r>
    </w:p>
    <w:p w14:paraId="19BC2737" w14:textId="56F78F9B" w:rsidR="000D57D7" w:rsidRPr="00F95400" w:rsidRDefault="000D57D7" w:rsidP="000D57D7">
      <w:pPr>
        <w:jc w:val="center"/>
        <w:rPr>
          <w:rFonts w:ascii="Bierstadt" w:hAnsi="Bierstadt"/>
          <w:b/>
          <w:bCs/>
          <w:sz w:val="40"/>
          <w:szCs w:val="40"/>
        </w:rPr>
      </w:pPr>
      <w:r w:rsidRPr="00F95400">
        <w:rPr>
          <w:rFonts w:ascii="Bierstadt" w:hAnsi="Bierstadt"/>
          <w:b/>
          <w:bCs/>
          <w:sz w:val="40"/>
          <w:szCs w:val="40"/>
        </w:rPr>
        <w:t>Fall Semester (202</w:t>
      </w:r>
      <w:r w:rsidR="001012C4">
        <w:rPr>
          <w:rFonts w:ascii="Bierstadt" w:hAnsi="Bierstadt"/>
          <w:b/>
          <w:bCs/>
          <w:sz w:val="40"/>
          <w:szCs w:val="40"/>
        </w:rPr>
        <w:t>6</w:t>
      </w:r>
      <w:r w:rsidRPr="00F95400">
        <w:rPr>
          <w:rFonts w:ascii="Bierstadt" w:hAnsi="Bierstadt"/>
          <w:b/>
          <w:bCs/>
          <w:sz w:val="40"/>
          <w:szCs w:val="40"/>
        </w:rPr>
        <w:t>-202</w:t>
      </w:r>
      <w:r w:rsidR="001012C4">
        <w:rPr>
          <w:rFonts w:ascii="Bierstadt" w:hAnsi="Bierstadt"/>
          <w:b/>
          <w:bCs/>
          <w:sz w:val="40"/>
          <w:szCs w:val="40"/>
        </w:rPr>
        <w:t>7</w:t>
      </w:r>
      <w:r w:rsidRPr="00F95400">
        <w:rPr>
          <w:rFonts w:ascii="Bierstadt" w:hAnsi="Bierstadt"/>
          <w:b/>
          <w:bCs/>
          <w:sz w:val="40"/>
          <w:szCs w:val="40"/>
        </w:rPr>
        <w:t>)</w:t>
      </w:r>
    </w:p>
    <w:p w14:paraId="623939E7" w14:textId="77777777" w:rsidR="000D57D7" w:rsidRDefault="000D57D7" w:rsidP="000D57D7">
      <w:pPr>
        <w:jc w:val="center"/>
        <w:rPr>
          <w:rFonts w:ascii="Bierstadt" w:hAnsi="Bierstadt"/>
          <w:b/>
          <w:bCs/>
          <w:sz w:val="32"/>
          <w:szCs w:val="32"/>
        </w:rPr>
      </w:pPr>
    </w:p>
    <w:p w14:paraId="486F335A" w14:textId="77777777" w:rsidR="000D57D7" w:rsidRPr="00FD697C" w:rsidRDefault="000D57D7" w:rsidP="000D57D7">
      <w:pPr>
        <w:jc w:val="center"/>
        <w:rPr>
          <w:rFonts w:ascii="Bierstadt" w:hAnsi="Bierstadt"/>
          <w:b/>
          <w:bCs/>
          <w:sz w:val="32"/>
          <w:szCs w:val="32"/>
        </w:rPr>
      </w:pPr>
    </w:p>
    <w:p w14:paraId="6D11D4C4" w14:textId="77777777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Programme/Branch: Integrated M.Tech. Software Engineering </w:t>
      </w:r>
    </w:p>
    <w:p w14:paraId="601C5192" w14:textId="3807FE14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>Course:</w:t>
      </w:r>
      <w:r w:rsidR="00C33B12">
        <w:rPr>
          <w:rFonts w:ascii="Bierstadt" w:hAnsi="Bierstadt"/>
          <w:b/>
          <w:bCs/>
          <w:sz w:val="32"/>
          <w:szCs w:val="32"/>
        </w:rPr>
        <w:t xml:space="preserve"> Software Metrics</w:t>
      </w:r>
      <w:r>
        <w:rPr>
          <w:rFonts w:ascii="Bierstadt" w:hAnsi="Bierstadt"/>
          <w:b/>
          <w:bCs/>
          <w:sz w:val="32"/>
          <w:szCs w:val="32"/>
        </w:rPr>
        <w:t xml:space="preserve"> - TH</w:t>
      </w:r>
      <w:r w:rsidRPr="00FD697C">
        <w:rPr>
          <w:rFonts w:ascii="Bierstadt" w:hAnsi="Bierstadt"/>
          <w:b/>
          <w:bCs/>
          <w:sz w:val="32"/>
          <w:szCs w:val="32"/>
        </w:rPr>
        <w:t xml:space="preserve"> (ISWE</w:t>
      </w:r>
      <w:r w:rsidR="00C33B12">
        <w:rPr>
          <w:rFonts w:ascii="Bierstadt" w:hAnsi="Bierstadt"/>
          <w:b/>
          <w:bCs/>
          <w:sz w:val="32"/>
          <w:szCs w:val="32"/>
        </w:rPr>
        <w:t>402</w:t>
      </w:r>
      <w:r w:rsidRPr="00FD697C">
        <w:rPr>
          <w:rFonts w:ascii="Bierstadt" w:hAnsi="Bierstadt"/>
          <w:b/>
          <w:bCs/>
          <w:sz w:val="32"/>
          <w:szCs w:val="32"/>
        </w:rPr>
        <w:t>L)</w:t>
      </w:r>
    </w:p>
    <w:p w14:paraId="39723D4F" w14:textId="33E7755E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Slot: </w:t>
      </w:r>
      <w:r w:rsidR="00C33B12">
        <w:rPr>
          <w:rFonts w:ascii="Bierstadt" w:hAnsi="Bierstadt"/>
          <w:b/>
          <w:bCs/>
          <w:sz w:val="32"/>
          <w:szCs w:val="32"/>
        </w:rPr>
        <w:t>B2</w:t>
      </w:r>
      <w:r w:rsidRPr="00FD697C">
        <w:rPr>
          <w:rFonts w:ascii="Bierstadt" w:hAnsi="Bierstadt"/>
          <w:b/>
          <w:bCs/>
          <w:sz w:val="32"/>
          <w:szCs w:val="32"/>
        </w:rPr>
        <w:t>+T</w:t>
      </w:r>
      <w:r w:rsidR="00C33B12">
        <w:rPr>
          <w:rFonts w:ascii="Bierstadt" w:hAnsi="Bierstadt"/>
          <w:b/>
          <w:bCs/>
          <w:sz w:val="32"/>
          <w:szCs w:val="32"/>
        </w:rPr>
        <w:t>B2</w:t>
      </w:r>
    </w:p>
    <w:p w14:paraId="6EA6CF6C" w14:textId="77777777" w:rsidR="000D57D7" w:rsidRPr="00FD697C" w:rsidRDefault="000D57D7" w:rsidP="000D57D7">
      <w:pPr>
        <w:rPr>
          <w:rFonts w:ascii="Bierstadt" w:hAnsi="Bierstadt"/>
          <w:b/>
          <w:bCs/>
          <w:sz w:val="32"/>
          <w:szCs w:val="32"/>
        </w:rPr>
      </w:pPr>
    </w:p>
    <w:p w14:paraId="10704644" w14:textId="09D3360B" w:rsidR="000D57D7" w:rsidRPr="009B5A2F" w:rsidRDefault="000D57D7" w:rsidP="00FF4C6B">
      <w:pPr>
        <w:jc w:val="center"/>
        <w:rPr>
          <w:rFonts w:ascii="Bierstadt" w:hAnsi="Bierstadt"/>
          <w:b/>
          <w:bCs/>
          <w:sz w:val="36"/>
          <w:szCs w:val="36"/>
          <w:u w:val="single"/>
        </w:rPr>
      </w:pPr>
      <w:r w:rsidRPr="009B5A2F">
        <w:rPr>
          <w:rFonts w:ascii="Bierstadt" w:hAnsi="Bierstadt"/>
          <w:b/>
          <w:bCs/>
          <w:sz w:val="36"/>
          <w:szCs w:val="36"/>
          <w:u w:val="single"/>
        </w:rPr>
        <w:t xml:space="preserve">Project Title: </w:t>
      </w:r>
      <w:r w:rsidR="009B5A2F" w:rsidRPr="009B5A2F">
        <w:rPr>
          <w:rFonts w:ascii="Bierstadt" w:hAnsi="Bierstadt"/>
          <w:b/>
          <w:bCs/>
          <w:sz w:val="36"/>
          <w:szCs w:val="36"/>
          <w:u w:val="single"/>
        </w:rPr>
        <w:t xml:space="preserve">Trust-Aware Explainable AI Framework for Stroke Risk </w:t>
      </w:r>
      <w:r w:rsidR="00BA4995">
        <w:rPr>
          <w:rFonts w:ascii="Bierstadt" w:hAnsi="Bierstadt"/>
          <w:b/>
          <w:bCs/>
          <w:sz w:val="36"/>
          <w:szCs w:val="36"/>
          <w:u w:val="single"/>
        </w:rPr>
        <w:t>Assessment</w:t>
      </w:r>
    </w:p>
    <w:p w14:paraId="27545B03" w14:textId="77777777" w:rsidR="00EC1DB0" w:rsidRPr="00EC1DB0" w:rsidRDefault="00EC1DB0" w:rsidP="00FF4C6B">
      <w:pPr>
        <w:jc w:val="center"/>
        <w:rPr>
          <w:rFonts w:ascii="Bierstadt" w:hAnsi="Bierstadt"/>
          <w:b/>
          <w:bCs/>
          <w:sz w:val="40"/>
          <w:szCs w:val="40"/>
          <w:u w:val="single"/>
        </w:rPr>
      </w:pPr>
    </w:p>
    <w:p w14:paraId="3E446510" w14:textId="491EFA2C" w:rsidR="000D57D7" w:rsidRPr="00FD697C" w:rsidRDefault="000D57D7" w:rsidP="000D57D7">
      <w:pPr>
        <w:ind w:left="720"/>
        <w:rPr>
          <w:rFonts w:ascii="Bierstadt" w:hAnsi="Bierstadt"/>
          <w:b/>
          <w:bCs/>
          <w:sz w:val="32"/>
          <w:szCs w:val="32"/>
        </w:rPr>
      </w:pPr>
      <w:r w:rsidRPr="00FD697C">
        <w:rPr>
          <w:rFonts w:ascii="Bierstadt" w:hAnsi="Bierstadt"/>
          <w:b/>
          <w:bCs/>
          <w:sz w:val="32"/>
          <w:szCs w:val="32"/>
        </w:rPr>
        <w:t xml:space="preserve">Members: </w:t>
      </w:r>
      <w:r w:rsidR="00C33B12">
        <w:rPr>
          <w:rFonts w:ascii="Bierstadt" w:hAnsi="Bierstadt"/>
          <w:b/>
          <w:bCs/>
          <w:sz w:val="32"/>
          <w:szCs w:val="32"/>
        </w:rPr>
        <w:t xml:space="preserve">Denis A. </w:t>
      </w:r>
      <w:r w:rsidR="00C33B12" w:rsidRPr="00FD697C">
        <w:rPr>
          <w:rFonts w:ascii="Bierstadt" w:hAnsi="Bierstadt"/>
          <w:b/>
          <w:bCs/>
          <w:sz w:val="32"/>
          <w:szCs w:val="32"/>
        </w:rPr>
        <w:t>(23MIS0</w:t>
      </w:r>
      <w:r w:rsidR="00C33B12">
        <w:rPr>
          <w:rFonts w:ascii="Bierstadt" w:hAnsi="Bierstadt"/>
          <w:b/>
          <w:bCs/>
          <w:sz w:val="32"/>
          <w:szCs w:val="32"/>
        </w:rPr>
        <w:t>656</w:t>
      </w:r>
      <w:r w:rsidR="00C33B12" w:rsidRPr="00FD697C">
        <w:rPr>
          <w:rFonts w:ascii="Bierstadt" w:hAnsi="Bierstadt"/>
          <w:b/>
          <w:bCs/>
          <w:sz w:val="32"/>
          <w:szCs w:val="32"/>
        </w:rPr>
        <w:t>)</w:t>
      </w:r>
    </w:p>
    <w:p w14:paraId="6DC74570" w14:textId="0EDB8335" w:rsidR="000D57D7" w:rsidRDefault="000D57D7" w:rsidP="000D57D7">
      <w:pPr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tab/>
      </w:r>
      <w:r>
        <w:rPr>
          <w:rFonts w:ascii="Bierstadt" w:hAnsi="Bierstadt"/>
          <w:b/>
          <w:bCs/>
          <w:sz w:val="32"/>
          <w:szCs w:val="32"/>
        </w:rPr>
        <w:tab/>
      </w:r>
      <w:r>
        <w:rPr>
          <w:rFonts w:ascii="Bierstadt" w:hAnsi="Bierstadt"/>
          <w:b/>
          <w:bCs/>
          <w:sz w:val="32"/>
          <w:szCs w:val="32"/>
        </w:rPr>
        <w:tab/>
      </w:r>
      <w:r w:rsidR="00C33B12">
        <w:rPr>
          <w:rFonts w:ascii="Bierstadt" w:hAnsi="Bierstadt"/>
          <w:b/>
          <w:bCs/>
          <w:sz w:val="32"/>
          <w:szCs w:val="32"/>
        </w:rPr>
        <w:t xml:space="preserve"> </w:t>
      </w:r>
      <w:r w:rsidR="00C33B12" w:rsidRPr="00FD697C">
        <w:rPr>
          <w:rFonts w:ascii="Bierstadt" w:hAnsi="Bierstadt"/>
          <w:b/>
          <w:bCs/>
          <w:sz w:val="32"/>
          <w:szCs w:val="32"/>
        </w:rPr>
        <w:t>Jordan Varghese (23MIS0638)</w:t>
      </w:r>
    </w:p>
    <w:p w14:paraId="542231D2" w14:textId="078F3139" w:rsidR="00C33B12" w:rsidRDefault="00C33B12" w:rsidP="00C33B12">
      <w:pPr>
        <w:ind w:left="1440" w:firstLine="720"/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t xml:space="preserve"> Saravanakumar B.</w:t>
      </w:r>
      <w:r w:rsidRPr="00FD697C">
        <w:rPr>
          <w:rFonts w:ascii="Bierstadt" w:hAnsi="Bierstadt"/>
          <w:b/>
          <w:bCs/>
          <w:sz w:val="32"/>
          <w:szCs w:val="32"/>
        </w:rPr>
        <w:t> (23MIS0</w:t>
      </w:r>
      <w:r>
        <w:rPr>
          <w:rFonts w:ascii="Bierstadt" w:hAnsi="Bierstadt"/>
          <w:b/>
          <w:bCs/>
          <w:sz w:val="32"/>
          <w:szCs w:val="32"/>
        </w:rPr>
        <w:t>058</w:t>
      </w:r>
      <w:r w:rsidRPr="00FD697C">
        <w:rPr>
          <w:rFonts w:ascii="Bierstadt" w:hAnsi="Bierstadt"/>
          <w:b/>
          <w:bCs/>
          <w:sz w:val="32"/>
          <w:szCs w:val="32"/>
        </w:rPr>
        <w:t>)</w:t>
      </w:r>
    </w:p>
    <w:p w14:paraId="2BA258A3" w14:textId="49D40E7F" w:rsidR="000D57D7" w:rsidRPr="006624D7" w:rsidRDefault="000D57D7" w:rsidP="006624D7">
      <w:pPr>
        <w:rPr>
          <w:rFonts w:ascii="Bierstadt" w:hAnsi="Bierstadt"/>
          <w:b/>
          <w:bCs/>
          <w:sz w:val="32"/>
          <w:szCs w:val="32"/>
        </w:rPr>
      </w:pPr>
      <w:r>
        <w:rPr>
          <w:rFonts w:ascii="Bierstadt" w:hAnsi="Bierstadt"/>
          <w:b/>
          <w:bCs/>
          <w:sz w:val="32"/>
          <w:szCs w:val="32"/>
        </w:rPr>
        <w:br w:type="page"/>
      </w:r>
      <w:r w:rsidR="00FF4C6B">
        <w:rPr>
          <w:rFonts w:ascii="Cambria" w:hAnsi="Cambria"/>
          <w:b/>
          <w:sz w:val="28"/>
          <w:szCs w:val="32"/>
        </w:rPr>
        <w:lastRenderedPageBreak/>
        <w:t xml:space="preserve">1. </w:t>
      </w:r>
      <w:r w:rsidR="000E3D25">
        <w:rPr>
          <w:rFonts w:ascii="Cambria" w:hAnsi="Cambria"/>
          <w:b/>
          <w:sz w:val="28"/>
          <w:szCs w:val="32"/>
        </w:rPr>
        <w:t>Title</w:t>
      </w:r>
    </w:p>
    <w:p w14:paraId="6D16ED61" w14:textId="3E8B10F1" w:rsidR="000F5447" w:rsidRDefault="00137BDB" w:rsidP="000F5447">
      <w:pPr>
        <w:pStyle w:val="BodyText"/>
        <w:ind w:firstLine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 xml:space="preserve">Trust-Aware </w:t>
      </w:r>
      <w:r w:rsidR="009B5A2F">
        <w:rPr>
          <w:rFonts w:ascii="Cambria" w:hAnsi="Cambria"/>
          <w:b w:val="0"/>
          <w:bCs w:val="0"/>
          <w:sz w:val="24"/>
          <w:szCs w:val="24"/>
        </w:rPr>
        <w:t xml:space="preserve">Explainable </w:t>
      </w:r>
      <w:r w:rsidRPr="00137BDB">
        <w:rPr>
          <w:rFonts w:ascii="Cambria" w:hAnsi="Cambria"/>
          <w:b w:val="0"/>
          <w:bCs w:val="0"/>
          <w:sz w:val="24"/>
          <w:szCs w:val="24"/>
        </w:rPr>
        <w:t xml:space="preserve">AI Framework for Stroke Risk </w:t>
      </w:r>
      <w:r w:rsidR="00BA4995">
        <w:rPr>
          <w:rFonts w:ascii="Cambria" w:hAnsi="Cambria"/>
          <w:b w:val="0"/>
          <w:bCs w:val="0"/>
          <w:sz w:val="24"/>
          <w:szCs w:val="24"/>
        </w:rPr>
        <w:t>Assessment</w:t>
      </w:r>
    </w:p>
    <w:p w14:paraId="50ECD9F5" w14:textId="77777777" w:rsidR="00002748" w:rsidRDefault="00002748" w:rsidP="006624D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2B29EAAA" w14:textId="77777777" w:rsidR="006624D7" w:rsidRDefault="006624D7" w:rsidP="006624D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5BB0CCCF" w14:textId="5E9D51DA" w:rsidR="000D57D7" w:rsidRPr="00FF4C6B" w:rsidRDefault="00FF4C6B" w:rsidP="00FF4C6B">
      <w:pPr>
        <w:widowControl w:val="0"/>
        <w:tabs>
          <w:tab w:val="left" w:pos="266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28"/>
          <w:szCs w:val="32"/>
        </w:rPr>
      </w:pPr>
      <w:r>
        <w:rPr>
          <w:rFonts w:ascii="Cambria" w:hAnsi="Cambria"/>
          <w:b/>
          <w:sz w:val="28"/>
          <w:szCs w:val="32"/>
        </w:rPr>
        <w:t>2.</w:t>
      </w:r>
      <w:r w:rsidR="000D57D7" w:rsidRPr="00FF4C6B">
        <w:rPr>
          <w:rFonts w:ascii="Cambria" w:hAnsi="Cambria"/>
          <w:b/>
          <w:sz w:val="28"/>
          <w:szCs w:val="32"/>
        </w:rPr>
        <w:t xml:space="preserve"> </w:t>
      </w:r>
      <w:r w:rsidR="00002748">
        <w:rPr>
          <w:rFonts w:ascii="Cambria" w:hAnsi="Cambria"/>
          <w:b/>
          <w:sz w:val="28"/>
          <w:szCs w:val="32"/>
        </w:rPr>
        <w:t>Litera</w:t>
      </w:r>
      <w:r w:rsidR="004561C5">
        <w:rPr>
          <w:rFonts w:ascii="Cambria" w:hAnsi="Cambria"/>
          <w:b/>
          <w:sz w:val="28"/>
          <w:szCs w:val="32"/>
        </w:rPr>
        <w:t>ture</w:t>
      </w:r>
      <w:r w:rsidR="00002748">
        <w:rPr>
          <w:rFonts w:ascii="Cambria" w:hAnsi="Cambria"/>
          <w:b/>
          <w:sz w:val="28"/>
          <w:szCs w:val="32"/>
        </w:rPr>
        <w:t xml:space="preserve"> Survey</w:t>
      </w:r>
    </w:p>
    <w:p w14:paraId="2307ED84" w14:textId="77777777" w:rsidR="00FF4C6B" w:rsidRPr="008B379C" w:rsidRDefault="00FF4C6B" w:rsidP="00FF4C6B">
      <w:pPr>
        <w:pStyle w:val="ListParagraph"/>
        <w:widowControl w:val="0"/>
        <w:tabs>
          <w:tab w:val="left" w:pos="266"/>
        </w:tabs>
        <w:autoSpaceDE w:val="0"/>
        <w:autoSpaceDN w:val="0"/>
        <w:spacing w:before="1" w:after="0" w:line="240" w:lineRule="auto"/>
        <w:ind w:left="266"/>
        <w:contextualSpacing w:val="0"/>
        <w:rPr>
          <w:rFonts w:ascii="Cambria" w:hAnsi="Cambria"/>
          <w:b/>
          <w:szCs w:val="28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95"/>
        <w:gridCol w:w="3302"/>
        <w:gridCol w:w="3454"/>
      </w:tblGrid>
      <w:tr w:rsidR="00EC6B9D" w:rsidRPr="008B379C" w14:paraId="7B846A2F" w14:textId="77777777" w:rsidTr="00EC6B9D">
        <w:trPr>
          <w:trHeight w:val="541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10A37" w14:textId="006CE073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Patent/Publication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AB22" w14:textId="3B0D5C2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184E" w14:textId="145F936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Relevance to invention</w:t>
            </w:r>
          </w:p>
        </w:tc>
      </w:tr>
      <w:tr w:rsidR="00EC6B9D" w:rsidRPr="008B379C" w14:paraId="07226994" w14:textId="77777777" w:rsidTr="00EC6B9D">
        <w:trPr>
          <w:trHeight w:val="541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A8509" w14:textId="0DA9D43D" w:rsidR="00EC6B9D" w:rsidRPr="00EC6B9D" w:rsidRDefault="00F374C8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US</w:t>
            </w:r>
            <w:r w:rsidR="00FF18B5" w:rsidRPr="00FF18B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20221067</w:t>
            </w: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211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 w:rsidR="00FF18B5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7CC4" w14:textId="4477E3B6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uncertainty-aware digital twins to predict patient outcomes and recommend additional measurements using Bayesian models.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4485" w14:textId="40298A3E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Similar uncertainty-aware prediction concept. Our framework instead introduces software metrics (DSI, CAS and RAI) for trust evaluation on lightweight stroke prediction models rather than computational digital twins</w:t>
            </w:r>
            <w:r w:rsidR="00BA499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.</w:t>
            </w:r>
          </w:p>
        </w:tc>
      </w:tr>
      <w:tr w:rsidR="00EC6B9D" w:rsidRPr="008B379C" w14:paraId="409F1FD8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8FC46" w14:textId="0F5D310F" w:rsidR="00EC6B9D" w:rsidRPr="00EC6B9D" w:rsidRDefault="00F374C8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WO</w:t>
            </w:r>
            <w:r w:rsidR="00FF18B5" w:rsidRPr="00FF18B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2024249688A2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 w:rsidR="00FF18B5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4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2FB64" w14:textId="5B6056D6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Reviews 62 studies using Explainable AI in healthcare and identifies gaps in explanation evaluation and clinician trust.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33618" w14:textId="20DEEAA5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Identifies the research gap addressed by our work but does not propose any software metrics or implementa</w:t>
            </w:r>
            <w:r w:rsidR="00BA499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tion.</w:t>
            </w:r>
          </w:p>
        </w:tc>
      </w:tr>
      <w:tr w:rsidR="00EC6B9D" w:rsidRPr="008B379C" w14:paraId="6EB24BEB" w14:textId="77777777" w:rsidTr="00EC6B9D">
        <w:trPr>
          <w:trHeight w:val="1096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57551" w14:textId="136173C7" w:rsidR="00EC6B9D" w:rsidRPr="00EC6B9D" w:rsidRDefault="00FF18B5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FF18B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WO2023133427A1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3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261B9" w14:textId="3AA8DFB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Explainable AI to interpret stroke risk predictions generated from clinical risk factors.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B99A6" w14:textId="0C5C02DD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Generates explanations but does not evaluate explanation stability, confidence attribution or resource adaptability.</w:t>
            </w:r>
          </w:p>
        </w:tc>
      </w:tr>
      <w:tr w:rsidR="00EC6B9D" w:rsidRPr="008B379C" w14:paraId="7E210BED" w14:textId="77777777" w:rsidTr="00EC6B9D">
        <w:trPr>
          <w:trHeight w:val="812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75AD" w14:textId="0D70B74E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IN</w:t>
            </w:r>
            <w:r w:rsidRPr="00FF18B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202</w:t>
            </w: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>641081087A</w:t>
            </w:r>
            <w:r w:rsidRPr="00FF18B5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  <w:t xml:space="preserve">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38B4" w14:textId="437188E1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ensemble machine learning with SHAP and LIME to improve prediction accuracy and interpretability.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167A" w14:textId="244A3B7B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Produces one-time explanations only. Our framework measures explanation consistency and AI trustworthiness over multiple executions.</w:t>
            </w:r>
          </w:p>
        </w:tc>
      </w:tr>
      <w:tr w:rsidR="00EC6B9D" w:rsidRPr="008B379C" w14:paraId="5EA84639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3797C" w14:textId="7701BD64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IN202541041572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 xml:space="preserve"> 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86396" w14:textId="55F4742A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resampling techniques and Explainable AI to improve stroke prediction performance.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CE98A" w14:textId="4E0CF39C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Focuses on improving prediction accuracy, while our system evaluates reliability, uncertainty and deployment robustness.</w:t>
            </w:r>
          </w:p>
        </w:tc>
      </w:tr>
      <w:tr w:rsidR="00EC6B9D" w:rsidRPr="008B379C" w14:paraId="3F1A7814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D28B" w14:textId="6A4204CC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 xml:space="preserve">IN202641076341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C1687" w14:textId="7DE5FC73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Compares multiple machine learning algorithms for stroke prediction using clinical features.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938F3" w14:textId="17475FB2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Evaluates prediction performance only and does not quantify explanation stability or confidence.</w:t>
            </w:r>
          </w:p>
        </w:tc>
      </w:tr>
      <w:tr w:rsidR="00EC6B9D" w:rsidRPr="008B379C" w14:paraId="48692CB4" w14:textId="77777777" w:rsidTr="00EC6B9D">
        <w:trPr>
          <w:trHeight w:val="825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D5AC6" w14:textId="28FF6E95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IN202641077202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 xml:space="preserve"> 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05105" w14:textId="357E4345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digital twins and AI to improve oncology workflows and clinical decision support.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106A8" w14:textId="42E4639B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 xml:space="preserve">Focuses on clinical workflow optimisation rather than evaluating AI trustworthiness using </w:t>
            </w: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software metrics.</w:t>
            </w:r>
          </w:p>
        </w:tc>
      </w:tr>
      <w:tr w:rsidR="00EC6B9D" w:rsidRPr="008B379C" w14:paraId="33627E89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4CEC9" w14:textId="7EF75B18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lastRenderedPageBreak/>
              <w:t xml:space="preserve">IN202241022648 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D9CE2" w14:textId="6E651077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stacked ensemble classifiers to improve stroke prediction accuracy.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55DB" w14:textId="40D3BF32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Purely accuracy-focused without explanation stability, uncertainty quantification or trust evaluation.</w:t>
            </w:r>
          </w:p>
        </w:tc>
      </w:tr>
      <w:tr w:rsidR="00EC6B9D" w:rsidRPr="008B379C" w14:paraId="3FCA54C8" w14:textId="77777777" w:rsidTr="00EC6B9D">
        <w:trPr>
          <w:trHeight w:val="135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D2EA6" w14:textId="3F00B55C" w:rsidR="00EC6B9D" w:rsidRPr="00EC6B9D" w:rsidRDefault="0037792E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IN202521028848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 xml:space="preserve"> (202</w:t>
            </w: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3912F" w14:textId="78E5AD08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Develops uncertainty-aware digital twins for personalised radiotherapy planning.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B414" w14:textId="3663A27A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Uses computational digital twins for cancer treatment planning, unlike our lightweight trust-aware stroke prediction framework.</w:t>
            </w:r>
          </w:p>
        </w:tc>
      </w:tr>
      <w:tr w:rsidR="00EC6B9D" w:rsidRPr="008B379C" w14:paraId="7DBC379E" w14:textId="77777777" w:rsidTr="00EC6B9D">
        <w:trPr>
          <w:trHeight w:val="1083"/>
        </w:trPr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3D280" w14:textId="77777777" w:rsidR="00EC6B9D" w:rsidRDefault="0037792E" w:rsidP="00EC6B9D">
            <w:pPr>
              <w:pStyle w:val="BodyText"/>
              <w:ind w:left="266"/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</w:pPr>
            <w:r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>US20250275735</w:t>
            </w:r>
            <w:r w:rsidR="00EC6B9D" w:rsidRPr="00EC6B9D">
              <w:rPr>
                <w:rStyle w:val="Strong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</w:p>
          <w:p w14:paraId="50235DB0" w14:textId="365F6FA0" w:rsidR="00E020D1" w:rsidRPr="00EC6B9D" w:rsidRDefault="00E020D1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(2025)</w:t>
            </w:r>
          </w:p>
        </w:tc>
        <w:tc>
          <w:tcPr>
            <w:tcW w:w="3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0B64" w14:textId="17B8B850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Reviews methods for evaluating clinician interaction with Explainable AI systems.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7EF18" w14:textId="697DD53C" w:rsidR="00EC6B9D" w:rsidRPr="00EC6B9D" w:rsidRDefault="00EC6B9D" w:rsidP="00EC6B9D">
            <w:pPr>
              <w:pStyle w:val="BodyText"/>
              <w:ind w:left="266"/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IN"/>
              </w:rPr>
            </w:pPr>
            <w:r w:rsidRPr="00EC6B9D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</w:rPr>
              <w:t>Discusses explanation usability but does not introduce quantitative software metrics or AI trust evaluation.</w:t>
            </w:r>
          </w:p>
        </w:tc>
      </w:tr>
    </w:tbl>
    <w:p w14:paraId="203E6D2D" w14:textId="77777777" w:rsidR="000D57D7" w:rsidRDefault="000D57D7" w:rsidP="00FF4C6B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60EB8C81" w14:textId="77777777" w:rsidR="000D57D7" w:rsidRDefault="000D57D7" w:rsidP="000D57D7">
      <w:pPr>
        <w:pStyle w:val="BodyText"/>
        <w:ind w:firstLine="266"/>
        <w:rPr>
          <w:rFonts w:ascii="Cambria" w:hAnsi="Cambria"/>
          <w:b w:val="0"/>
          <w:bCs w:val="0"/>
          <w:sz w:val="22"/>
          <w:szCs w:val="22"/>
        </w:rPr>
      </w:pPr>
    </w:p>
    <w:p w14:paraId="697FC7EB" w14:textId="07C5FF90" w:rsidR="000D57D7" w:rsidRPr="00FF4C6B" w:rsidRDefault="00FF4C6B" w:rsidP="00FF4C6B">
      <w:pPr>
        <w:widowControl w:val="0"/>
        <w:tabs>
          <w:tab w:val="left" w:pos="266"/>
        </w:tabs>
        <w:autoSpaceDE w:val="0"/>
        <w:autoSpaceDN w:val="0"/>
        <w:spacing w:before="1" w:after="0" w:line="240" w:lineRule="auto"/>
        <w:rPr>
          <w:rFonts w:ascii="Cambria" w:hAnsi="Cambria"/>
          <w:b/>
          <w:sz w:val="28"/>
          <w:szCs w:val="32"/>
        </w:rPr>
      </w:pPr>
      <w:r>
        <w:rPr>
          <w:rFonts w:ascii="Cambria" w:hAnsi="Cambria"/>
          <w:b/>
          <w:sz w:val="28"/>
          <w:szCs w:val="32"/>
        </w:rPr>
        <w:t xml:space="preserve">3. </w:t>
      </w:r>
      <w:r w:rsidR="000D57D7" w:rsidRPr="00FF4C6B">
        <w:rPr>
          <w:rFonts w:ascii="Cambria" w:hAnsi="Cambria"/>
          <w:b/>
          <w:sz w:val="28"/>
          <w:szCs w:val="32"/>
        </w:rPr>
        <w:t xml:space="preserve"> </w:t>
      </w:r>
      <w:r w:rsidR="000E3D25">
        <w:rPr>
          <w:rFonts w:ascii="Cambria" w:hAnsi="Cambria"/>
          <w:b/>
          <w:sz w:val="28"/>
          <w:szCs w:val="32"/>
        </w:rPr>
        <w:t>Invention Summary &amp; Background (Addressing the gap / novelty)</w:t>
      </w:r>
    </w:p>
    <w:p w14:paraId="46945D3B" w14:textId="77777777" w:rsidR="000E3D25" w:rsidRPr="000F5447" w:rsidRDefault="000E3D25" w:rsidP="00F97C41">
      <w:pPr>
        <w:pStyle w:val="BodyText"/>
        <w:rPr>
          <w:rFonts w:ascii="Cambria" w:hAnsi="Cambria"/>
          <w:b w:val="0"/>
          <w:bCs w:val="0"/>
          <w:sz w:val="24"/>
          <w:szCs w:val="24"/>
        </w:rPr>
      </w:pPr>
    </w:p>
    <w:p w14:paraId="1C427D69" w14:textId="4004CF78" w:rsidR="00137BDB" w:rsidRP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Although numerous AI-based stroke prediction systems have achieved high predictive accuracy, most existing approaches stop after producing a prediction and a one-time explanation. They rarely evaluate whether explanations remain stable across retraining, quantify why a prediction is uncertain, or assess how well the model performs in resource-constrained clinical settings.</w:t>
      </w:r>
    </w:p>
    <w:p w14:paraId="77F4D3FC" w14:textId="77777777" w:rsid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 xml:space="preserve">The proposed Trust-Aware AI Framework introduces a software-metrics-driven trust layer on top of an AI stroke prediction model. </w:t>
      </w:r>
    </w:p>
    <w:p w14:paraId="3619E150" w14:textId="49A271CE" w:rsidR="00137BDB" w:rsidRP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  <w:u w:val="single"/>
        </w:rPr>
      </w:pPr>
      <w:r w:rsidRPr="00137BDB">
        <w:rPr>
          <w:rFonts w:ascii="Cambria" w:hAnsi="Cambria"/>
          <w:b w:val="0"/>
          <w:bCs w:val="0"/>
          <w:sz w:val="24"/>
          <w:szCs w:val="24"/>
          <w:u w:val="single"/>
        </w:rPr>
        <w:t>The framework contributes three novel metrics:</w:t>
      </w:r>
    </w:p>
    <w:p w14:paraId="189E48A0" w14:textId="08427BCD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Decision Stability Index (DSI) – Measures the consistency of AI explanations across retraining, bootstrapped datasets, and small input perturbations.</w:t>
      </w:r>
    </w:p>
    <w:p w14:paraId="52CC6D03" w14:textId="3A5121A3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Confidence Attribution Score (CAS) – Quantifies prediction uncertainty and attributes it to interpretable sources such as model disagreement, missing clinical information, and training variability.</w:t>
      </w:r>
    </w:p>
    <w:p w14:paraId="70B61F6B" w14:textId="1A7FCAF9" w:rsidR="00137BDB" w:rsidRPr="00137BDB" w:rsidRDefault="00137BDB" w:rsidP="00137BDB">
      <w:pPr>
        <w:pStyle w:val="BodyText"/>
        <w:numPr>
          <w:ilvl w:val="0"/>
          <w:numId w:val="3"/>
        </w:numPr>
        <w:spacing w:before="1" w:after="200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 xml:space="preserve">Resource Adaptability Index (RAI) – Measures how prediction reliability changes under </w:t>
      </w:r>
      <w:r w:rsidR="00053C49">
        <w:rPr>
          <w:rFonts w:ascii="Cambria" w:hAnsi="Cambria"/>
          <w:b w:val="0"/>
          <w:bCs w:val="0"/>
          <w:sz w:val="24"/>
          <w:szCs w:val="24"/>
        </w:rPr>
        <w:t xml:space="preserve">differ </w:t>
      </w:r>
      <w:r w:rsidRPr="00137BDB">
        <w:rPr>
          <w:rFonts w:ascii="Cambria" w:hAnsi="Cambria"/>
          <w:b w:val="0"/>
          <w:bCs w:val="0"/>
          <w:sz w:val="24"/>
          <w:szCs w:val="24"/>
        </w:rPr>
        <w:t>rent healthcare resource scenarios (full hospital, CT-only, minimal-vitals, etc.).</w:t>
      </w:r>
    </w:p>
    <w:p w14:paraId="6F868C0C" w14:textId="7C88351C" w:rsidR="00137BDB" w:rsidRP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>Additionally, an AI recommendation engine identifies which missing clinical measurement is expected to improve prediction reliability the most.</w:t>
      </w:r>
    </w:p>
    <w:p w14:paraId="0B55DB5A" w14:textId="17B7A2DF" w:rsidR="00137BDB" w:rsidRDefault="00137BDB" w:rsidP="00137BDB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  <w:r w:rsidRPr="00137BDB">
        <w:rPr>
          <w:rFonts w:ascii="Cambria" w:hAnsi="Cambria"/>
          <w:b w:val="0"/>
          <w:bCs w:val="0"/>
          <w:sz w:val="24"/>
          <w:szCs w:val="24"/>
        </w:rPr>
        <w:t xml:space="preserve">Together, these components transform conventional stroke prediction into a trust-aware clinical decision support system, providing clinicians not only with predictions, but also with reliability, explanation robustness, and actionable </w:t>
      </w:r>
      <w:r w:rsidRPr="00137BDB">
        <w:rPr>
          <w:rFonts w:ascii="Cambria" w:hAnsi="Cambria"/>
          <w:b w:val="0"/>
          <w:bCs w:val="0"/>
          <w:sz w:val="24"/>
          <w:szCs w:val="24"/>
        </w:rPr>
        <w:lastRenderedPageBreak/>
        <w:t>recommendations for improved decision making.</w:t>
      </w:r>
    </w:p>
    <w:p w14:paraId="16346C3F" w14:textId="77777777" w:rsidR="00137BDB" w:rsidRPr="000F5447" w:rsidRDefault="00137BDB" w:rsidP="000F5447">
      <w:pPr>
        <w:pStyle w:val="BodyText"/>
        <w:spacing w:before="1" w:after="200"/>
        <w:ind w:left="266"/>
        <w:rPr>
          <w:rFonts w:ascii="Cambria" w:hAnsi="Cambria"/>
          <w:b w:val="0"/>
          <w:bCs w:val="0"/>
          <w:sz w:val="24"/>
          <w:szCs w:val="24"/>
        </w:rPr>
      </w:pPr>
    </w:p>
    <w:p w14:paraId="7632CE92" w14:textId="77777777" w:rsidR="000D57D7" w:rsidRPr="008B379C" w:rsidRDefault="000D57D7" w:rsidP="000F5447">
      <w:pPr>
        <w:pStyle w:val="BodyText"/>
        <w:rPr>
          <w:rFonts w:ascii="Cambria" w:hAnsi="Cambria"/>
          <w:b w:val="0"/>
          <w:bCs w:val="0"/>
          <w:sz w:val="22"/>
          <w:szCs w:val="22"/>
        </w:rPr>
      </w:pPr>
    </w:p>
    <w:p w14:paraId="0888DF43" w14:textId="49DEA7B0" w:rsidR="008D3624" w:rsidRPr="000F5447" w:rsidRDefault="008D3624" w:rsidP="000F5447">
      <w:pPr>
        <w:ind w:left="720"/>
        <w:rPr>
          <w:rFonts w:ascii="Bierstadt" w:hAnsi="Bierstadt"/>
          <w:b/>
          <w:bCs/>
          <w:sz w:val="32"/>
          <w:szCs w:val="32"/>
        </w:rPr>
      </w:pPr>
    </w:p>
    <w:sectPr w:rsidR="008D3624" w:rsidRPr="000F5447" w:rsidSect="00FF4C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124D"/>
    <w:multiLevelType w:val="hybridMultilevel"/>
    <w:tmpl w:val="96863A84"/>
    <w:lvl w:ilvl="0" w:tplc="4009000F">
      <w:start w:val="1"/>
      <w:numFmt w:val="decimal"/>
      <w:lvlText w:val="%1."/>
      <w:lvlJc w:val="left"/>
      <w:pPr>
        <w:ind w:left="626" w:hanging="360"/>
      </w:pPr>
    </w:lvl>
    <w:lvl w:ilvl="1" w:tplc="40090019" w:tentative="1">
      <w:start w:val="1"/>
      <w:numFmt w:val="lowerLetter"/>
      <w:lvlText w:val="%2."/>
      <w:lvlJc w:val="left"/>
      <w:pPr>
        <w:ind w:left="1346" w:hanging="360"/>
      </w:pPr>
    </w:lvl>
    <w:lvl w:ilvl="2" w:tplc="4009001B" w:tentative="1">
      <w:start w:val="1"/>
      <w:numFmt w:val="lowerRoman"/>
      <w:lvlText w:val="%3."/>
      <w:lvlJc w:val="right"/>
      <w:pPr>
        <w:ind w:left="2066" w:hanging="180"/>
      </w:pPr>
    </w:lvl>
    <w:lvl w:ilvl="3" w:tplc="4009000F" w:tentative="1">
      <w:start w:val="1"/>
      <w:numFmt w:val="decimal"/>
      <w:lvlText w:val="%4."/>
      <w:lvlJc w:val="left"/>
      <w:pPr>
        <w:ind w:left="2786" w:hanging="360"/>
      </w:pPr>
    </w:lvl>
    <w:lvl w:ilvl="4" w:tplc="40090019" w:tentative="1">
      <w:start w:val="1"/>
      <w:numFmt w:val="lowerLetter"/>
      <w:lvlText w:val="%5."/>
      <w:lvlJc w:val="left"/>
      <w:pPr>
        <w:ind w:left="3506" w:hanging="360"/>
      </w:pPr>
    </w:lvl>
    <w:lvl w:ilvl="5" w:tplc="4009001B" w:tentative="1">
      <w:start w:val="1"/>
      <w:numFmt w:val="lowerRoman"/>
      <w:lvlText w:val="%6."/>
      <w:lvlJc w:val="right"/>
      <w:pPr>
        <w:ind w:left="4226" w:hanging="180"/>
      </w:pPr>
    </w:lvl>
    <w:lvl w:ilvl="6" w:tplc="4009000F" w:tentative="1">
      <w:start w:val="1"/>
      <w:numFmt w:val="decimal"/>
      <w:lvlText w:val="%7."/>
      <w:lvlJc w:val="left"/>
      <w:pPr>
        <w:ind w:left="4946" w:hanging="360"/>
      </w:pPr>
    </w:lvl>
    <w:lvl w:ilvl="7" w:tplc="40090019" w:tentative="1">
      <w:start w:val="1"/>
      <w:numFmt w:val="lowerLetter"/>
      <w:lvlText w:val="%8."/>
      <w:lvlJc w:val="left"/>
      <w:pPr>
        <w:ind w:left="5666" w:hanging="360"/>
      </w:pPr>
    </w:lvl>
    <w:lvl w:ilvl="8" w:tplc="4009001B" w:tentative="1">
      <w:start w:val="1"/>
      <w:numFmt w:val="lowerRoman"/>
      <w:lvlText w:val="%9."/>
      <w:lvlJc w:val="right"/>
      <w:pPr>
        <w:ind w:left="6386" w:hanging="180"/>
      </w:pPr>
    </w:lvl>
  </w:abstractNum>
  <w:abstractNum w:abstractNumId="1" w15:restartNumberingAfterBreak="0">
    <w:nsid w:val="3CB05FA5"/>
    <w:multiLevelType w:val="hybridMultilevel"/>
    <w:tmpl w:val="E834C512"/>
    <w:lvl w:ilvl="0" w:tplc="CCC41018">
      <w:start w:val="1"/>
      <w:numFmt w:val="decimal"/>
      <w:lvlText w:val="%1."/>
      <w:lvlJc w:val="left"/>
      <w:pPr>
        <w:ind w:left="466" w:hanging="18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C085C50">
      <w:numFmt w:val="bullet"/>
      <w:lvlText w:val="•"/>
      <w:lvlJc w:val="left"/>
      <w:pPr>
        <w:ind w:left="1467" w:hanging="182"/>
      </w:pPr>
      <w:rPr>
        <w:rFonts w:hint="default"/>
        <w:lang w:val="en-US" w:eastAsia="en-US" w:bidi="ar-SA"/>
      </w:rPr>
    </w:lvl>
    <w:lvl w:ilvl="2" w:tplc="BE4A9A58">
      <w:numFmt w:val="bullet"/>
      <w:lvlText w:val="•"/>
      <w:lvlJc w:val="left"/>
      <w:pPr>
        <w:ind w:left="2476" w:hanging="182"/>
      </w:pPr>
      <w:rPr>
        <w:rFonts w:hint="default"/>
        <w:lang w:val="en-US" w:eastAsia="en-US" w:bidi="ar-SA"/>
      </w:rPr>
    </w:lvl>
    <w:lvl w:ilvl="3" w:tplc="92EC0164">
      <w:numFmt w:val="bullet"/>
      <w:lvlText w:val="•"/>
      <w:lvlJc w:val="left"/>
      <w:pPr>
        <w:ind w:left="3485" w:hanging="182"/>
      </w:pPr>
      <w:rPr>
        <w:rFonts w:hint="default"/>
        <w:lang w:val="en-US" w:eastAsia="en-US" w:bidi="ar-SA"/>
      </w:rPr>
    </w:lvl>
    <w:lvl w:ilvl="4" w:tplc="A8680906">
      <w:numFmt w:val="bullet"/>
      <w:lvlText w:val="•"/>
      <w:lvlJc w:val="left"/>
      <w:pPr>
        <w:ind w:left="4494" w:hanging="182"/>
      </w:pPr>
      <w:rPr>
        <w:rFonts w:hint="default"/>
        <w:lang w:val="en-US" w:eastAsia="en-US" w:bidi="ar-SA"/>
      </w:rPr>
    </w:lvl>
    <w:lvl w:ilvl="5" w:tplc="63FE93CA">
      <w:numFmt w:val="bullet"/>
      <w:lvlText w:val="•"/>
      <w:lvlJc w:val="left"/>
      <w:pPr>
        <w:ind w:left="5503" w:hanging="182"/>
      </w:pPr>
      <w:rPr>
        <w:rFonts w:hint="default"/>
        <w:lang w:val="en-US" w:eastAsia="en-US" w:bidi="ar-SA"/>
      </w:rPr>
    </w:lvl>
    <w:lvl w:ilvl="6" w:tplc="2F16BDC8">
      <w:numFmt w:val="bullet"/>
      <w:lvlText w:val="•"/>
      <w:lvlJc w:val="left"/>
      <w:pPr>
        <w:ind w:left="6512" w:hanging="182"/>
      </w:pPr>
      <w:rPr>
        <w:rFonts w:hint="default"/>
        <w:lang w:val="en-US" w:eastAsia="en-US" w:bidi="ar-SA"/>
      </w:rPr>
    </w:lvl>
    <w:lvl w:ilvl="7" w:tplc="3C8415D2">
      <w:numFmt w:val="bullet"/>
      <w:lvlText w:val="•"/>
      <w:lvlJc w:val="left"/>
      <w:pPr>
        <w:ind w:left="7520" w:hanging="182"/>
      </w:pPr>
      <w:rPr>
        <w:rFonts w:hint="default"/>
        <w:lang w:val="en-US" w:eastAsia="en-US" w:bidi="ar-SA"/>
      </w:rPr>
    </w:lvl>
    <w:lvl w:ilvl="8" w:tplc="75805324">
      <w:numFmt w:val="bullet"/>
      <w:lvlText w:val="•"/>
      <w:lvlJc w:val="left"/>
      <w:pPr>
        <w:ind w:left="8529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484132F7"/>
    <w:multiLevelType w:val="hybridMultilevel"/>
    <w:tmpl w:val="C0AE7E90"/>
    <w:lvl w:ilvl="0" w:tplc="E66A178C">
      <w:start w:val="1"/>
      <w:numFmt w:val="decimal"/>
      <w:lvlText w:val="%1.)"/>
      <w:lvlJc w:val="left"/>
      <w:pPr>
        <w:ind w:left="6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6" w:hanging="360"/>
      </w:pPr>
    </w:lvl>
    <w:lvl w:ilvl="2" w:tplc="4009001B" w:tentative="1">
      <w:start w:val="1"/>
      <w:numFmt w:val="lowerRoman"/>
      <w:lvlText w:val="%3."/>
      <w:lvlJc w:val="right"/>
      <w:pPr>
        <w:ind w:left="2066" w:hanging="180"/>
      </w:pPr>
    </w:lvl>
    <w:lvl w:ilvl="3" w:tplc="4009000F" w:tentative="1">
      <w:start w:val="1"/>
      <w:numFmt w:val="decimal"/>
      <w:lvlText w:val="%4."/>
      <w:lvlJc w:val="left"/>
      <w:pPr>
        <w:ind w:left="2786" w:hanging="360"/>
      </w:pPr>
    </w:lvl>
    <w:lvl w:ilvl="4" w:tplc="40090019" w:tentative="1">
      <w:start w:val="1"/>
      <w:numFmt w:val="lowerLetter"/>
      <w:lvlText w:val="%5."/>
      <w:lvlJc w:val="left"/>
      <w:pPr>
        <w:ind w:left="3506" w:hanging="360"/>
      </w:pPr>
    </w:lvl>
    <w:lvl w:ilvl="5" w:tplc="4009001B" w:tentative="1">
      <w:start w:val="1"/>
      <w:numFmt w:val="lowerRoman"/>
      <w:lvlText w:val="%6."/>
      <w:lvlJc w:val="right"/>
      <w:pPr>
        <w:ind w:left="4226" w:hanging="180"/>
      </w:pPr>
    </w:lvl>
    <w:lvl w:ilvl="6" w:tplc="4009000F" w:tentative="1">
      <w:start w:val="1"/>
      <w:numFmt w:val="decimal"/>
      <w:lvlText w:val="%7."/>
      <w:lvlJc w:val="left"/>
      <w:pPr>
        <w:ind w:left="4946" w:hanging="360"/>
      </w:pPr>
    </w:lvl>
    <w:lvl w:ilvl="7" w:tplc="40090019" w:tentative="1">
      <w:start w:val="1"/>
      <w:numFmt w:val="lowerLetter"/>
      <w:lvlText w:val="%8."/>
      <w:lvlJc w:val="left"/>
      <w:pPr>
        <w:ind w:left="5666" w:hanging="360"/>
      </w:pPr>
    </w:lvl>
    <w:lvl w:ilvl="8" w:tplc="4009001B" w:tentative="1">
      <w:start w:val="1"/>
      <w:numFmt w:val="lowerRoman"/>
      <w:lvlText w:val="%9."/>
      <w:lvlJc w:val="right"/>
      <w:pPr>
        <w:ind w:left="6386" w:hanging="180"/>
      </w:pPr>
    </w:lvl>
  </w:abstractNum>
  <w:num w:numId="1" w16cid:durableId="1078938773">
    <w:abstractNumId w:val="1"/>
  </w:num>
  <w:num w:numId="2" w16cid:durableId="71893775">
    <w:abstractNumId w:val="2"/>
  </w:num>
  <w:num w:numId="3" w16cid:durableId="127540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D7"/>
    <w:rsid w:val="00002748"/>
    <w:rsid w:val="00053C49"/>
    <w:rsid w:val="000D57D7"/>
    <w:rsid w:val="000E3D25"/>
    <w:rsid w:val="000F51F5"/>
    <w:rsid w:val="000F5447"/>
    <w:rsid w:val="001012C4"/>
    <w:rsid w:val="00137BDB"/>
    <w:rsid w:val="001D1C89"/>
    <w:rsid w:val="00335898"/>
    <w:rsid w:val="0037792E"/>
    <w:rsid w:val="00414601"/>
    <w:rsid w:val="004561C5"/>
    <w:rsid w:val="006624D7"/>
    <w:rsid w:val="007020ED"/>
    <w:rsid w:val="008D3624"/>
    <w:rsid w:val="009B5A2F"/>
    <w:rsid w:val="00B3468F"/>
    <w:rsid w:val="00B57BD1"/>
    <w:rsid w:val="00BA4995"/>
    <w:rsid w:val="00C33B12"/>
    <w:rsid w:val="00C60C3D"/>
    <w:rsid w:val="00D22F8F"/>
    <w:rsid w:val="00E020D1"/>
    <w:rsid w:val="00EC1DB0"/>
    <w:rsid w:val="00EC6B9D"/>
    <w:rsid w:val="00EF0EDC"/>
    <w:rsid w:val="00F374C8"/>
    <w:rsid w:val="00F97C41"/>
    <w:rsid w:val="00FF18B5"/>
    <w:rsid w:val="00FF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43C3"/>
  <w15:chartTrackingRefBased/>
  <w15:docId w15:val="{DC934BE2-03B4-49AD-831D-76272CF0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7D7"/>
  </w:style>
  <w:style w:type="paragraph" w:styleId="Heading1">
    <w:name w:val="heading 1"/>
    <w:basedOn w:val="Normal"/>
    <w:next w:val="Normal"/>
    <w:link w:val="Heading1Char"/>
    <w:uiPriority w:val="9"/>
    <w:qFormat/>
    <w:rsid w:val="000D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7D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D57D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57D7"/>
    <w:rPr>
      <w:rFonts w:ascii="Times New Roman" w:eastAsia="Times New Roman" w:hAnsi="Times New Roman" w:cs="Times New Roman"/>
      <w:b/>
      <w:bCs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rsid w:val="00FF4C6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C6B9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C6B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Shaju Varghese</dc:creator>
  <cp:keywords/>
  <dc:description/>
  <cp:lastModifiedBy>Jordan Shaju Varghese</cp:lastModifiedBy>
  <cp:revision>14</cp:revision>
  <dcterms:created xsi:type="dcterms:W3CDTF">2026-07-29T18:39:00Z</dcterms:created>
  <dcterms:modified xsi:type="dcterms:W3CDTF">2026-07-30T10:21:00Z</dcterms:modified>
</cp:coreProperties>
</file>