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8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6"/>
          <w:szCs w:val="36"/>
        </w:rPr>
        <w:t xml:space="preserve">MANUAL DE ACTIVOS E INVENTARIOS</w:t>
      </w:r>
    </w:p>
    <w:p>
      <w:pPr>
        <w:spacing w:after="12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{{ENTIDAD_RAZON_SOCIAL}}</w:t>
      </w:r>
    </w:p>
    <w:p>
      <w:pPr>
        <w:spacing w:after="60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NIT {{ENTIDAD_NIT}}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400"/>
        <w:gridCol w:w="1600"/>
        <w:gridCol w:w="2200"/>
        <w:gridCol w:w="2200"/>
        <w:gridCol w:w="19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ELABORÓ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REVISÓ</w:t>
            </w:r>
          </w:p>
        </w:tc>
        <w:tc>
          <w:tcPr>
            <w:tcW w:type="dxa" w:w="19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APROBÓ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{{VERSIÓN}}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{{FECHA_MANUAL}}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{{PREPARÓ}}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{{REVISÓ}}</w:t>
            </w:r>
          </w:p>
        </w:tc>
        <w:tc>
          <w:tcPr>
            <w:tcW w:type="dxa" w:w="1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{{GERENTE_NOMBRE}}</w:t>
            </w:r>
          </w:p>
        </w:tc>
      </w:tr>
    </w:tbl>
    <w:p>
      <w:pPr>
        <w:spacing w:after="2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Adoptado mediante Resolución No. {{RESOLUCION_ADOPCION}} del {{FECHA_RESOLUCION_ADOPCION}}</w:t>
      </w:r>
    </w:p>
    <w:p>
      <w:r>
        <w:br w:type="page"/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Este manual debe reflejar los parámetros REALMENTE usados en el ejercicio de valuación.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manual que contradiga los calculos ejecutados invalida el proceso (ver RN-11-02).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marcadores {{...}} los reemplaza la aplicación con los parámetros de la entidad.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Debe adoptarse mediante resolución del Gerente antes de la entrega final.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Elimine este recuadro en la versión definitiva.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5"/>
          <w:szCs w:val="15"/>
        </w:rPr>
        <w:t xml:space="preserve">(Actualice el campo en Word: clic derecho sobre la tabla &gt; Actualizar campos)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1. OBJETIVO Y ALCANCE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Establecer los lineamientos, responsabilidades y procedimientos para la administración, identificación, control, valuación y baja de los bienes que conforman la Propiedad, Planta y Equipo de {{ENTIDAD_RAZON_SOCIAL}}, de manera que los estados financieros reflejen fielmente su realidad patrimonial.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presente manual aplica a todas las sedes, servicios y dependencias de la entidad, y es de obligatorio cumplimiento para todos los servidores públicos y contratistas que tengan bienes bajo su custodia.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excluyen de este manual los inventarios de consumibles, medicamentos y dispositivos médicos de un solo uso, que se rigen por el manual de almacén y farmacia.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2. MARCO NORMATIVO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presente manual se fundamenta en las normas vigentes aplicables a la entidad. La entidad verificará periódicamente la vigencia de estas disposiciones y actualizará el manual cuando corresponda.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NORMA</w:t>
            </w:r>
          </w:p>
        </w:tc>
        <w:tc>
          <w:tcPr>
            <w:tcW w:type="dxa" w:w="58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</w:t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{{NORMA_1}}</w:t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{{MATERIA_1}}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{{NORMA_2}}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{{MATERIA_2}}</w:t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3. DEFINICIONES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9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Propiedad, Planta y Equipo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Bienes tangibles de uso permanente destinados a la prestación del servicio, cuya vida útil supera un periodo contable.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Base depreciable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del bien menos su valor residual. Es el monto que se distribuye a lo largo de la vida útil.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Depreciación acumulada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Suma de la depreciación reconocida sobre un bien desde su puesta en servicio hasta la fecha de corte.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Deterioro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Pérdida de valor de un activo por encima de su depreciación normal, reconocida cuando existe un indicio objetivo.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Indice de obsolescencia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Relación entre la edad del bien y su vida útil técnica esperada.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Plaqueteo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Marcacion física de los bienes con una etiqueta o código de barras que los identifica de forma unívoca.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Vida útil contable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Periodo durante el cual se deprecia el bien según el Manual de Políticas Contables.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Vida útil técnica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Periodo de utilidad esperada del bien según el fabricante o el criterio del especialista.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 razonable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 por el cual un activo podria intercambiarse entre partes informadas en condiciones de independencia.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Baja de bienes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Retiro definitivo de un bien del patrimonio, previa aprobación del Comité y acto administrativo.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4. RESPONSABILIDADES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Gerente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Adoptar el manual, firmar los actos administrativos de valuación y baja.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Comité de Saneamiento Contable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Evaluar, recomendar y aprobar los ajustes, valuaciones y bajas.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Subgerente Administrativo y Financiero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Coordinar la administración de los bienes y la causación de los ajustes.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Contador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Registrar los movimientos, conciliar el detalle con el auxiliar y el mayor.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Recursos Físicos / Almacén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Mantener el inventario actualizado, ejecutar el plaqueteo y controlar los traslados.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Ingeniero(a) biomédico(a)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Mantener las hojas de vida, valuar y certificar el estado de los equipos médicos.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Ingeniero(a) de sistemas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Ejercer las mismas funciones sobre equipos de cómputo y comunicaciones.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Jefes de servicio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Responder por los bienes asignados a su dependencia y reportar novedades.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Funcionarios con bienes a cargo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Custodiar los bienes asignados y reportar pérdidas, daños o traslados.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Control Interno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Verificar el cumplimiento del manual y hacer seguimiento a los faltantes.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5. CLASIFICACIÓN DE BIENES Y VIDAS ÚTILES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bienes se clasifican en las siguientes clases, cada una asociada a una subcuenta contable, a una vida útil y a un responsable técnico: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1400"/>
        <w:gridCol w:w="1900"/>
        <w:gridCol w:w="1700"/>
        <w:gridCol w:w="1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CLASE DE ACTIVO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SUBCUENTA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VIDA ÚTIL CONTABLE (MESES)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VIDA ÚTIL TÉCNICA (AÑOS)</w:t>
            </w:r>
          </w:p>
        </w:tc>
        <w:tc>
          <w:tcPr>
            <w:tcW w:type="dxa" w:w="1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 TÉCNICO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{{CLASE}}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{{SUBCUENTA}}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{{VU_MESES}}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{{VU_ANIOS}}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{{RESPONSABLE}}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Nota: la vida útil contable se usa para depreciar; la vida útil técnica se usa para calcular el indice de obsolescencia. Pueden ser distintas.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6. INCORPORACIÓN DE BIENES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 bien que ingrese al patrimonio debe incorporarse al inventario dentro de los cinco (5) días hábiles siguientes a su recepción, cualquiera sea su forma de adquisición: compra, donación, comodato, reposición o traslado.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incorporación exige: (i) soporte de adquisición (factura, acta de donación o contrato); (ii) asignación de código institucional y placa; (iii) apertura de la hoja de vida cuando la clase lo requiera; y (iv) asignación de responsable de custodia.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bien solo se reconoce como activo cuando su valor supera el umbral de capitalización de {{UMBRAL_CAPITALIZACION}}. Por debajo de ese monto se trata como gasto, sin perjuicio de su control físico.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bienes en comodato o de terceros se registran para control físico pero NO se incorporan al patrimonio de la entidad.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7. IDENTIFICACIÓN Y PLAQUETEO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 bien debe portar una etiqueta visible y legible con su código institucional y su código de barras o QR.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convencion de codificacion adoptada por la entidad es la siguiente: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Estructura del código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{{ESTRUCTURA_CODIGO}}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Prefijo de la entidad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{{PREFIJO_CODIGO}}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 del consecutivo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{{LONGITUD_CONSECUTIVO}}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Ejemplo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{{EJEMPLO_CODIGO}}</w:t>
            </w:r>
          </w:p>
        </w:tc>
      </w:tr>
    </w:tbl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código institucional y la placa son únicos e irrepetibles. Un bien conserva su código durante toda su permanencia en la entidad, incluso si cambia de dependencia.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etiqueta danada o ilegible debe reemplazarse conservando el mismo código.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8. ASIGNACIÓN Y CUSTODIA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 bien debe tener un funcionario responsable de su guarda y custodia, formalizado mediante Acta de Asignación de Responsabilidad y Custodia.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funcionario responsable se compromete a: reportar de inmediato cualquier pérdida, daño o deterioro; no trasladar bienes sin autorización escrita; facilitar las verificaciones físicas; y entregar los bienes mediante acta al momento de su retiro o cambio de funciones.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asignación de custodia no transfiere la propiedad del bien, que permanece en cabeza de la entidad.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9. MOVIMIENTOS Y TRASLADOS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 traslado de un bien entre dependencias debe registrarse mediante formato de traslado, con la firma de quien entrega, quien recibe y Recursos Físicos.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registro del traslado no sobrescribe la ubicación anterior: se conserva el histórico de movimientos del bien.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traslado de bienes sin acta constituye incumplimiento de las obligaciones de custodia.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10. TOMA FÍSICA DE INVENTARIOS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entidad realizará toma física general de inventarios con periodicidad {{PERIODICIDAD_INVENTARIO}}, y tomas parciales o selectivas cuando la Gerencia o Control Interno lo dispongan.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toma física se realiza servicio por servicio, con acompanamiento del jefe del area, y se cierra con acta firmada por este.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resultados de la toma física se concilian con los saldos contables. Toda diferencia se clasifica (sobrante, faltante, diferencia de valor, clasificación erronea) y se le asigna una accion de ajuste.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11. DEPRECIACIÓN Y DETERIORO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entidad aplica los siguientes parámetros, adoptados conforme al Manual de Políticas Contables: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Método de depreciación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{{METODO_DEPRECIACION}}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Método de conteo de meses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{{METODO_CONTEO_MESES}}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Deprecia el mes de adquisición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{{DEPRECIA_MES_ADQUISICION}}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Porcentaje de valor residual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{{VALOR_RESIDUAL_PCT}}</w:t>
            </w:r>
          </w:p>
        </w:tc>
      </w:tr>
    </w:tbl>
    <w:p>
      <w:pPr>
        <w:spacing w:after="1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Formulas aplicadas: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saldo_final_ajustado = valor_adquisicion + adiciones_mejoras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base_depreciable = saldo_final_ajustado - valor_residual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depreciacion_mensual = base_depreciable / vida_util_meses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depreciacion_acumulada = MIN(depreciacion_mensual x meses_transcurridos, base_depreciable)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saldo_por_depreciar = saldo_final_ajustado - depreciacion_acumulada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deterioro = MAX(0, valor_neto - valor_recuperable)</w:t>
            </w:r>
          </w:p>
        </w:tc>
      </w:tr>
    </w:tbl>
    <w:p>
      <w:pPr>
        <w:spacing w:after="1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depreciación acumulada nunca puede superar la base depreciable. Los terrenos no se deprecian.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deterioro solo se reconoce cuando existe un indicio objetivo documentado (daño físico, obsolescencia, desuso prolongado o cambio normativo) y concepto del especialista con soporte. El deterioro no revierte automáticamente.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12. INDICE DE OBSOLESCENCIA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indice de obsolescencia mide el grado de agotamiento de la vida útil técnica del bien y se calcula así: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edad_actual_anios = (fecha_corte - fecha_adquisicion) / 365,25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indice_obsolescencia = edad_actual_anios / vida_util_tecnica_anios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anios_restantes = vida_util_tecnica_anios - edad_actual_anios</w:t>
            </w:r>
          </w:p>
        </w:tc>
      </w:tr>
    </w:tbl>
    <w:p>
      <w:pPr>
        <w:spacing w:after="1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indice no se trunca en 1: un valor superior indica que el bien supero su vida útil esperada.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600"/>
        <w:gridCol w:w="2200"/>
        <w:gridCol w:w="2900"/>
        <w:gridCol w:w="26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SEMAFORO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RANGO DEL INDICE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INTERPRETACION</w:t>
            </w:r>
          </w:p>
        </w:tc>
        <w:tc>
          <w:tcPr>
            <w:tcW w:type="dxa" w:w="26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ACCION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VERDE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0,00 - {{UMBRAL_VERDE}}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Vida útil sana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Mantener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AMARILLO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hasta {{UMBRAL_AMARILLO}}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 envejecimiento</w:t>
            </w:r>
          </w:p>
        </w:tc>
        <w:tc>
          <w:tcPr>
            <w:tcW w:type="dxa" w:w="2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Vigilar y planear reposición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NARANJA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hasta 0,99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Próximo al fin de vida útil</w:t>
            </w:r>
          </w:p>
        </w:tc>
        <w:tc>
          <w:tcPr>
            <w:tcW w:type="dxa" w:w="2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Evaluar baja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ROJO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1,00 o mas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Vida útil agotada</w:t>
            </w:r>
          </w:p>
        </w:tc>
        <w:tc>
          <w:tcPr>
            <w:tcW w:type="dxa" w:w="2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Candidato a baja</w:t>
            </w:r>
          </w:p>
        </w:tc>
      </w:tr>
    </w:tbl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bien puede ser obsoleto con indice bajo cuando su tecnología fue superada, el fabricante descontinuo el soporte o no hay repuestos. En ese caso se declara obsolescencia funcional con justificación escrita.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13. VALUACIÓN DE ACTIVOS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valuación determina el valor razonable de los bienes y se realiza por dos rutas según su naturaleza.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13.1 Bienes muebles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valua el especialista técnico competente según la clase. El método por defecto es el costo de reposición depreciado: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factor_vida_restante = MAX(0, 1 - indice_obsolescencia)</w:t>
            </w:r>
          </w:p>
        </w:tc>
      </w:tr>
      <w:tr>
        <w:tc>
          <w:tcPr>
            <w:tcW w:type="dxa" w:w="9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valor_avaluo = valor_equipo_nuevo_equivalente x factor_vida_restante x factor_estado</w:t>
            </w:r>
          </w:p>
        </w:tc>
      </w:tr>
    </w:tbl>
    <w:p>
      <w:pPr>
        <w:spacing w:after="1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FACTOR DE ESTADO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BUENO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1,00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REGULAR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0,75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MALO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0,40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INSERVIBLE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0,05</w:t>
            </w:r>
          </w:p>
        </w:tc>
      </w:tr>
    </w:tbl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valor final lo decide el especialista, con justificación técnica obligatoria y soporte de mercado vigente (cotizaciones con antigüedad no mayor a 12 meses).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13.2 Bienes inmuebles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valua un perito avaluador inscrito en el Registro Abierto de Avaluadores. El terreno se valua por comparacion de mercado y la construcción por costo de reposición depreciado, aplicando factores de vetustez y estado de conservación. El avalúo tiene vigencia de un (1) año.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14. BAJA DE BIENES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baja retira definitivamente un bien del patrimonio y procede unicamente por las siguientes causales: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900"/>
        <w:gridCol w:w="3660"/>
        <w:gridCol w:w="38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CAUSAL</w:t>
            </w:r>
          </w:p>
        </w:tc>
        <w:tc>
          <w:tcPr>
            <w:tcW w:type="dxa" w:w="36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DEFINICION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SOPORTE REQUERIDO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Obsolescencia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Vida útil agotada o tecnología superada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Indice de obsolescencia y concepto técnico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Inservible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Daño no reparable o economicamente inviable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Cotizacion de reparación y concepto técnico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Caso fortuito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hallado, extraviado, hurtado o destruido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Acta de faltante y reporte a Control Interno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Desuso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Funcional pero sin utilidad para la entidad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Concepto del jefe de servicio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Donación o traslado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Transferido a otra entidad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Acto administrativo de transferencia</w:t>
            </w:r>
          </w:p>
        </w:tc>
      </w:tr>
    </w:tbl>
    <w:p>
      <w:pPr>
        <w:spacing w:after="1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Criterio económico para la causal inservible: procede la baja cuando el costo de reparación es igual o superior al {{UMBRAL_REPARACION}} del valor de reposición del bien.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bienes funcionales guardados en bodega se clasifican como bienes en custodia y NO se dan de baja: se someten a revision periódica.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Ruta de aprobación: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Propuesta del especialista con justificación individual, certificación técnica, evaluación y aprobación del Comité de Saneamiento Contable, resolución firmada por el Gerente, ejecución de la baja, y disposición final con certificado del gestor ambiental autorizado.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Ninguna baja se ejecuta sin acta de aprobación del Comité. Un bien dado de baja no se elimina de los registros: cambia de estado y conserva su historial.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15. REPORTES Y PERIODICIDAD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3000"/>
        <w:gridCol w:w="2200"/>
        <w:gridCol w:w="2000"/>
        <w:gridCol w:w="21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REPORTE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PERIODICIDAD</w:t>
            </w:r>
          </w:p>
        </w:tc>
        <w:tc>
          <w:tcPr>
            <w:tcW w:type="dxa" w:w="2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DESTINATARIO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Inventario valorizado por clase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Recursos Físicos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{{PER_INVENTARIO}}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Contabilidad / Gerencia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Reporte de indice de obsolescencia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Especialistas técnicos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{{PER_OBSOLESCENCIA}}</w:t>
            </w:r>
          </w:p>
        </w:tc>
        <w:tc>
          <w:tcPr>
            <w:tcW w:type="dxa" w:w="2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Comité / Planeación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Listado de activos depreciables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Contabilidad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{{PER_DEPRECIACION}}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Comité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Bienes en custodia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Almacén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{{PER_CUSTODIA}}</w:t>
            </w:r>
          </w:p>
        </w:tc>
        <w:tc>
          <w:tcPr>
            <w:tcW w:type="dxa" w:w="2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Recursos Físicos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Conciliación físico-contable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Contabilidad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{{PER_CONCILIACION}}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Comité / Control Interno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Estado de avalúos de inmuebles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Recursos Físicos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Anual</w:t>
            </w:r>
          </w:p>
        </w:tc>
        <w:tc>
          <w:tcPr>
            <w:tcW w:type="dxa" w:w="2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Gerencia / Jurídica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16. FORMATOS ANEXOS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Hacen parte integral del presente manual los siguientes formatos: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FORMATO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PL-03</w:t>
            </w:r>
          </w:p>
        </w:tc>
        <w:tc>
          <w:tcPr>
            <w:tcW w:type="dxa" w:w="7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Toma de inventario físico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PL-05</w:t>
            </w:r>
          </w:p>
        </w:tc>
        <w:tc>
          <w:tcPr>
            <w:tcW w:type="dxa" w:w="7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Hoja de vida de bienes y equipos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PL-08</w:t>
            </w:r>
          </w:p>
        </w:tc>
        <w:tc>
          <w:tcPr>
            <w:tcW w:type="dxa" w:w="7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Cálculo del indice de obsolescencia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PL-09</w:t>
            </w:r>
          </w:p>
        </w:tc>
        <w:tc>
          <w:tcPr>
            <w:tcW w:type="dxa" w:w="7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Cálculo de depreciación acumulada y deterioro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PL-10</w:t>
            </w:r>
          </w:p>
        </w:tc>
        <w:tc>
          <w:tcPr>
            <w:tcW w:type="dxa" w:w="7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Valuación técnica de bienes muebles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PL-11</w:t>
            </w:r>
          </w:p>
        </w:tc>
        <w:tc>
          <w:tcPr>
            <w:tcW w:type="dxa" w:w="7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Ficha de avalúo de inmueble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PL-12</w:t>
            </w:r>
          </w:p>
        </w:tc>
        <w:tc>
          <w:tcPr>
            <w:tcW w:type="dxa" w:w="7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Acta de asignación de responsabilidad y custodia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PL-13</w:t>
            </w:r>
          </w:p>
        </w:tc>
        <w:tc>
          <w:tcPr>
            <w:tcW w:type="dxa" w:w="7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Propuesta y certificación de baja de bienes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PL-13b</w:t>
            </w:r>
          </w:p>
        </w:tc>
        <w:tc>
          <w:tcPr>
            <w:tcW w:type="dxa" w:w="7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Certificación técnica de baja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PL-13c</w:t>
            </w:r>
          </w:p>
        </w:tc>
        <w:tc>
          <w:tcPr>
            <w:tcW w:type="dxa" w:w="7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Acta de disposición final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PL-14</w:t>
            </w:r>
          </w:p>
        </w:tc>
        <w:tc>
          <w:tcPr>
            <w:tcW w:type="dxa" w:w="7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Consolidado de ajustes por subcuenta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PL-16</w:t>
            </w:r>
          </w:p>
        </w:tc>
        <w:tc>
          <w:tcPr>
            <w:tcW w:type="dxa" w:w="7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Acta de sesión del Comité de Saneamiento</w:t>
            </w:r>
          </w:p>
        </w:tc>
      </w:tr>
    </w:tbl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{{GERENTE_NOMBRE}}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Gerente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{{ENTIDAD_RAZON_SOCIAL}}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PL-18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2026-08-24T21:37:16.195Z</dcterms:created>
  <dcterms:modified xsi:type="dcterms:W3CDTF">2026-08-24T21:37:16.195Z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