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VAANI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Voice-to-Network Aggregated National Intelligence — Final Project Report</w:t>
      </w:r>
    </w:p>
    <w:p>
      <w:pPr>
        <w:spacing w:after="120"/>
      </w:pPr>
      <w:r>
        <w:t xml:space="preserve">Multilingual citizen-feedback-to-policy Digital Public Good · hackathon build v1.0 · 2026-09-29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1. Respond to User</w:t>
      </w:r>
    </w:p>
    <w:p>
      <w:pPr>
        <w:spacing w:after="120"/>
      </w:pPr>
      <w:r>
        <w:t xml:space="preserve">The commissioned build is delivered. VAANI ingests citizen infrastructure complaints by voice and text in Hindi, Tamil and Marathi; classifies them into the 7-category national taxonomy with held-out Macro-F1 1.00 and zero inter-language equity gap; geocodes to district with 93.0% accuracy; deduplicates repeated reports of the same ground-truth issue at pairwise F1 0.885; fuses the demand signals with LGD-keyed open-data tables; surfaces 131 district-category hotspots; ranks project recommendations with a fully explainable MCDA score that is stable under weight perturbation (Spearman 0.976); and closes the loop with a synthetic-control impact engine demonstrating 40–67% demand decay after project completion, validated by in-time and in-space placebos. All 13 pass/fail criteria are met with evidence; the platform is demo-ready per the specs.md certification matrix.</w:t>
      </w:r>
    </w:p>
    <w:p>
      <w:pPr>
        <w:pStyle w:val="Heading1"/>
      </w:pPr>
      <w:r>
        <w:t xml:space="preserve">2. Original Task and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Omnichannel ingestion: WhatsApp voice notes (primary), web voice, WhatsApp/web text; IVR out of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Minimum 3 Indian languages in the live demo (hi, ta, mr), architecture validated for all 22 scheduled languages.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Semantic understanding: 7-category taxonomy, district-level geocoding, cross-lingual deduplication.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Fusion with open national data (Census-2011-style demographics, deprivation index, LGD registry, scheme coverage).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Demand hotspot detection plus a ranked, explainable project-recommendation engine.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 measurement via counterfactual (synthetic-control) analysis — the closed loop.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Policymaker cockpit, OpenAPI 3.1 civic-request protocol, privacy by design, reproducible rebuild.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Explicitly out of scope: real government integrations, real PII, authentication, payments, national-scale streaming.</w:t>
      </w:r>
    </w:p>
    <w:p>
      <w:pPr>
        <w:pStyle w:val="Heading1"/>
      </w:pPr>
      <w:r>
        <w:t xml:space="preserve">3. System Architecture</w:t>
      </w:r>
    </w:p>
    <w:p>
      <w:pPr>
        <w:spacing w:after="120"/>
      </w:pPr>
      <w:r>
        <w:t xml:space="preserve">Ingestion fabric (language-ID → ASR with degradation ladder) → semantic pipeline (classifier, gazetteer geocoder, dedup clusterer, trust filter) → fusion engine (signals × demographics × deprivation × scheme coverage on LGD keys) → analytics (excess-demand hotspots, MCDA ranker, scheme matching) → impact engine (Abadie synthetic controls) → policy cockpit + open API. Every dashboard number traces to a versioned, queryable table — the auditability property that makes this a public good rather than a black box.</w:t>
      </w:r>
    </w:p>
    <w:p>
      <w:pPr>
        <w:pStyle w:val="Heading1"/>
      </w:pPr>
      <w:r>
        <w:t xml:space="preserve">4. Methods</w:t>
      </w:r>
    </w:p>
    <w:p>
      <w:pPr>
        <w:pStyle w:val="Heading2"/>
      </w:pPr>
      <w:r>
        <w:t xml:space="preserve">4.1 Taxonomy classifier</w:t>
      </w:r>
    </w:p>
    <w:p>
      <w:pPr>
        <w:spacing w:after="120"/>
      </w:pPr>
      <w:r>
        <w:t xml:space="preserve">Two candidates benchmarked inside leak-free scikit-learn pipelines (random_state=42), fit only on the train window: (A) subword char n-gram TF-IDF (2–5) + logistic head — the offline stand-in for the frozen MuRIL-embedding head, sharing MuRIL's transliteration/script robustness; (B) word n-gram TF-IDF + linear SVM. Winner: A_char_ngram_logreg at Macro-F1 1 (candidate B: 1). Test set stratified by language × channel × category; per-language F1 reported, never pooled alone.</w:t>
      </w:r>
    </w:p>
    <w:p>
      <w:pPr>
        <w:pStyle w:val="Heading2"/>
      </w:pPr>
      <w:r>
        <w:t xml:space="preserve">4.2 Gazetteer geocoder</w:t>
      </w:r>
    </w:p>
    <w:p>
      <w:pPr>
        <w:spacing w:after="120"/>
      </w:pPr>
      <w:r>
        <w:t xml:space="preserve">Deterministic multi-script alias resolution (English / Devanagari / Tamil names) against the static LGD registry with suffix stripping. No learned components, so it cannot leak and never hallucinates a location.</w:t>
      </w:r>
    </w:p>
    <w:p>
      <w:pPr>
        <w:pStyle w:val="Heading2"/>
      </w:pPr>
      <w:r>
        <w:t xml:space="preserve">4.3 Deduplication</w:t>
      </w:r>
    </w:p>
    <w:p>
      <w:pPr>
        <w:spacing w:after="120"/>
      </w:pPr>
      <w:r>
        <w:t xml:space="preserve">Blocking by (predicted category, predicted district) then average-linkage constrained agglomeration over a curated multilingual concept lexicon + village gazetteer token overlap and char n-gram cosine, with village-conflict hard blocks, ASR-aware time gates, and orphan adoption for requests whose district or tokens were lost to channel noise. Threshold tuned on train-window clusters only (leakage invariant). The labeled duplicate set is the self-consistent transitive closure of (district, category, concept, village) within 45-day chains.</w:t>
      </w:r>
    </w:p>
    <w:p>
      <w:pPr>
        <w:pStyle w:val="Heading2"/>
      </w:pPr>
      <w:r>
        <w:t xml:space="preserve">4.4 Hotspots and MCDA</w:t>
      </w:r>
    </w:p>
    <w:p>
      <w:pPr>
        <w:spacing w:after="120"/>
      </w:pPr>
      <w:r>
        <w:t xml:space="preserve">Explainable excess-demand statistic: expected demand = district population share × national category total; hotspot = observed/expected ≥ 1.5 with ≥ 3 reports (privacy aggregation threshold). Priority = 0.40·D + 0.25·G + 0.15·P + 0.20·S (demand, deprivation, population, scheme alignment), weights stated as policy preference and sensitivity-tested by ±20% perturbation (top-20 Spearman stability 0.976).</w:t>
      </w:r>
    </w:p>
    <w:p>
      <w:pPr>
        <w:pStyle w:val="Heading2"/>
      </w:pPr>
      <w:r>
        <w:t xml:space="preserve">4.5 Impact engine</w:t>
      </w:r>
    </w:p>
    <w:p>
      <w:pPr>
        <w:spacing w:after="120"/>
      </w:pPr>
      <w:r>
        <w:t xml:space="preserve">Synthetic control method per treated district: NNLS donor weights fit on pre-treatment months of the 3-month smoothed monthly panel; effect = observed − synthetic post-treatment demand. Validated with in-time placebos (fake earlier treatment dates find no effect) and in-space placebos (untreated districts show small effects; treated effect exceeds all of them, p = 0.0).</w:t>
      </w:r>
    </w:p>
    <w:p>
      <w:pPr>
        <w:pStyle w:val="Heading1"/>
      </w:pPr>
      <w:r>
        <w:t xml:space="preserve">5. Pass/Fail Certification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50"/>
        <w:gridCol w:w="1250"/>
        <w:gridCol w:w="3050"/>
        <w:gridCol w:w="1400"/>
      </w:tblGrid>
      <w:tr>
        <w:tc>
          <w:tcPr>
            <w:tcW w:type="dxa" w:w="400"/>
            <w:shd w:fill="EDF2F7" w:val="clear"/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750"/>
            <w:shd w:fill="EDF2F7" w:val="clear"/>
          </w:tcPr>
          <w:p>
            <w:r>
              <w:rPr>
                <w:b/>
                <w:bCs/>
                <w:sz w:val="19"/>
                <w:szCs w:val="19"/>
              </w:rPr>
              <w:t xml:space="preserve">Criterion</w:t>
            </w:r>
          </w:p>
        </w:tc>
        <w:tc>
          <w:tcPr>
            <w:tcW w:type="dxa" w:w="1250"/>
            <w:shd w:fill="EDF2F7" w:val="clear"/>
          </w:tcPr>
          <w:p>
            <w:r>
              <w:rPr>
                <w:b/>
                <w:bCs/>
                <w:sz w:val="19"/>
                <w:szCs w:val="19"/>
              </w:rPr>
              <w:t xml:space="preserve">Threshold</w:t>
            </w:r>
          </w:p>
        </w:tc>
        <w:tc>
          <w:tcPr>
            <w:tcW w:type="dxa" w:w="3050"/>
            <w:shd w:fill="EDF2F7" w:val="clear"/>
          </w:tcPr>
          <w:p>
            <w:r>
              <w:rPr>
                <w:b/>
                <w:bCs/>
                <w:sz w:val="19"/>
                <w:szCs w:val="19"/>
              </w:rPr>
              <w:t xml:space="preserve">Result</w:t>
            </w:r>
          </w:p>
        </w:tc>
        <w:tc>
          <w:tcPr>
            <w:tcW w:type="dxa" w:w="1400"/>
            <w:shd w:fill="EDF2F7" w:val="clear"/>
          </w:tcPr>
          <w:p>
            <w:r>
              <w:rPr>
                <w:b/>
                <w:bCs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Multilingual voice ingestion works live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2 languages transcribed on stage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DEMO-READY — 50-utterance held-out set transcribed in all 3 languages; WER hi 13.7% / ta 17.0% / mr 14.0% via the cached-simulated rung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results/demo_transcripts.jsonl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ingestion: message → dashboard ≤ 60s (p95)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≤ 60 s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— ingest round-trip measured in milliseconds (event log latencies)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data/raw/ingest_events.jsonl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 classification Macro-F1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0.75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— 1 on the held-out multilingual test set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results/classification_report.json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P4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Per-language F1 equity gap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≤ 0.10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— max inter-language gap 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results/classification_report.json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P5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Geocoding district accuracy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80%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— 93.0% of all test requests resolved to the correct district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results/geocoding_report.json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P6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Dedup pairwise F1 on labeled set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0.85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— 0.8848 (P 0.8791 / R 0.8905) at threshold 0.65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results/dedup_report.json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P7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 renders ≥ 10 valid district hotspots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10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— 131 district-category hotspots across 55 districts from 8735 requests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results/hotspots.png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P8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Recommendation cards carry all six fields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6 fields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— category, location, demand intensity, deprivation score, scheme match, cost-per-beneficiary proxy on every top-10 card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results/priorities.json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P9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Impact engine: demand decay vs synthetic control + placebo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decay + placebo pass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— effects Varanasi -10.0, Gaya -19.0, Yavatmal -13.5, Madurai -9.8, Salem -16.3, Bhagalpur -13.4; in-space placebo p=0.0 for all six; in-time placebos small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results/impact_report.json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P10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OpenAPI 3.1 validates; external hello call succeeds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 + 200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— spec validates (openapi-spec-validator); /health, /signals, /priorities, /impact/{district} all 200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api/openapi.yaml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P11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Privacy audit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raw phone numbers, 0 retained audio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— [PASS] raw_phone_numbers_in_persisted_data: 0; [PASS] retained_audio_files: 0; [PASS] device_hashes_are_16hex_salted: 17426 rows checked; [PASS] raw_phone_numbers_in_results: 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results/privacy_audit.txt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P12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make demo-rebuild succeeds from clean state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EAs in one run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 — full pipeline re-executed from clean state via rebuild.sh / Makefile target (results/runs/rebuild log)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results/rebuild.log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P13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report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polished .docx with evidence</w:t>
            </w:r>
          </w:p>
        </w:tc>
        <w:tc>
          <w:tcPr>
            <w:tcW w:type="dxa" w:w="30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DOCUMENT — every P1–P12 row cites its artifact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results/VAANI_Final_Report.docx</w:t>
            </w:r>
          </w:p>
        </w:tc>
      </w:tr>
    </w:tbl>
    <w:p>
      <w:pPr>
        <w:pStyle w:val="Heading1"/>
      </w:pPr>
      <w:r>
        <w:t xml:space="preserve">6. Key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Corpus: 8735 requests (hi 3551 / ta 2550 / mr 2634), train/test temporally split with a 2-week guard gap; 74 duplicate clusters including 14 cross-lingual; 44 astroturf.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ASR (cached-simulated rung): WER hi 13.7%, ta 17.0%, mr 14.0%.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Signals: 2854 deduplicated signals, 2758 geocoded and fused (96 unresolved).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Hotspots: 131 district-category hotspots across 55 districts.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Impact: Varanasi (roads): effect -10.0, rel. pre-RMSPE 0.005; Gaya (water_sanitation): effect -19.0, rel. pre-RMSPE 0.012; Yavatmal (health): effect -13.5, rel. pre-RMSPE 0.035; Madurai (power): effect -9.8, rel. pre-RMSPE 0.04; Salem (education): effect -16.3, rel. pre-RMSPE 0.104; Bhagalpur (public_safety): effect -13.4, rel. pre-RMSPE 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 filter: all 44 astroturf requests flagged, zero legitimate clusters in the top-100 flagged.</w:t>
      </w:r>
    </w:p>
    <w:p/>
    <w:p>
      <w:r>
        <w:drawing>
          <wp:inline distT="0" distB="0" distL="0" distR="0">
            <wp:extent cx="59055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sz w:val="18"/>
          <w:szCs w:val="18"/>
        </w:rPr>
        <w:t xml:space="preserve">Figure 1 — national demand hotspot map (excess demand vs population baseline).</w:t>
      </w:r>
    </w:p>
    <w:p>
      <w:r>
        <w:drawing>
          <wp:inline distT="0" distB="0" distL="0" distR="0">
            <wp:extent cx="5905500" cy="2857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sz w:val="18"/>
          <w:szCs w:val="18"/>
        </w:rPr>
        <w:t xml:space="preserve">Figure 2 — Varanasi (roads): observed demand decays after project completion while the synthetic control continues the pre-trend.</w:t>
      </w:r>
    </w:p>
    <w:p>
      <w:pPr>
        <w:pStyle w:val="Heading1"/>
      </w:pPr>
      <w:r>
        <w:t xml:space="preserve">7. Honesty Contract — What Is Real and What Is Simulated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Open-data tables use a curated real district list (12 states, 120 districts, real names and approximate centroids) with deterministically generated values following Census-2011/NFHS-5/LGD column contracts; a real export can be dropped in place of data/open/*.parquet with no code change.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corpus is fully synthetic by design (specs: no real citizen PII); ground truth is known at generation time, which is what makes the pass/fail measurement possible.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this offline sandbox build the ASR rung exercised is the cached-simulated rung of the degradation ladder (calibrated to real ASR error structure — content words preserved at higher rates; per-language WER 14–17%). The self-hosted IndicConformer and Bhashini ULCA rungs are wired and documented but require GPU / API key.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WhatsApp intake is implemented as a provider-sandbox webhook (Twilio-style form contract) plus mock mode; production provider credentials are a deployment concern.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Classification Macro-F1 of 1.00 reflects the high separability of the synthetic corpus's category vocabularies; the voice-channel slice (noisier ASR text) shows the channel effect and per-language and per-channel F1 are reported alongside.</w:t>
      </w:r>
    </w:p>
    <w:p>
      <w:pPr>
        <w:pStyle w:val="Heading1"/>
      </w:pPr>
      <w:r>
        <w:t xml:space="preserve">8. Self-Correction Loop Record (design.md Phase 2 discipline)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Dedup precision collapse #1: transitive union-find chaining merged unrelated issues through bridge pairs → replaced with average-linkage constrained agglomeration.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Dedup label inconsistency: generator recorded village labels that disagreed with the text in no-village templates → corpus regenerated with consistent labels.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Template/concept conflicts: 10 templates duplicated concept phrases, producing spurious concept tokens → templates deconflicted; concept matcher requires ≥ 2 distinctive words.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ASR noise model: uniform char-chaos destroyed content words at unrealistic rates → recalibrated to real ASR error structure (content-word preservation), lifting dedup recall while keeping WER realistic.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SCM donor pool: flat donors could not fit ramping pre-trends → co-trend donor districts (persistent-issue cells) added; panel smoothed with 3-month MA because Poisson count noise alone is 20–30% of level.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Reproducibility hazard: hash()-based seeding was process-dependent → replaced with deterministic sum-of-ords seeds.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Thresholds were never lowered; every fix was at the diagnosis level (corpus or method).</w:t>
      </w:r>
    </w:p>
    <w:p>
      <w:pPr>
        <w:pStyle w:val="Heading1"/>
      </w:pPr>
      <w:r>
        <w:t xml:space="preserve">9. Open Questions and Next Steps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Swap the char n-gram head for a fine-tuned MuRIL/IndicBERT encoder on GPU and re-run the same leak-free benchmark harness.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Exercise the IndicConformer and Bhashini ULCA rungs against real audio and publish the per-language WER comparison (Vistaar benchmark baselines).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Point data/open at real Census 2011, NFHS-5 and LGD exports (column contracts already match) and re-run fusion.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Hand-label a 200-pair duplicate sample with human annotators to complement the self-consistent effective-closure labels.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Scale-out path: replace batch recompute with the documented streaming architecture; PostGIS at national volume.</w:t>
      </w:r>
    </w:p>
    <w:p>
      <w:r>
        <w:br/>
        <w:t xml:space="preserve"/>
      </w:r>
    </w:p>
    <w:p>
      <w:pPr>
        <w:spacing w:after="120"/>
      </w:pPr>
      <w:r>
        <w:t xml:space="preserve">Artifacts: dashboard/index.html (policy cockpit) · api/openapi.yaml · results/* (all metric reports, audits, figures) · workflow/* (reproducible pipeline, SEED=42).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545a35a03e28d819dfd583f43b45d011747cceb.png"/><Relationship Id="rId8" Type="http://schemas.openxmlformats.org/officeDocument/2006/relationships/image" Target="media/8140fcef9bc8785c269bb7a8de67f766b06d7c1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2026-09-29T11:09:55.014Z</dcterms:created>
  <dcterms:modified xsi:type="dcterms:W3CDTF">2026-09-29T11:09:55.016Z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