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809F">
      <w:bookmarkStart w:id="0" w:name="_GoBack"/>
      <w:bookmarkEnd w:id="0"/>
    </w:p>
    <w:p w14:paraId="5D197F3B"/>
    <w:p w14:paraId="03B1FD06">
      <w:pPr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AIC算法创新赛 · AI+学科交叉赛道</w:t>
      </w:r>
    </w:p>
    <w:p w14:paraId="18541B7D">
      <w:pPr>
        <w:jc w:val="center"/>
      </w:pPr>
      <w:r>
        <w:rPr>
          <w:rFonts w:ascii="微软雅黑" w:hAnsi="微软雅黑" w:eastAsia="微软雅黑"/>
          <w:b/>
          <w:sz w:val="32"/>
        </w:rPr>
        <w:t>LearnLab作品改造差距分析与修改建议报告</w:t>
      </w:r>
    </w:p>
    <w:p w14:paraId="5F2C80E2"/>
    <w:p w14:paraId="776DA09F"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基于第十五届中国软件杯A3赛题作品改造</w:t>
        <w:br w:type="textWrapping"/>
        <w:t>原作品：LearnLab —— 基于大模型的个性化资源生成与学习多智能体系统</w:t>
      </w:r>
    </w:p>
    <w:p w14:paraId="6069B42A"/>
    <w:p w14:paraId="69A44489">
      <w:pPr>
        <w:jc w:val="center"/>
      </w:pPr>
      <w:r>
        <w:rPr>
          <w:rFonts w:ascii="微软雅黑" w:hAnsi="微软雅黑" w:eastAsia="微软雅黑"/>
          <w:sz w:val="24"/>
        </w:rPr>
        <w:t>2026年8月</w:t>
      </w:r>
    </w:p>
    <w:p w14:paraId="4A710112">
      <w:r>
        <w:br w:type="page"/>
      </w:r>
    </w:p>
    <w:p w14:paraId="44F300F6">
      <w:pPr>
        <w:pStyle w:val="3"/>
      </w:pPr>
      <w:r>
        <w:rPr>
          <w:rFonts w:ascii="微软雅黑" w:hAnsi="微软雅黑" w:eastAsia="微软雅黑"/>
          <w:color w:val="1A56DB"/>
        </w:rPr>
        <w:t>报告导读</w:t>
      </w:r>
    </w:p>
    <w:p w14:paraId="49F35E81">
      <w:pPr>
        <w:ind w:firstLine="420"/>
      </w:pPr>
      <w:r>
        <w:rPr>
          <w:rFonts w:ascii="微软雅黑" w:hAnsi="微软雅黑" w:eastAsia="微软雅黑"/>
          <w:b w:val="0"/>
          <w:sz w:val="21"/>
        </w:rPr>
        <w:t>本报告针对AIC算法创新赛"AI+学科交叉"赛道的官方要求，对LearnLab现有作品（软件杯A3赛题提交版）进行逐项对标分析，识别差距并给出可操作的修改建议。报告共分七个部分：</w:t>
      </w:r>
    </w:p>
    <w:p w14:paraId="20B47633">
      <w:pPr>
        <w:pStyle w:val="16"/>
        <w:ind w:left="420"/>
      </w:pPr>
      <w:r>
        <w:rPr>
          <w:rFonts w:ascii="微软雅黑" w:hAnsi="微软雅黑" w:eastAsia="微软雅黑"/>
          <w:sz w:val="21"/>
        </w:rPr>
        <w:t>一、赛事要求核心梳理：评分规则与技术方案大纲拆解</w:t>
      </w:r>
    </w:p>
    <w:p w14:paraId="057011AC">
      <w:pPr>
        <w:pStyle w:val="16"/>
        <w:ind w:left="420"/>
      </w:pPr>
      <w:r>
        <w:rPr>
          <w:rFonts w:ascii="微软雅黑" w:hAnsi="微软雅黑" w:eastAsia="微软雅黑"/>
          <w:sz w:val="21"/>
        </w:rPr>
        <w:t>二、现有作品优势盘点：已具备的核心竞争力</w:t>
      </w:r>
    </w:p>
    <w:p w14:paraId="65E44EE5">
      <w:pPr>
        <w:pStyle w:val="16"/>
        <w:ind w:left="420"/>
      </w:pPr>
      <w:r>
        <w:rPr>
          <w:rFonts w:ascii="微软雅黑" w:hAnsi="微软雅黑" w:eastAsia="微软雅黑"/>
          <w:sz w:val="21"/>
        </w:rPr>
        <w:t>三、六大评分维度差距分析：逐项对标找短板</w:t>
      </w:r>
    </w:p>
    <w:p w14:paraId="6E647AEB">
      <w:pPr>
        <w:pStyle w:val="16"/>
        <w:ind w:left="420"/>
      </w:pPr>
      <w:r>
        <w:rPr>
          <w:rFonts w:ascii="微软雅黑" w:hAnsi="微软雅黑" w:eastAsia="微软雅黑"/>
          <w:sz w:val="21"/>
        </w:rPr>
        <w:t>四、技术方案大纲对照：文档结构需重构的部分</w:t>
      </w:r>
    </w:p>
    <w:p w14:paraId="281A10C6">
      <w:pPr>
        <w:pStyle w:val="16"/>
        <w:ind w:left="420"/>
      </w:pPr>
      <w:r>
        <w:rPr>
          <w:rFonts w:ascii="微软雅黑" w:hAnsi="微软雅黑" w:eastAsia="微软雅黑"/>
          <w:sz w:val="21"/>
        </w:rPr>
        <w:t>五、重点补充内容详解：应用效果、团队、经济可行性等最大短板</w:t>
      </w:r>
    </w:p>
    <w:p w14:paraId="18F340CD">
      <w:pPr>
        <w:pStyle w:val="16"/>
        <w:ind w:left="420"/>
      </w:pPr>
      <w:r>
        <w:rPr>
          <w:rFonts w:ascii="微软雅黑" w:hAnsi="微软雅黑" w:eastAsia="微软雅黑"/>
          <w:sz w:val="21"/>
        </w:rPr>
        <w:t>六、PPT与演示材料调整建议</w:t>
      </w:r>
    </w:p>
    <w:p w14:paraId="755D0078">
      <w:pPr>
        <w:pStyle w:val="16"/>
        <w:ind w:left="420"/>
      </w:pPr>
      <w:r>
        <w:rPr>
          <w:rFonts w:ascii="微软雅黑" w:hAnsi="微软雅黑" w:eastAsia="微软雅黑"/>
          <w:sz w:val="21"/>
        </w:rPr>
        <w:t>七、优先级行动清单：按时间紧迫度排序的改造任务</w:t>
      </w:r>
    </w:p>
    <w:p w14:paraId="3C312176">
      <w:r>
        <w:br w:type="page"/>
      </w:r>
    </w:p>
    <w:p w14:paraId="5D7C2B34">
      <w:pPr>
        <w:pStyle w:val="3"/>
      </w:pPr>
      <w:r>
        <w:rPr>
          <w:rFonts w:ascii="微软雅黑" w:hAnsi="微软雅黑" w:eastAsia="微软雅黑"/>
          <w:color w:val="1A56DB"/>
        </w:rPr>
        <w:t>一、赛事要求核心梳理</w:t>
      </w:r>
    </w:p>
    <w:p w14:paraId="085C011C">
      <w:pPr>
        <w:pStyle w:val="4"/>
      </w:pPr>
      <w:r>
        <w:rPr>
          <w:rFonts w:ascii="微软雅黑" w:hAnsi="微软雅黑" w:eastAsia="微软雅黑"/>
          <w:color w:val="2D6BE0"/>
        </w:rPr>
        <w:t>1.1 赛道定位</w:t>
      </w:r>
    </w:p>
    <w:p w14:paraId="2423D059">
      <w:pPr>
        <w:ind w:firstLine="420"/>
      </w:pPr>
      <w:r>
        <w:rPr>
          <w:rFonts w:ascii="微软雅黑" w:hAnsi="微软雅黑" w:eastAsia="微软雅黑"/>
          <w:b w:val="0"/>
          <w:sz w:val="21"/>
        </w:rPr>
        <w:t>"AI+学科交叉"赛道聚焦人工智能与具体学科专业的深度融合创新，要求参赛团队立足某一具体学科（理、工、农、医、文、法、经、管等全学科），运用AI技术赋能学科的理论研究、科研探索、教学实践、实验实训、自主学习等核心环节。</w:t>
      </w:r>
    </w:p>
    <w:p w14:paraId="45003B45">
      <w:pPr>
        <w:ind w:firstLine="420"/>
      </w:pPr>
      <w:r>
        <w:rPr>
          <w:rFonts w:ascii="微软雅黑" w:hAnsi="微软雅黑" w:eastAsia="微软雅黑"/>
          <w:b/>
          <w:sz w:val="21"/>
        </w:rPr>
        <w:t>关键词：具体学科界定、深度融合、避免技术与场景脱节、AI赋能价值可验证。</w:t>
      </w:r>
    </w:p>
    <w:p w14:paraId="5F32D90E">
      <w:pPr>
        <w:pStyle w:val="4"/>
      </w:pPr>
      <w:r>
        <w:rPr>
          <w:rFonts w:ascii="微软雅黑" w:hAnsi="微软雅黑" w:eastAsia="微软雅黑"/>
          <w:color w:val="2D6BE0"/>
        </w:rPr>
        <w:t>1.2 评分规则（总分100分）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80"/>
        <w:gridCol w:w="3685"/>
        <w:gridCol w:w="2835"/>
      </w:tblGrid>
      <w:tr w14:paraId="1086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13BD27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评分项目</w:t>
            </w:r>
          </w:p>
        </w:tc>
        <w:tc>
          <w:tcPr>
            <w:tcW w:w="680" w:type="dxa"/>
            <w:shd w:val="clear" w:color="auto" w:fill="1A56DB"/>
          </w:tcPr>
          <w:p w14:paraId="23304F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3685" w:type="dxa"/>
            <w:shd w:val="clear" w:color="auto" w:fill="1A56DB"/>
          </w:tcPr>
          <w:p w14:paraId="3B0EDC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高分档标准（14-20分档）</w:t>
            </w:r>
          </w:p>
        </w:tc>
        <w:tc>
          <w:tcPr>
            <w:tcW w:w="2835" w:type="dxa"/>
            <w:shd w:val="clear" w:color="auto" w:fill="1A56DB"/>
          </w:tcPr>
          <w:p w14:paraId="0781A9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核心考察点</w:t>
            </w:r>
          </w:p>
        </w:tc>
      </w:tr>
      <w:tr w14:paraId="0EC4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70E8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创新性</w:t>
            </w:r>
          </w:p>
        </w:tc>
        <w:tc>
          <w:tcPr>
            <w:tcW w:w="680" w:type="dxa"/>
          </w:tcPr>
          <w:p w14:paraId="717E29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</w:tcPr>
          <w:p w14:paraId="6D0E04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提出学科问题解决新方法、教学科研新模式或AI技术应用新场景，AI与学科特色深度适配</w:t>
            </w:r>
          </w:p>
        </w:tc>
        <w:tc>
          <w:tcPr>
            <w:tcW w:w="2835" w:type="dxa"/>
          </w:tcPr>
          <w:p w14:paraId="68F2B9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是否有学科交叉的原创性，而非通用AI套用</w:t>
            </w:r>
          </w:p>
        </w:tc>
      </w:tr>
      <w:tr w14:paraId="7B69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4CC5D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</w:t>
            </w:r>
          </w:p>
        </w:tc>
        <w:tc>
          <w:tcPr>
            <w:tcW w:w="680" w:type="dxa"/>
            <w:shd w:val="clear" w:color="auto" w:fill="F0F4FF"/>
          </w:tcPr>
          <w:p w14:paraId="6BCF7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w="3685" w:type="dxa"/>
            <w:shd w:val="clear" w:color="auto" w:fill="F0F4FF"/>
          </w:tcPr>
          <w:p w14:paraId="29F269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明确界定具体学科专业及应用场景，全面分析学科核心环节痛点，贴合实际需求</w:t>
            </w:r>
          </w:p>
        </w:tc>
        <w:tc>
          <w:tcPr>
            <w:tcW w:w="2835" w:type="dxa"/>
            <w:shd w:val="clear" w:color="auto" w:fill="F0F4FF"/>
          </w:tcPr>
          <w:p w14:paraId="5076A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学科定位是否精准，痛点是否有数据支撑</w:t>
            </w:r>
          </w:p>
        </w:tc>
      </w:tr>
      <w:tr w14:paraId="68A6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8581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</w:t>
            </w:r>
          </w:p>
        </w:tc>
        <w:tc>
          <w:tcPr>
            <w:tcW w:w="680" w:type="dxa"/>
          </w:tcPr>
          <w:p w14:paraId="3AD696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</w:tcPr>
          <w:p w14:paraId="21E43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AI技术选型合理，与学科需求高度适配，技术路线清晰可行，推广价值高</w:t>
            </w:r>
          </w:p>
        </w:tc>
        <w:tc>
          <w:tcPr>
            <w:tcW w:w="2835" w:type="dxa"/>
          </w:tcPr>
          <w:p w14:paraId="0149B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技术落地性 + 经济成本 + 推广复用条件</w:t>
            </w:r>
          </w:p>
        </w:tc>
      </w:tr>
      <w:tr w14:paraId="1ECA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4D9462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项目实施</w:t>
            </w:r>
          </w:p>
        </w:tc>
        <w:tc>
          <w:tcPr>
            <w:tcW w:w="680" w:type="dxa"/>
            <w:shd w:val="clear" w:color="auto" w:fill="F0F4FF"/>
          </w:tcPr>
          <w:p w14:paraId="35029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  <w:shd w:val="clear" w:color="auto" w:fill="F0F4FF"/>
          </w:tcPr>
          <w:p w14:paraId="1BB48F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实施计划详细，团队分工清晰，实施步骤可操作性强</w:t>
            </w:r>
          </w:p>
        </w:tc>
        <w:tc>
          <w:tcPr>
            <w:tcW w:w="2835" w:type="dxa"/>
            <w:shd w:val="clear" w:color="auto" w:fill="F0F4FF"/>
          </w:tcPr>
          <w:p w14:paraId="63DC44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时间线、资源保障、团队专业背景与协作</w:t>
            </w:r>
          </w:p>
        </w:tc>
      </w:tr>
      <w:tr w14:paraId="2DBD3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2C2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</w:t>
            </w:r>
          </w:p>
        </w:tc>
        <w:tc>
          <w:tcPr>
            <w:tcW w:w="680" w:type="dxa"/>
          </w:tcPr>
          <w:p w14:paraId="26D2F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</w:tcPr>
          <w:p w14:paraId="3E7662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有充分的效果验证依据（教学试点数据、科研效率证明等），数据真实有效</w:t>
            </w:r>
          </w:p>
        </w:tc>
        <w:tc>
          <w:tcPr>
            <w:tcW w:w="2835" w:type="dxa"/>
          </w:tcPr>
          <w:p w14:paraId="5DF2A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真实用户数据、量化对比、AI赋能价值证明</w:t>
            </w:r>
          </w:p>
        </w:tc>
      </w:tr>
      <w:tr w14:paraId="02AC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0F8A61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总结与展望</w:t>
            </w:r>
          </w:p>
        </w:tc>
        <w:tc>
          <w:tcPr>
            <w:tcW w:w="680" w:type="dxa"/>
            <w:shd w:val="clear" w:color="auto" w:fill="F0F4FF"/>
          </w:tcPr>
          <w:p w14:paraId="019EB4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3685" w:type="dxa"/>
            <w:shd w:val="clear" w:color="auto" w:fill="F0F4FF"/>
          </w:tcPr>
          <w:p w14:paraId="0B2F79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总结全面准确，展望合理且具有前瞻性</w:t>
            </w:r>
          </w:p>
        </w:tc>
        <w:tc>
          <w:tcPr>
            <w:tcW w:w="2835" w:type="dxa"/>
            <w:shd w:val="clear" w:color="auto" w:fill="F0F4FF"/>
          </w:tcPr>
          <w:p w14:paraId="43B4D6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结合学科趋势与AI迭代方向的长远规划</w:t>
            </w:r>
          </w:p>
        </w:tc>
      </w:tr>
    </w:tbl>
    <w:p w14:paraId="3F61D6D0">
      <w:pPr>
        <w:pStyle w:val="4"/>
      </w:pPr>
      <w:r>
        <w:rPr>
          <w:rFonts w:ascii="微软雅黑" w:hAnsi="微软雅黑" w:eastAsia="微软雅黑"/>
          <w:color w:val="2D6BE0"/>
        </w:rPr>
        <w:t>1.3 技术方案参考大纲（八大部分）</w:t>
      </w:r>
    </w:p>
    <w:p w14:paraId="3570B374">
      <w:pPr>
        <w:ind w:firstLine="420"/>
      </w:pPr>
      <w:r>
        <w:rPr>
          <w:rFonts w:ascii="微软雅黑" w:hAnsi="微软雅黑" w:eastAsia="微软雅黑"/>
          <w:b w:val="0"/>
          <w:sz w:val="21"/>
        </w:rPr>
        <w:t>官方明确给出了技术方案的参考结构，提交材料应按此框架组织：</w:t>
      </w:r>
    </w:p>
    <w:p w14:paraId="60AD9056">
      <w:pPr>
        <w:pStyle w:val="16"/>
        <w:ind w:left="420"/>
      </w:pPr>
      <w:r>
        <w:rPr>
          <w:rFonts w:ascii="微软雅黑" w:hAnsi="微软雅黑" w:eastAsia="微软雅黑"/>
          <w:sz w:val="21"/>
        </w:rPr>
        <w:t>（一）项目概述：背景与意义（结合行业痛点+学科发展现状）、核心目标（AI赋能的具体目标）</w:t>
      </w:r>
    </w:p>
    <w:p w14:paraId="054E7D0E">
      <w:pPr>
        <w:pStyle w:val="16"/>
        <w:ind w:left="420"/>
      </w:pPr>
      <w:r>
        <w:rPr>
          <w:rFonts w:ascii="微软雅黑" w:hAnsi="微软雅黑" w:eastAsia="微软雅黑"/>
          <w:sz w:val="21"/>
        </w:rPr>
        <w:t>（二）需求分析：学科专业界定、核心痛点梳理（需调研数据/案例支撑）、AI赋能需求（界定融合切入点）</w:t>
      </w:r>
    </w:p>
    <w:p w14:paraId="48CFA815">
      <w:pPr>
        <w:pStyle w:val="16"/>
        <w:ind w:left="420"/>
      </w:pPr>
      <w:r>
        <w:rPr>
          <w:rFonts w:ascii="微软雅黑" w:hAnsi="微软雅黑" w:eastAsia="微软雅黑"/>
          <w:sz w:val="21"/>
        </w:rPr>
        <w:t>（三）解决方案设计：系统架构设计（分层架构图）、技术选型依据（与学科适配性）、核心技术模块（模块-需求对应）</w:t>
      </w:r>
    </w:p>
    <w:p w14:paraId="60BD3CB9">
      <w:pPr>
        <w:pStyle w:val="16"/>
        <w:ind w:left="420"/>
      </w:pPr>
      <w:r>
        <w:rPr>
          <w:rFonts w:ascii="微软雅黑" w:hAnsi="微软雅黑" w:eastAsia="微软雅黑"/>
          <w:sz w:val="21"/>
        </w:rPr>
        <w:t>（四）方案可行性：技术可行性、经济可行性（实施/运维成本）、推广价值（复用条件+落地路径+试点案例）</w:t>
      </w:r>
    </w:p>
    <w:p w14:paraId="4B7047A8">
      <w:pPr>
        <w:pStyle w:val="16"/>
        <w:ind w:left="420"/>
      </w:pPr>
      <w:r>
        <w:rPr>
          <w:rFonts w:ascii="微软雅黑" w:hAnsi="微软雅黑" w:eastAsia="微软雅黑"/>
          <w:sz w:val="21"/>
        </w:rPr>
        <w:t>（五）项目实施：实施计划（各阶段安排）、资源保障（硬件/软件/资金）、团队协作（专业背景+分工+机制）</w:t>
      </w:r>
    </w:p>
    <w:p w14:paraId="141852C4">
      <w:pPr>
        <w:pStyle w:val="16"/>
        <w:ind w:left="420"/>
      </w:pPr>
      <w:r>
        <w:rPr>
          <w:rFonts w:ascii="微软雅黑" w:hAnsi="微软雅黑" w:eastAsia="微软雅黑"/>
          <w:sz w:val="21"/>
        </w:rPr>
        <w:t>（六）应用效果：应用效果预期、成果展示（量化体现AI+学科交叉价值）</w:t>
      </w:r>
    </w:p>
    <w:p w14:paraId="2C423BF5">
      <w:pPr>
        <w:pStyle w:val="16"/>
        <w:ind w:left="420"/>
      </w:pPr>
      <w:r>
        <w:rPr>
          <w:rFonts w:ascii="微软雅黑" w:hAnsi="微软雅黑" w:eastAsia="微软雅黑"/>
          <w:sz w:val="21"/>
        </w:rPr>
        <w:t>（七）总结与展望：方案总结（亮点+不足）、未来展望（学科趋势+AI迭代+推广规划）</w:t>
      </w:r>
    </w:p>
    <w:p w14:paraId="3E4A7D75">
      <w:pPr>
        <w:pStyle w:val="16"/>
        <w:ind w:left="420"/>
      </w:pPr>
      <w:r>
        <w:rPr>
          <w:rFonts w:ascii="微软雅黑" w:hAnsi="微软雅黑" w:eastAsia="微软雅黑"/>
          <w:sz w:val="21"/>
        </w:rPr>
        <w:t>（八）附录：代码与模型、参考文献、其他材料（专利/检测报告/合同等）</w:t>
      </w:r>
    </w:p>
    <w:p w14:paraId="28C3B945">
      <w:r>
        <w:br w:type="page"/>
      </w:r>
    </w:p>
    <w:p w14:paraId="034DE640">
      <w:pPr>
        <w:pStyle w:val="3"/>
      </w:pPr>
      <w:r>
        <w:rPr>
          <w:rFonts w:ascii="微软雅黑" w:hAnsi="微软雅黑" w:eastAsia="微软雅黑"/>
          <w:color w:val="1A56DB"/>
        </w:rPr>
        <w:t>二、现有作品优势盘点</w:t>
      </w:r>
    </w:p>
    <w:p w14:paraId="1B393E14">
      <w:pPr>
        <w:ind w:firstLine="420"/>
      </w:pPr>
      <w:r>
        <w:rPr>
          <w:rFonts w:ascii="微软雅黑" w:hAnsi="微软雅黑" w:eastAsia="微软雅黑"/>
          <w:b w:val="0"/>
          <w:sz w:val="21"/>
        </w:rPr>
        <w:t>LearnLab作为软件杯A3赛题作品，已具备较为完整的技术体系和文档材料。以下核心优势可直接迁移至AIC赛事：</w:t>
      </w:r>
    </w:p>
    <w:p w14:paraId="73FBA986">
      <w:pPr>
        <w:pStyle w:val="4"/>
      </w:pPr>
      <w:r>
        <w:rPr>
          <w:rFonts w:ascii="微软雅黑" w:hAnsi="微软雅黑" w:eastAsia="微软雅黑"/>
          <w:color w:val="2D6BE0"/>
        </w:rPr>
        <w:t>2.1 技术体系优势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1984"/>
      </w:tblGrid>
      <w:tr w14:paraId="0C66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26502E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优势项</w:t>
            </w:r>
          </w:p>
        </w:tc>
        <w:tc>
          <w:tcPr>
            <w:tcW w:w="4535" w:type="dxa"/>
            <w:shd w:val="clear" w:color="auto" w:fill="1A56DB"/>
          </w:tcPr>
          <w:p w14:paraId="0C5101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1984" w:type="dxa"/>
            <w:shd w:val="clear" w:color="auto" w:fill="1A56DB"/>
          </w:tcPr>
          <w:p w14:paraId="6121C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AIC适配性</w:t>
            </w:r>
          </w:p>
        </w:tc>
      </w:tr>
      <w:tr w14:paraId="0CA0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B097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12Agent多智能体协同</w:t>
            </w:r>
          </w:p>
        </w:tc>
        <w:tc>
          <w:tcPr>
            <w:tcW w:w="4535" w:type="dxa"/>
          </w:tcPr>
          <w:p w14:paraId="2B5A3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LangGraph星型拓扑，自研教育角色体系（画像师/路径规划师/资源生成师/辅导助手等），三种协作模式+反思循环</w:t>
            </w:r>
          </w:p>
        </w:tc>
        <w:tc>
          <w:tcPr>
            <w:tcW w:w="1984" w:type="dxa"/>
          </w:tcPr>
          <w:p w14:paraId="49342D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直接对应"AI技术应用新场景"</w:t>
            </w:r>
          </w:p>
        </w:tc>
      </w:tr>
      <w:tr w14:paraId="4598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428CD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ADPP自适应路径算法</w:t>
            </w:r>
          </w:p>
        </w:tc>
        <w:tc>
          <w:tcPr>
            <w:tcW w:w="4535" w:type="dxa"/>
            <w:shd w:val="clear" w:color="auto" w:fill="F0F4FF"/>
          </w:tcPr>
          <w:p w14:paraId="5D3D6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融合关键路径法(CPM)+贝叶斯知识追踪(BKT)+六因子学习成本模型+加权拓扑排序，约500行自研</w:t>
            </w:r>
          </w:p>
        </w:tc>
        <w:tc>
          <w:tcPr>
            <w:tcW w:w="1984" w:type="dxa"/>
            <w:shd w:val="clear" w:color="auto" w:fill="F0F4FF"/>
          </w:tcPr>
          <w:p w14:paraId="1CB56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学科问题解决新方法的核心例证</w:t>
            </w:r>
          </w:p>
        </w:tc>
      </w:tr>
      <w:tr w14:paraId="288D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733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浏览器端MNA电路仿真</w:t>
            </w:r>
          </w:p>
        </w:tc>
        <w:tc>
          <w:tcPr>
            <w:tcW w:w="4535" w:type="dxa"/>
          </w:tcPr>
          <w:p w14:paraId="425E0B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并查集+MNA矩阵+列主元高斯消元，约400行TypeScript纯前端实现，零后端依赖</w:t>
            </w:r>
          </w:p>
        </w:tc>
        <w:tc>
          <w:tcPr>
            <w:tcW w:w="1984" w:type="dxa"/>
          </w:tcPr>
          <w:p w14:paraId="23171F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最强学科交叉亮点（AI+电路分析）</w:t>
            </w:r>
          </w:p>
        </w:tc>
      </w:tr>
      <w:tr w14:paraId="037C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47E09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苏格拉底式状态感知辅导</w:t>
            </w:r>
          </w:p>
        </w:tc>
        <w:tc>
          <w:tcPr>
            <w:tcW w:w="4535" w:type="dxa"/>
            <w:shd w:val="clear" w:color="auto" w:fill="F0F4FF"/>
          </w:tcPr>
          <w:p w14:paraId="5613A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4种学习状态检测（挫败/困惑/自信/中性）+动态策略调整，WebSocket流式</w:t>
            </w:r>
          </w:p>
        </w:tc>
        <w:tc>
          <w:tcPr>
            <w:tcW w:w="1984" w:type="dxa"/>
            <w:shd w:val="clear" w:color="auto" w:fill="F0F4FF"/>
          </w:tcPr>
          <w:p w14:paraId="4413A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教学新模式的典型体现</w:t>
            </w:r>
          </w:p>
        </w:tc>
      </w:tr>
      <w:tr w14:paraId="19C4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641BA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6道防幻觉防线</w:t>
            </w:r>
          </w:p>
        </w:tc>
        <w:tc>
          <w:tcPr>
            <w:tcW w:w="4535" w:type="dxa"/>
          </w:tcPr>
          <w:p w14:paraId="4263A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输入过滤→Prompt加固→结构校验→代码校验→引用溯源→LLM自我纠错+知识图谱结构化约束</w:t>
            </w:r>
          </w:p>
        </w:tc>
        <w:tc>
          <w:tcPr>
            <w:tcW w:w="1984" w:type="dxa"/>
          </w:tcPr>
          <w:p w14:paraId="1CA3B3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技术可行性与安全性保障</w:t>
            </w:r>
          </w:p>
        </w:tc>
      </w:tr>
      <w:tr w14:paraId="5892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3FDF3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多模态资源生成</w:t>
            </w:r>
          </w:p>
        </w:tc>
        <w:tc>
          <w:tcPr>
            <w:tcW w:w="4535" w:type="dxa"/>
            <w:shd w:val="clear" w:color="auto" w:fill="F0F4FF"/>
          </w:tcPr>
          <w:p w14:paraId="0F815E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7种资源类型（文档/代码/练习/思维导图/PPT/实操项目/算法可视化）</w:t>
            </w:r>
          </w:p>
        </w:tc>
        <w:tc>
          <w:tcPr>
            <w:tcW w:w="1984" w:type="dxa"/>
            <w:shd w:val="clear" w:color="auto" w:fill="F0F4FF"/>
          </w:tcPr>
          <w:p w14:paraId="703B3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覆盖教学多环节</w:t>
            </w:r>
          </w:p>
        </w:tc>
      </w:tr>
    </w:tbl>
    <w:p w14:paraId="12DC6E74">
      <w:pPr>
        <w:pStyle w:val="4"/>
      </w:pPr>
      <w:r>
        <w:rPr>
          <w:rFonts w:ascii="微软雅黑" w:hAnsi="微软雅黑" w:eastAsia="微软雅黑"/>
          <w:color w:val="2D6BE0"/>
        </w:rPr>
        <w:t>2.2 已有材料清单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1984"/>
      </w:tblGrid>
      <w:tr w14:paraId="1BD2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36EAEE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材料类型</w:t>
            </w:r>
          </w:p>
        </w:tc>
        <w:tc>
          <w:tcPr>
            <w:tcW w:w="4535" w:type="dxa"/>
            <w:shd w:val="clear" w:color="auto" w:fill="1A56DB"/>
          </w:tcPr>
          <w:p w14:paraId="4764FC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现有状态</w:t>
            </w:r>
          </w:p>
        </w:tc>
        <w:tc>
          <w:tcPr>
            <w:tcW w:w="1984" w:type="dxa"/>
            <w:shd w:val="clear" w:color="auto" w:fill="1A56DB"/>
          </w:tcPr>
          <w:p w14:paraId="7B1586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完整度</w:t>
            </w:r>
          </w:p>
        </w:tc>
      </w:tr>
      <w:tr w14:paraId="18D6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92E46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系统开发说明书</w:t>
            </w:r>
          </w:p>
        </w:tc>
        <w:tc>
          <w:tcPr>
            <w:tcW w:w="4535" w:type="dxa"/>
          </w:tcPr>
          <w:p w14:paraId="5F0D3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14章，含需求分析、系统设计、Agent设计、算法详解、部署方案等</w:t>
            </w:r>
          </w:p>
        </w:tc>
        <w:tc>
          <w:tcPr>
            <w:tcW w:w="1984" w:type="dxa"/>
          </w:tcPr>
          <w:p w14:paraId="4E8B6F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结构需按AIC大纲重组</w:t>
            </w:r>
          </w:p>
        </w:tc>
      </w:tr>
      <w:tr w14:paraId="596A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550790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测试说明书</w:t>
            </w:r>
          </w:p>
        </w:tc>
        <w:tc>
          <w:tcPr>
            <w:tcW w:w="4535" w:type="dxa"/>
            <w:shd w:val="clear" w:color="auto" w:fill="F0F4FF"/>
          </w:tcPr>
          <w:p w14:paraId="217B14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12章，39个E2E用例+167+API测试+性能/安全/兼容性测试</w:t>
            </w:r>
          </w:p>
        </w:tc>
        <w:tc>
          <w:tcPr>
            <w:tcW w:w="1984" w:type="dxa"/>
            <w:shd w:val="clear" w:color="auto" w:fill="F0F4FF"/>
          </w:tcPr>
          <w:p w14:paraId="581AB4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可直接作为附录佐证</w:t>
            </w:r>
          </w:p>
        </w:tc>
      </w:tr>
      <w:tr w14:paraId="0994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BE2C2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挑战赛优化文档</w:t>
            </w:r>
          </w:p>
        </w:tc>
        <w:tc>
          <w:tcPr>
            <w:tcW w:w="4535" w:type="dxa"/>
          </w:tcPr>
          <w:p w14:paraId="03FB1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15项优化亮点（5项Bug修复+5项功能增强+3项UI+2项架构）</w:t>
            </w:r>
          </w:p>
        </w:tc>
        <w:tc>
          <w:tcPr>
            <w:tcW w:w="1984" w:type="dxa"/>
          </w:tcPr>
          <w:p w14:paraId="794C9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可融入项目实施部分</w:t>
            </w:r>
          </w:p>
        </w:tc>
      </w:tr>
      <w:tr w14:paraId="08DC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75E60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PPT演示文稿</w:t>
            </w:r>
          </w:p>
        </w:tc>
        <w:tc>
          <w:tcPr>
            <w:tcW w:w="4535" w:type="dxa"/>
            <w:shd w:val="clear" w:color="auto" w:fill="F0F4FF"/>
          </w:tcPr>
          <w:p w14:paraId="53805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25页，覆盖背景/功能/创新/架构/总结</w:t>
            </w:r>
          </w:p>
        </w:tc>
        <w:tc>
          <w:tcPr>
            <w:tcW w:w="1984" w:type="dxa"/>
            <w:shd w:val="clear" w:color="auto" w:fill="F0F4FF"/>
          </w:tcPr>
          <w:p w14:paraId="35805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★★★☆☆ 需重新定位为学科交叉主题</w:t>
            </w:r>
          </w:p>
        </w:tc>
      </w:tr>
      <w:tr w14:paraId="5B6E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1CE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完整源代码</w:t>
            </w:r>
          </w:p>
        </w:tc>
        <w:tc>
          <w:tcPr>
            <w:tcW w:w="4535" w:type="dxa"/>
          </w:tcPr>
          <w:p w14:paraId="3009D7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前端React+TS，后端Python+FastAPI，12Agent+4算法+MNA仿真</w:t>
            </w:r>
          </w:p>
        </w:tc>
        <w:tc>
          <w:tcPr>
            <w:tcW w:w="1984" w:type="dxa"/>
          </w:tcPr>
          <w:p w14:paraId="5C2CB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附录代码材料</w:t>
            </w:r>
          </w:p>
        </w:tc>
      </w:tr>
    </w:tbl>
    <w:p w14:paraId="2F59D739">
      <w:pPr>
        <w:pStyle w:val="4"/>
      </w:pPr>
      <w:r>
        <w:rPr>
          <w:rFonts w:ascii="微软雅黑" w:hAnsi="微软雅黑" w:eastAsia="微软雅黑"/>
          <w:color w:val="2D6BE0"/>
        </w:rPr>
        <w:t>2.3 学科交叉天然基础</w:t>
      </w:r>
    </w:p>
    <w:p w14:paraId="6E0D084A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现有作品已覆盖三门课程，本身具备学科交叉属性：</w:t>
      </w:r>
    </w:p>
    <w:p w14:paraId="7B821298">
      <w:pPr>
        <w:pStyle w:val="16"/>
        <w:ind w:left="420"/>
      </w:pPr>
      <w:r>
        <w:rPr>
          <w:rFonts w:ascii="微软雅黑" w:hAnsi="微软雅黑" w:eastAsia="微软雅黑"/>
          <w:sz w:val="21"/>
        </w:rPr>
        <w:t>C语言程序设计 —— 计算机科学与技术专业核心基础课</w:t>
      </w:r>
    </w:p>
    <w:p w14:paraId="5500E26A">
      <w:pPr>
        <w:pStyle w:val="16"/>
        <w:ind w:left="420"/>
      </w:pPr>
      <w:r>
        <w:rPr>
          <w:rFonts w:ascii="微软雅黑" w:hAnsi="微软雅黑" w:eastAsia="微软雅黑"/>
          <w:sz w:val="21"/>
        </w:rPr>
        <w:t>电路分析 —— 电子信息类专业核心基础课</w:t>
      </w:r>
    </w:p>
    <w:p w14:paraId="737D9EB4">
      <w:pPr>
        <w:pStyle w:val="16"/>
        <w:ind w:left="420"/>
      </w:pPr>
      <w:r>
        <w:rPr>
          <w:rFonts w:ascii="微软雅黑" w:hAnsi="微软雅黑" w:eastAsia="微软雅黑"/>
          <w:sz w:val="21"/>
        </w:rPr>
        <w:t>STM32嵌入式 —— 计算机/电子/自动化交叉领域实践课</w:t>
      </w:r>
    </w:p>
    <w:p w14:paraId="6C82D1BE">
      <w:pPr>
        <w:ind w:firstLine="420"/>
      </w:pPr>
      <w:r>
        <w:rPr>
          <w:rFonts w:ascii="微软雅黑" w:hAnsi="微软雅黑" w:eastAsia="微软雅黑"/>
          <w:b/>
          <w:sz w:val="21"/>
        </w:rPr>
        <w:t>这一组合天然契合"新工科背景下计算机与电子信息学科交叉"的定位，MNA电路仿真+AI分析更是AI赋能实验实训的典型案例。</w:t>
      </w:r>
    </w:p>
    <w:p w14:paraId="21DEA4E4">
      <w:r>
        <w:br w:type="page"/>
      </w:r>
    </w:p>
    <w:p w14:paraId="1D692AB1">
      <w:pPr>
        <w:pStyle w:val="3"/>
      </w:pPr>
      <w:r>
        <w:rPr>
          <w:rFonts w:ascii="微软雅黑" w:hAnsi="微软雅黑" w:eastAsia="微软雅黑"/>
          <w:color w:val="1A56DB"/>
        </w:rPr>
        <w:t>三、六大评分维度差距分析</w:t>
      </w:r>
    </w:p>
    <w:p w14:paraId="7D4D63B3">
      <w:pPr>
        <w:ind w:firstLine="420"/>
      </w:pPr>
      <w:r>
        <w:rPr>
          <w:rFonts w:ascii="微软雅黑" w:hAnsi="微软雅黑" w:eastAsia="微软雅黑"/>
          <w:b w:val="0"/>
          <w:sz w:val="21"/>
        </w:rPr>
        <w:t>以下按AIC评分规则的六个维度，逐项对比现有作品与高分标准的差距。</w:t>
      </w:r>
    </w:p>
    <w:p w14:paraId="1D7D0CE5">
      <w:pPr>
        <w:pStyle w:val="4"/>
      </w:pPr>
      <w:r>
        <w:rPr>
          <w:rFonts w:ascii="微软雅黑" w:hAnsi="微软雅黑" w:eastAsia="微软雅黑"/>
          <w:color w:val="2D6BE0"/>
        </w:rPr>
        <w:t>3.1 创新性（20分）—— 当前预估：12-14分</w:t>
      </w:r>
    </w:p>
    <w:p w14:paraId="72EFD11E">
      <w:r>
        <w:rPr>
          <w:rFonts w:ascii="微软雅黑" w:hAnsi="微软雅黑" w:eastAsia="微软雅黑"/>
          <w:b/>
          <w:sz w:val="21"/>
        </w:rPr>
        <w:t>现有优势：</w:t>
      </w:r>
    </w:p>
    <w:p w14:paraId="6707B967">
      <w:pPr>
        <w:pStyle w:val="16"/>
        <w:ind w:left="420"/>
      </w:pPr>
      <w:r>
        <w:rPr>
          <w:rFonts w:ascii="微软雅黑" w:hAnsi="微软雅黑" w:eastAsia="微软雅黑"/>
          <w:sz w:val="21"/>
        </w:rPr>
        <w:t>12Agent教育角色体系为教育场景从零设计，非通用框架套用</w:t>
      </w:r>
    </w:p>
    <w:p w14:paraId="6965FEAC">
      <w:pPr>
        <w:pStyle w:val="16"/>
        <w:ind w:left="420"/>
      </w:pPr>
      <w:r>
        <w:rPr>
          <w:rFonts w:ascii="微软雅黑" w:hAnsi="微软雅黑" w:eastAsia="微软雅黑"/>
          <w:sz w:val="21"/>
        </w:rPr>
        <w:t>ADPP算法融合CPM+BKT+加权拓扑排序，有自研深度</w:t>
      </w:r>
    </w:p>
    <w:p w14:paraId="7ED84278">
      <w:pPr>
        <w:pStyle w:val="16"/>
        <w:ind w:left="420"/>
      </w:pPr>
      <w:r>
        <w:rPr>
          <w:rFonts w:ascii="微软雅黑" w:hAnsi="微软雅黑" w:eastAsia="微软雅黑"/>
          <w:sz w:val="21"/>
        </w:rPr>
        <w:t>MNA电路仿真引擎为浏览器端数值求解，技术差异化显著</w:t>
      </w:r>
    </w:p>
    <w:p w14:paraId="0088EE85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6E314E98">
      <w:pPr>
        <w:pStyle w:val="16"/>
        <w:ind w:left="420"/>
      </w:pPr>
      <w:r>
        <w:rPr>
          <w:rFonts w:ascii="微软雅黑" w:hAnsi="微软雅黑" w:eastAsia="微软雅黑"/>
          <w:sz w:val="21"/>
        </w:rPr>
        <w:t>创新点表述偏向"技术实现创新"，未充分上升到"学科问题解决新方法/教学科研新模式"的层面</w:t>
      </w:r>
    </w:p>
    <w:p w14:paraId="52E130BC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缺少与传统学科建设方式的系统性对比（如：传统电路实验教学 vs LearnLab电路仿真+AI分析的范式差异）</w:t>
      </w:r>
    </w:p>
    <w:p w14:paraId="1D828ECB">
      <w:pPr>
        <w:pStyle w:val="16"/>
        <w:ind w:left="420"/>
      </w:pPr>
      <w:r>
        <w:rPr>
          <w:rFonts w:ascii="微软雅黑" w:hAnsi="微软雅黑" w:eastAsia="微软雅黑"/>
          <w:sz w:val="21"/>
        </w:rPr>
        <w:t>"AI+学科交叉"的交叉深度未被充分挖掘——C语言偏教学、电路分析偏实验，但两者之间的交叉协同（如用AI打通"编程思维→电路建模→嵌入式实现"的跨学科学习链路）未被强调</w:t>
      </w:r>
    </w:p>
    <w:p w14:paraId="5E669679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缺少学术层面的创新定位（如是否参考了学习科学、教育技术学的理论框架）</w:t>
      </w:r>
    </w:p>
    <w:p w14:paraId="54BE4916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759C36D7">
      <w:pPr>
        <w:pStyle w:val="16"/>
        <w:ind w:left="420"/>
      </w:pPr>
      <w:r>
        <w:rPr>
          <w:rFonts w:ascii="微软雅黑" w:hAnsi="微软雅黑" w:eastAsia="微软雅黑"/>
          <w:sz w:val="21"/>
        </w:rPr>
        <w:t>将创新点重新包装为三个"学科交叉新模式"：①AI驱动的个性化教学新模式（ADPP+6维画像）；②AI赋能的虚拟实验实训新模式（MNA仿真+AI电路分析）；③多智能体协同的跨学科学习辅导新模式（12Agent+苏格拉底式辅导）</w:t>
      </w:r>
    </w:p>
    <w:p w14:paraId="7C32CBFD">
      <w:pPr>
        <w:pStyle w:val="16"/>
        <w:ind w:left="420"/>
      </w:pPr>
      <w:r>
        <w:rPr>
          <w:rFonts w:ascii="微软雅黑" w:hAnsi="微软雅黑" w:eastAsia="微软雅黑"/>
          <w:sz w:val="21"/>
        </w:rPr>
        <w:t>增加"与传统学科建设方式对比"专节，从教学效率、资源利用率、学生参与度、实验可及性四个维度量化对比</w:t>
      </w:r>
    </w:p>
    <w:p w14:paraId="06CFE801">
      <w:pPr>
        <w:pStyle w:val="16"/>
        <w:ind w:left="420"/>
      </w:pPr>
      <w:r>
        <w:rPr>
          <w:rFonts w:ascii="微软雅黑" w:hAnsi="微软雅黑" w:eastAsia="微软雅黑"/>
          <w:sz w:val="21"/>
        </w:rPr>
        <w:t>强化"计算机+电子信息"新工科交叉定位，突出编程-电路-嵌入式的跨学科学习链路设计</w:t>
      </w:r>
    </w:p>
    <w:p w14:paraId="727DBEDD">
      <w:pPr>
        <w:pStyle w:val="4"/>
      </w:pPr>
      <w:r>
        <w:rPr>
          <w:rFonts w:ascii="微软雅黑" w:hAnsi="微软雅黑" w:eastAsia="微软雅黑"/>
          <w:color w:val="2D6BE0"/>
        </w:rPr>
        <w:t>3.2 需求分析（15分）—— 当前预估：9-11分</w:t>
      </w:r>
    </w:p>
    <w:p w14:paraId="76FD09F8">
      <w:r>
        <w:rPr>
          <w:rFonts w:ascii="微软雅黑" w:hAnsi="微软雅黑" w:eastAsia="微软雅黑"/>
          <w:b/>
          <w:sz w:val="21"/>
        </w:rPr>
        <w:t>现有优势：</w:t>
      </w:r>
    </w:p>
    <w:p w14:paraId="7F0AD8F8">
      <w:pPr>
        <w:pStyle w:val="16"/>
        <w:ind w:left="420"/>
      </w:pPr>
      <w:r>
        <w:rPr>
          <w:rFonts w:ascii="微软雅黑" w:hAnsi="微软雅黑" w:eastAsia="微软雅黑"/>
          <w:sz w:val="21"/>
        </w:rPr>
        <w:t>有四大核心痛点分析（标准化教学/资源错配/即时辅导缺失/教师负担重）</w:t>
      </w:r>
    </w:p>
    <w:p w14:paraId="4C07ABB0">
      <w:pPr>
        <w:pStyle w:val="16"/>
        <w:ind w:left="420"/>
      </w:pPr>
      <w:r>
        <w:rPr>
          <w:rFonts w:ascii="微软雅黑" w:hAnsi="微软雅黑" w:eastAsia="微软雅黑"/>
          <w:sz w:val="21"/>
        </w:rPr>
        <w:t>有具体场景分析（课前预习/课后辅导/教学管理）</w:t>
      </w:r>
    </w:p>
    <w:p w14:paraId="063D2768">
      <w:pPr>
        <w:pStyle w:val="16"/>
        <w:ind w:left="420"/>
      </w:pPr>
      <w:r>
        <w:rPr>
          <w:rFonts w:ascii="微软雅黑" w:hAnsi="微软雅黑" w:eastAsia="微软雅黑"/>
          <w:sz w:val="21"/>
        </w:rPr>
        <w:t>痛点→Agent的完整映射表</w:t>
      </w:r>
    </w:p>
    <w:p w14:paraId="235F2B08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28F9AFEE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学科专业界定不够明确——现有说"高校计算机教育"，但AIC要求"明确界定具体学科专业"，需精确到"计算机科学与技术/电子信息工程"等一级学科，并说明聚焦的核心环节（教学实践/实验实训/自主学习）</w:t>
      </w:r>
    </w:p>
    <w:p w14:paraId="3428099E">
      <w:pPr>
        <w:pStyle w:val="16"/>
        <w:ind w:left="420"/>
      </w:pPr>
      <w:r>
        <w:rPr>
          <w:rFonts w:ascii="微软雅黑" w:hAnsi="微软雅黑" w:eastAsia="微软雅黑"/>
          <w:sz w:val="21"/>
        </w:rPr>
        <w:t>痛点数据来源不明——文档中出现78%/72%/85%等比例，但未说明调研样本、调研时间、调研方法，评审会质疑数据真实性</w:t>
      </w:r>
    </w:p>
    <w:p w14:paraId="3D286C2D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缺少学科核心环节的系统性梳理——AIC要求分析"理论研究/教学/实验/科研/自主学习"等核心环节，现有主要聚焦教学和自主学习，实验实训部分（电路仿真）的需求分析较薄弱</w:t>
      </w:r>
    </w:p>
    <w:p w14:paraId="186E710B">
      <w:pPr>
        <w:pStyle w:val="16"/>
        <w:ind w:left="420"/>
      </w:pPr>
      <w:r>
        <w:rPr>
          <w:rFonts w:ascii="微软雅黑" w:hAnsi="微软雅黑" w:eastAsia="微软雅黑"/>
          <w:sz w:val="21"/>
        </w:rPr>
        <w:t>AI赋能需求的切入点界定不够清晰——需要明确说明为什么这些痛点必须用AI解决，而非传统信息化手段</w:t>
      </w:r>
    </w:p>
    <w:p w14:paraId="5E70794A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398F2D29">
      <w:pPr>
        <w:pStyle w:val="16"/>
        <w:ind w:left="420"/>
      </w:pPr>
      <w:r>
        <w:rPr>
          <w:rFonts w:ascii="微软雅黑" w:hAnsi="微软雅黑" w:eastAsia="微软雅黑"/>
          <w:sz w:val="21"/>
        </w:rPr>
        <w:t>明确学科定位："本作品聚焦新工科背景下计算机科学与技术、电子信息工程两大学科交叉领域，核心面向C语言程序设计（教学环节）、电路分析基础（实验实训环节）、嵌入式系统开发（自主学习环节）三门核心课程"</w:t>
      </w:r>
    </w:p>
    <w:p w14:paraId="0B3B5670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补充调研说明：若有真实调研数据，注明样本量（如"面向南京工业大学等3所高校120名计算机/电子专业大一学生的问卷调研"）；若无，将比例改为定性描述或补充小规模访谈记录</w:t>
      </w:r>
    </w:p>
    <w:p w14:paraId="6830EC3E">
      <w:pPr>
        <w:pStyle w:val="16"/>
        <w:ind w:left="420"/>
      </w:pPr>
      <w:r>
        <w:rPr>
          <w:rFonts w:ascii="微软雅黑" w:hAnsi="微软雅黑" w:eastAsia="微软雅黑"/>
          <w:sz w:val="21"/>
        </w:rPr>
        <w:t>增加"实验实训环节痛点"专节：传统电路实验受限于实验室开放时间、设备数量、安全风险，学生无法随时反复练习——这是MNA仿真的核心需求场景</w:t>
      </w:r>
    </w:p>
    <w:p w14:paraId="067E5786">
      <w:pPr>
        <w:pStyle w:val="16"/>
        <w:ind w:left="420"/>
      </w:pPr>
      <w:r>
        <w:rPr>
          <w:rFonts w:ascii="微软雅黑" w:hAnsi="微软雅黑" w:eastAsia="微软雅黑"/>
          <w:sz w:val="21"/>
        </w:rPr>
        <w:t>增加"AI赋能必要性论证"：对比传统LMS（超星/智慧树）为何无法解决这些痛点，AI的不可替代性在哪里</w:t>
      </w:r>
    </w:p>
    <w:p w14:paraId="6AA7245F">
      <w:pPr>
        <w:pStyle w:val="4"/>
      </w:pPr>
      <w:r>
        <w:rPr>
          <w:rFonts w:ascii="微软雅黑" w:hAnsi="微软雅黑" w:eastAsia="微软雅黑"/>
          <w:color w:val="2D6BE0"/>
        </w:rPr>
        <w:t>3.3 方案可行性（20分）—— 当前预估：12-14分</w:t>
      </w:r>
    </w:p>
    <w:p w14:paraId="68643E57">
      <w:r>
        <w:rPr>
          <w:rFonts w:ascii="微软雅黑" w:hAnsi="微软雅黑" w:eastAsia="微软雅黑"/>
          <w:b/>
          <w:sz w:val="21"/>
        </w:rPr>
        <w:t>现有优势：</w:t>
      </w:r>
    </w:p>
    <w:p w14:paraId="026B2EEB">
      <w:pPr>
        <w:pStyle w:val="16"/>
        <w:ind w:left="420"/>
      </w:pPr>
      <w:r>
        <w:rPr>
          <w:rFonts w:ascii="微软雅黑" w:hAnsi="微软雅黑" w:eastAsia="微软雅黑"/>
          <w:sz w:val="21"/>
        </w:rPr>
        <w:t>技术选型有详细说明（React+FastAPI+LangGraph+SQLite），且有版本号和选型理由</w:t>
      </w:r>
    </w:p>
    <w:p w14:paraId="5DB655DE">
      <w:pPr>
        <w:pStyle w:val="16"/>
        <w:ind w:left="420"/>
      </w:pPr>
      <w:r>
        <w:rPr>
          <w:rFonts w:ascii="微软雅黑" w:hAnsi="微软雅黑" w:eastAsia="微软雅黑"/>
          <w:sz w:val="21"/>
        </w:rPr>
        <w:t>有Docker一键部署方案，技术成熟度高</w:t>
      </w:r>
    </w:p>
    <w:p w14:paraId="6CDEF36D">
      <w:pPr>
        <w:pStyle w:val="16"/>
        <w:ind w:left="420"/>
      </w:pPr>
      <w:r>
        <w:rPr>
          <w:rFonts w:ascii="微软雅黑" w:hAnsi="微软雅黑" w:eastAsia="微软雅黑"/>
          <w:sz w:val="21"/>
        </w:rPr>
        <w:t>有完整的测试体系证明系统可运行</w:t>
      </w:r>
    </w:p>
    <w:p w14:paraId="48BEA4BA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0D7F6542">
      <w:pPr>
        <w:pStyle w:val="16"/>
        <w:ind w:left="420"/>
      </w:pPr>
      <w:r>
        <w:rPr>
          <w:rFonts w:ascii="微软雅黑" w:hAnsi="微软雅黑" w:eastAsia="微软雅黑"/>
          <w:sz w:val="21"/>
        </w:rPr>
        <w:t>经济可行性完全缺失——AIC明确要求"分析实施成本、运维成本，说明成本可控性"，现有文档无任何成本分析</w:t>
      </w:r>
    </w:p>
    <w:p w14:paraId="6B9F0E0A">
      <w:pPr>
        <w:pStyle w:val="16"/>
        <w:ind w:left="420"/>
      </w:pPr>
      <w:r>
        <w:rPr>
          <w:rFonts w:ascii="微软雅黑" w:hAnsi="微软雅黑" w:eastAsia="微软雅黑"/>
          <w:sz w:val="21"/>
        </w:rPr>
        <w:t>推广价值论述不足——缺少"在同类学科或院校的复用条件、实施成本及落地路径"的系统说明</w:t>
      </w:r>
    </w:p>
    <w:p w14:paraId="043BD658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缺少小规模试点应用案例——AIC"鼓励提供小规模试点应用案例"，现有无任何真实部署/试用记录</w:t>
      </w:r>
    </w:p>
    <w:p w14:paraId="40E52B29">
      <w:pPr>
        <w:pStyle w:val="16"/>
        <w:ind w:left="420"/>
      </w:pPr>
      <w:r>
        <w:rPr>
          <w:rFonts w:ascii="微软雅黑" w:hAnsi="微软雅黑" w:eastAsia="微软雅黑"/>
          <w:sz w:val="21"/>
        </w:rPr>
        <w:t>技术可行性中对大模型API依赖的风险分析不足——系统核心功能依赖外部LLM API，需说明API成本、可用性、降级方案</w:t>
      </w:r>
    </w:p>
    <w:p w14:paraId="1924B6EE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101AD399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补充经济可行性分析：①一次性部署成本（服务器配置估算，如2核4G云服务器约¥200/月）；②LLM API调用成本估算（按每学生每日10次调用、讯飞星火约¥0.01/次，100学生/月约¥300）；③运维人力成本（学生团队志愿维护）；④对比传统实验室建设成本（电路实验室设备动辄数十万）凸显性价比</w:t>
      </w:r>
    </w:p>
    <w:p w14:paraId="06A3C02D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补充推广路径：第一阶段（本校计算机/电子专业试点）→第二阶段（省内同类院校推广）→第三阶段（开放学科内容模板，支持其他学科接入）</w:t>
      </w:r>
    </w:p>
    <w:p w14:paraId="392256FE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补充复用条件说明：系统采用学科内容与平台架构解耦设计，新增学科只需补充知识点DAG和内容库，Agent框架和算法可直接复用</w:t>
      </w:r>
    </w:p>
    <w:p w14:paraId="56481928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补充LLM依赖风险与降级方案：支持5种LLM切换，单一服务商故障可自动切换；非LLM核心功能（电路仿真、知识图谱、游戏化）不依赖API</w:t>
      </w:r>
    </w:p>
    <w:p w14:paraId="25249ACD">
      <w:pPr>
        <w:pStyle w:val="4"/>
      </w:pPr>
      <w:r>
        <w:rPr>
          <w:rFonts w:ascii="微软雅黑" w:hAnsi="微软雅黑" w:eastAsia="微软雅黑"/>
          <w:color w:val="2D6BE0"/>
        </w:rPr>
        <w:t>3.4 项目实施（20分）—— 当前预估：8-10分【最大短板之一】</w:t>
      </w:r>
    </w:p>
    <w:p w14:paraId="76A5E623">
      <w:r>
        <w:rPr>
          <w:rFonts w:ascii="微软雅黑" w:hAnsi="微软雅黑" w:eastAsia="微软雅黑"/>
          <w:b/>
          <w:sz w:val="21"/>
        </w:rPr>
        <w:t>现有优势：</w:t>
      </w:r>
    </w:p>
    <w:p w14:paraId="3141976B">
      <w:pPr>
        <w:pStyle w:val="16"/>
        <w:ind w:left="420"/>
      </w:pPr>
      <w:r>
        <w:rPr>
          <w:rFonts w:ascii="微软雅黑" w:hAnsi="微软雅黑" w:eastAsia="微软雅黑"/>
          <w:sz w:val="21"/>
        </w:rPr>
        <w:t>有15项优化的Git提交记录，证明迭代过程</w:t>
      </w:r>
    </w:p>
    <w:p w14:paraId="66DC8696">
      <w:pPr>
        <w:pStyle w:val="16"/>
        <w:ind w:left="420"/>
      </w:pPr>
      <w:r>
        <w:rPr>
          <w:rFonts w:ascii="微软雅黑" w:hAnsi="微软雅黑" w:eastAsia="微软雅黑"/>
          <w:sz w:val="21"/>
        </w:rPr>
        <w:t>有完整的开发文档和测试文档</w:t>
      </w:r>
    </w:p>
    <w:p w14:paraId="196DFB9E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02606528">
      <w:pPr>
        <w:pStyle w:val="16"/>
        <w:ind w:left="420"/>
      </w:pPr>
      <w:r>
        <w:rPr>
          <w:rFonts w:ascii="微软雅黑" w:hAnsi="微软雅黑" w:eastAsia="微软雅黑"/>
          <w:sz w:val="21"/>
        </w:rPr>
        <w:t>完全缺少团队介绍——AIC要求"介绍项目团队成员的专业背景与分工，说明团队的协作机制"，现有所有文档中无团队成员信息</w:t>
      </w:r>
    </w:p>
    <w:p w14:paraId="2031803C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缺少详细的实施计划/时间线——现有文档没有项目各阶段的时间安排（需求分析→设计→开发→测试→试点的时间节点）</w:t>
      </w:r>
    </w:p>
    <w:p w14:paraId="6FCC6244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缺少资源保障说明——硬件资源（开发设备、服务器）、软件资源（开发工具、LLM API配额）、资金预算均未提及</w:t>
      </w:r>
    </w:p>
    <w:p w14:paraId="3FB2A910">
      <w:pPr>
        <w:pStyle w:val="16"/>
        <w:ind w:left="420"/>
      </w:pPr>
      <w:r>
        <w:rPr>
          <w:rFonts w:ascii="微软雅黑" w:hAnsi="微软雅黑" w:eastAsia="微软雅黑"/>
          <w:sz w:val="21"/>
        </w:rPr>
        <w:t>跨专业组队的协作机制未说明——如果团队成员来自不同专业（计算机/电子/教育技术等），需说明如何协作</w:t>
      </w:r>
    </w:p>
    <w:p w14:paraId="7E1FA0F7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16AF3919">
      <w:pPr>
        <w:pStyle w:val="16"/>
        <w:ind w:left="420"/>
      </w:pPr>
      <w:r>
        <w:rPr>
          <w:rFonts w:ascii="微软雅黑" w:hAnsi="微软雅黑" w:eastAsia="微软雅黑"/>
          <w:sz w:val="21"/>
        </w:rPr>
        <w:t>新增"团队介绍"章节：每位成员的姓名、专业年级、技术角色、负责模块（如：张三-计算机科学与技术大二-后端架构与Agent开发；李四-电子信息工程大二-电路仿真引擎与STM32内容；王五-数据科学大二-算法设计与数据分析）</w:t>
      </w:r>
    </w:p>
    <w:p w14:paraId="69390C64">
      <w:pPr>
        <w:pStyle w:val="16"/>
        <w:ind w:left="420"/>
      </w:pPr>
      <w:r>
        <w:rPr>
          <w:rFonts w:ascii="微软雅黑" w:hAnsi="微软雅黑" w:eastAsia="微软雅黑"/>
          <w:sz w:val="21"/>
        </w:rPr>
        <w:t>新增"实施计划"甘特图或时间线表：①需求调研与学科界定（第1-2周）；②系统架构设计与技术选型（第3周）；③核心模块开发（第4-10周）；④测试与优化（第11-12周）；⑤小规模试点与数据收集（第13-14周）；⑥文档整理与提交（第15周）</w:t>
      </w:r>
    </w:p>
    <w:p w14:paraId="515D8651">
      <w:pPr>
        <w:pStyle w:val="16"/>
        <w:ind w:left="420"/>
      </w:pPr>
      <w:r>
        <w:rPr>
          <w:rFonts w:ascii="微软雅黑" w:hAnsi="微软雅黑" w:eastAsia="微软雅黑"/>
          <w:sz w:val="21"/>
        </w:rPr>
        <w:t>新增"资源保障"：硬件（开发笔记本×N、云服务器1台）、软件（JetBrains学生授权、VSCode、Docker）、LLM API（讯飞星火开发者免费配额+火山引擎文生图免费额度）、资金（零成本，全部使用免费/开源资源）</w:t>
      </w:r>
    </w:p>
    <w:p w14:paraId="2586F233">
      <w:pPr>
        <w:pStyle w:val="16"/>
        <w:ind w:left="420"/>
      </w:pPr>
      <w:r>
        <w:rPr>
          <w:rFonts w:ascii="微软雅黑" w:hAnsi="微软雅黑" w:eastAsia="微软雅黑"/>
          <w:sz w:val="21"/>
        </w:rPr>
        <w:t>说明协作机制：使用Git进行版本控制（主分支保护+PR审核）、飞书/钉钉进行任务管理、每周固定例会同步进度</w:t>
      </w:r>
    </w:p>
    <w:p w14:paraId="4B386E8A">
      <w:pPr>
        <w:pStyle w:val="4"/>
      </w:pPr>
      <w:r>
        <w:rPr>
          <w:rFonts w:ascii="微软雅黑" w:hAnsi="微软雅黑" w:eastAsia="微软雅黑"/>
          <w:color w:val="2D6BE0"/>
        </w:rPr>
        <w:t>3.5 应用效果（20分）—— 当前预估：6-8分【最大短板】</w:t>
      </w:r>
    </w:p>
    <w:p w14:paraId="2E7405D3">
      <w:r>
        <w:rPr>
          <w:rFonts w:ascii="微软雅黑" w:hAnsi="微软雅黑" w:eastAsia="微软雅黑"/>
          <w:b/>
          <w:sz w:val="21"/>
        </w:rPr>
        <w:t>现有优势：</w:t>
      </w:r>
    </w:p>
    <w:p w14:paraId="2FEBF64F">
      <w:pPr>
        <w:pStyle w:val="16"/>
        <w:ind w:left="420"/>
      </w:pPr>
      <w:r>
        <w:rPr>
          <w:rFonts w:ascii="微软雅黑" w:hAnsi="微软雅黑" w:eastAsia="微软雅黑"/>
          <w:sz w:val="21"/>
        </w:rPr>
        <w:t>有52项功能验证全部通过的测试数据</w:t>
      </w:r>
    </w:p>
    <w:p w14:paraId="2FE74778">
      <w:pPr>
        <w:pStyle w:val="16"/>
        <w:ind w:left="420"/>
      </w:pPr>
      <w:r>
        <w:rPr>
          <w:rFonts w:ascii="微软雅黑" w:hAnsi="微软雅黑" w:eastAsia="微软雅黑"/>
          <w:sz w:val="21"/>
        </w:rPr>
        <w:t>有性能测试数据（API响应时间、并发测试）</w:t>
      </w:r>
    </w:p>
    <w:p w14:paraId="6920A012">
      <w:pPr>
        <w:pStyle w:val="16"/>
        <w:ind w:left="420"/>
      </w:pPr>
      <w:r>
        <w:rPr>
          <w:rFonts w:ascii="微软雅黑" w:hAnsi="微软雅黑" w:eastAsia="微软雅黑"/>
          <w:sz w:val="21"/>
        </w:rPr>
        <w:t>有痛点→解决方案的效率提升对比表（如备课4h→30min）</w:t>
      </w:r>
    </w:p>
    <w:p w14:paraId="4D664815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4AE9D96B">
      <w:pPr>
        <w:pStyle w:val="16"/>
        <w:ind w:left="420"/>
      </w:pPr>
      <w:r>
        <w:rPr>
          <w:rFonts w:ascii="微软雅黑" w:hAnsi="微软雅黑" w:eastAsia="微软雅黑"/>
          <w:sz w:val="21"/>
        </w:rPr>
        <w:t>完全没有真实用户使用数据——AIC要求"教学试点数据、科研效率证明、用户反馈"，现有只有功能测试，没有任何学生/教师实际使用的数据</w:t>
      </w:r>
    </w:p>
    <w:p w14:paraId="21A15B94">
      <w:pPr>
        <w:pStyle w:val="16"/>
        <w:ind w:left="420"/>
      </w:pPr>
      <w:r>
        <w:rPr>
          <w:rFonts w:ascii="微软雅黑" w:hAnsi="微软雅黑" w:eastAsia="微软雅黑"/>
          <w:sz w:val="21"/>
        </w:rPr>
        <w:t>效率提升数据（如备课4h→30min）为理论估算，无真实对比实验支撑</w:t>
      </w:r>
    </w:p>
    <w:p w14:paraId="65AA1778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缺少"对比传统方式有显著提升"的量化证据——如A/B测试、前后测对比、用户满意度调查</w:t>
      </w:r>
    </w:p>
    <w:p w14:paraId="65184ADD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缺少用户反馈收集与分析</w:t>
      </w:r>
    </w:p>
    <w:p w14:paraId="2B7FE11F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5A08C41E">
      <w:pPr>
        <w:pStyle w:val="16"/>
        <w:ind w:left="420"/>
      </w:pPr>
      <w:r>
        <w:rPr>
          <w:rFonts w:ascii="微软雅黑" w:hAnsi="微软雅黑" w:eastAsia="微软雅黑"/>
          <w:sz w:val="21"/>
        </w:rPr>
        <w:t>【必须做】组织小规模试点：邀请10-20名本校计算机/电子专业大一学生使用LearnLab学习C语言或电路分析1-2周，收集使用数据（学习时长、知识点掌握度变化、系统使用频率）</w:t>
      </w:r>
    </w:p>
    <w:p w14:paraId="18910015">
      <w:pPr>
        <w:pStyle w:val="16"/>
        <w:ind w:left="420"/>
      </w:pPr>
      <w:r>
        <w:rPr>
          <w:rFonts w:ascii="微软雅黑" w:hAnsi="微软雅黑" w:eastAsia="微软雅黑"/>
          <w:sz w:val="21"/>
        </w:rPr>
        <w:t>【必须做】设计前后测对比：试点前进行知识点测试，使用系统学习后进行同等难度测试，对比掌握度提升幅度</w:t>
      </w:r>
    </w:p>
    <w:p w14:paraId="00FDF770">
      <w:pPr>
        <w:pStyle w:val="16"/>
        <w:ind w:left="420"/>
      </w:pPr>
      <w:r>
        <w:rPr>
          <w:rFonts w:ascii="微软雅黑" w:hAnsi="微软雅黑" w:eastAsia="微软雅黑"/>
          <w:sz w:val="21"/>
        </w:rPr>
        <w:t>【必须做】收集用户反馈：设计简短问卷（5-8题），涵盖系统易用性、学习效果感知、AI辅导满意度、推荐意愿等，收集量化评分和定性反馈</w:t>
      </w:r>
    </w:p>
    <w:p w14:paraId="1EF04481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补充教师端验证：邀请1-2名相关课程教师试用备课/组卷/学情分析功能，记录备课时间缩短、学情洞察效率提升等数据</w:t>
      </w:r>
    </w:p>
    <w:p w14:paraId="15391B88">
      <w:pPr>
        <w:pStyle w:val="16"/>
        <w:ind w:left="420"/>
      </w:pPr>
      <w:r>
        <w:rPr>
          <w:rFonts w:ascii="微软雅黑" w:hAnsi="微软雅黑" w:eastAsia="微软雅黑"/>
          <w:sz w:val="21"/>
        </w:rPr>
        <w:t>若时间紧迫无法完成真实试点，至少构造"模拟试点方案+预期效果估算"，并明确标注为预期数据，同时说明后续验证计划</w:t>
      </w:r>
    </w:p>
    <w:p w14:paraId="3065B6FC">
      <w:pPr>
        <w:pStyle w:val="16"/>
        <w:ind w:left="420"/>
      </w:pPr>
      <w:r>
        <w:rPr>
          <w:rFonts w:ascii="微软雅黑" w:hAnsi="微软雅黑" w:eastAsia="微软雅黑"/>
          <w:sz w:val="21"/>
        </w:rPr>
        <w:t>将现有功能测试数据作为"系统可用性验证"，与"应用效果验证"区分开，避免混淆</w:t>
      </w:r>
    </w:p>
    <w:p w14:paraId="4B4A152C">
      <w:pPr>
        <w:pStyle w:val="4"/>
      </w:pPr>
      <w:r>
        <w:rPr>
          <w:rFonts w:ascii="微软雅黑" w:hAnsi="微软雅黑" w:eastAsia="微软雅黑"/>
          <w:color w:val="2D6BE0"/>
        </w:rPr>
        <w:t>3.6 总结与展望（5分）—— 当前预估：3-4分</w:t>
      </w:r>
    </w:p>
    <w:p w14:paraId="3B70170C">
      <w:r>
        <w:rPr>
          <w:rFonts w:ascii="微软雅黑" w:hAnsi="微软雅黑" w:eastAsia="微软雅黑"/>
          <w:b/>
          <w:sz w:val="21"/>
        </w:rPr>
        <w:t>现有优势：有项目成果总结、技术突破亮点、未来发展蓝图（迁移PostgreSQL、扩展学科覆盖等）</w:t>
      </w:r>
    </w:p>
    <w:p w14:paraId="401C53C6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2AF719A9">
      <w:pPr>
        <w:pStyle w:val="16"/>
        <w:ind w:left="420"/>
      </w:pPr>
      <w:r>
        <w:rPr>
          <w:rFonts w:ascii="微软雅黑" w:hAnsi="微软雅黑" w:eastAsia="微软雅黑"/>
          <w:sz w:val="21"/>
        </w:rPr>
        <w:t>展望偏向技术迭代（数据库迁移、兼容性优化），未充分结合"学科发展趋势"</w:t>
      </w:r>
    </w:p>
    <w:p w14:paraId="0FDE94AD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缺少对AI技术迭代方向的结合（如多模态大模型、Agent进化趋势对教育的影响）</w:t>
      </w:r>
    </w:p>
    <w:p w14:paraId="4387ADA7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缺少长远推广规划的具体路径和目标</w:t>
      </w:r>
    </w:p>
    <w:p w14:paraId="13A5ECE2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4412E8C0">
      <w:pPr>
        <w:pStyle w:val="16"/>
        <w:ind w:left="420"/>
      </w:pPr>
      <w:r>
        <w:rPr>
          <w:rFonts w:ascii="微软雅黑" w:hAnsi="微软雅黑" w:eastAsia="微软雅黑"/>
          <w:sz w:val="21"/>
        </w:rPr>
        <w:t>结合新工科建设趋势、教育数字化转型政策（如教育部教育数字化战略行动）阐述推广意义</w:t>
      </w:r>
    </w:p>
    <w:p w14:paraId="10341093">
      <w:pPr>
        <w:pStyle w:val="16"/>
        <w:ind w:left="420"/>
      </w:pPr>
      <w:r>
        <w:rPr>
          <w:rFonts w:ascii="微软雅黑" w:hAnsi="微软雅黑" w:eastAsia="微软雅黑"/>
          <w:sz w:val="21"/>
        </w:rPr>
        <w:t>结合AI技术趋势：多模态大模型（GPT-4o级别的图文音视频理解）将进一步增强电路仿真的AI分析能力；Agent技术的进化将实现更自主的学习陪伴</w:t>
      </w:r>
    </w:p>
    <w:p w14:paraId="344F7961">
      <w:pPr>
        <w:pStyle w:val="16"/>
        <w:ind w:left="420"/>
      </w:pPr>
      <w:r>
        <w:rPr>
          <w:rFonts w:ascii="微软雅黑" w:hAnsi="微软雅黑" w:eastAsia="微软雅黑"/>
          <w:sz w:val="21"/>
        </w:rPr>
        <w:t>给出三阶段推广规划：短期（本校2个学院试点）→中期（省内5-10所院校合作）→长期（开源学科模板库，覆盖10+学科）</w:t>
      </w:r>
    </w:p>
    <w:p w14:paraId="21E89DEF">
      <w:r>
        <w:br w:type="page"/>
      </w:r>
    </w:p>
    <w:p w14:paraId="654EA558">
      <w:pPr>
        <w:pStyle w:val="3"/>
      </w:pPr>
      <w:r>
        <w:rPr>
          <w:rFonts w:ascii="微软雅黑" w:hAnsi="微软雅黑" w:eastAsia="微软雅黑"/>
          <w:color w:val="1A56DB"/>
        </w:rPr>
        <w:t>四、技术方案大纲对照与文档重构</w:t>
      </w:r>
    </w:p>
    <w:p w14:paraId="630B81FE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现有系统开发说明书按软件杯要求组织为14章，AIC要求按八大部分组织。需对文档结构进行重构：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685"/>
      </w:tblGrid>
      <w:tr w14:paraId="5660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13640F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AIC要求章节</w:t>
            </w:r>
          </w:p>
        </w:tc>
        <w:tc>
          <w:tcPr>
            <w:tcW w:w="3118" w:type="dxa"/>
            <w:shd w:val="clear" w:color="auto" w:fill="1A56DB"/>
          </w:tcPr>
          <w:p w14:paraId="4903ED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现有文档对应内容</w:t>
            </w:r>
          </w:p>
        </w:tc>
        <w:tc>
          <w:tcPr>
            <w:tcW w:w="3685" w:type="dxa"/>
            <w:shd w:val="clear" w:color="auto" w:fill="1A56DB"/>
          </w:tcPr>
          <w:p w14:paraId="05E89F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需补充/调整</w:t>
            </w:r>
          </w:p>
        </w:tc>
      </w:tr>
      <w:tr w14:paraId="2E1B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B09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（一）项目概述</w:t>
            </w:r>
          </w:p>
        </w:tc>
        <w:tc>
          <w:tcPr>
            <w:tcW w:w="3118" w:type="dxa"/>
          </w:tcPr>
          <w:p w14:paraId="1EC5E9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第1章需求分析（部分）+PPT项目背景页</w:t>
            </w:r>
          </w:p>
        </w:tc>
        <w:tc>
          <w:tcPr>
            <w:tcW w:w="3685" w:type="dxa"/>
          </w:tcPr>
          <w:p w14:paraId="4AE544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补充"学科发展现状与行业需求"的关联论述，明确AI赋能的具体目标</w:t>
            </w:r>
          </w:p>
        </w:tc>
      </w:tr>
      <w:tr w14:paraId="2969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61B7A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（二）需求分析</w:t>
            </w:r>
          </w:p>
        </w:tc>
        <w:tc>
          <w:tcPr>
            <w:tcW w:w="3118" w:type="dxa"/>
            <w:shd w:val="clear" w:color="auto" w:fill="F0F4FF"/>
          </w:tcPr>
          <w:p w14:paraId="43C4A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第1章需求分析</w:t>
            </w:r>
          </w:p>
        </w:tc>
        <w:tc>
          <w:tcPr>
            <w:tcW w:w="3685" w:type="dxa"/>
            <w:shd w:val="clear" w:color="auto" w:fill="F0F4FF"/>
          </w:tcPr>
          <w:p w14:paraId="4A172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①明确学科专业界定到一级学科；②补充调研数据来源；③增加实验实训环节痛点；④增加AI赋能必要性论证</w:t>
            </w:r>
          </w:p>
        </w:tc>
      </w:tr>
      <w:tr w14:paraId="4936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73D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（三）解决方案设计</w:t>
            </w:r>
          </w:p>
        </w:tc>
        <w:tc>
          <w:tcPr>
            <w:tcW w:w="3118" w:type="dxa"/>
          </w:tcPr>
          <w:p w14:paraId="2ABCD6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第2章系统总体设计+第3章Agent设计+第6章核心算法</w:t>
            </w:r>
          </w:p>
        </w:tc>
        <w:tc>
          <w:tcPr>
            <w:tcW w:w="3685" w:type="dxa"/>
          </w:tcPr>
          <w:p w14:paraId="3AE16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①补充架构分层图（数据层/算法层/应用层/展示层）；②技术选型需说明与学科需求的适配性；③核心技术模块需明确与学科需求的对应关系</w:t>
            </w:r>
          </w:p>
        </w:tc>
      </w:tr>
      <w:tr w14:paraId="61A1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56BC61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（四）方案可行性</w:t>
            </w:r>
          </w:p>
        </w:tc>
        <w:tc>
          <w:tcPr>
            <w:tcW w:w="3118" w:type="dxa"/>
            <w:shd w:val="clear" w:color="auto" w:fill="F0F4FF"/>
          </w:tcPr>
          <w:p w14:paraId="77B8E1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第11章部署方案（部分）</w:t>
            </w:r>
          </w:p>
        </w:tc>
        <w:tc>
          <w:tcPr>
            <w:tcW w:w="3685" w:type="dxa"/>
            <w:shd w:val="clear" w:color="auto" w:fill="F0F4FF"/>
          </w:tcPr>
          <w:p w14:paraId="1B20A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①技术可行性可复用现有内容；②经济可行性需全新补充；③推广价值需全新补充；④试点案例需全新补充</w:t>
            </w:r>
          </w:p>
        </w:tc>
      </w:tr>
      <w:tr w14:paraId="1AEC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2EB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（五）项目实施</w:t>
            </w:r>
          </w:p>
        </w:tc>
        <w:tc>
          <w:tcPr>
            <w:tcW w:w="3118" w:type="dxa"/>
          </w:tcPr>
          <w:p w14:paraId="70DAD1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无直接对应</w:t>
            </w:r>
          </w:p>
        </w:tc>
        <w:tc>
          <w:tcPr>
            <w:tcW w:w="3685" w:type="dxa"/>
          </w:tcPr>
          <w:p w14:paraId="07E609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全部新增：实施计划时间线、资源保障、团队介绍与分工、协作机制</w:t>
            </w:r>
          </w:p>
        </w:tc>
      </w:tr>
      <w:tr w14:paraId="427D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D819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（六）应用效果</w:t>
            </w:r>
          </w:p>
        </w:tc>
        <w:tc>
          <w:tcPr>
            <w:tcW w:w="3118" w:type="dxa"/>
            <w:shd w:val="clear" w:color="auto" w:fill="F0F4FF"/>
          </w:tcPr>
          <w:p w14:paraId="528CC1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第8章性能优化+测试说明书</w:t>
            </w:r>
          </w:p>
        </w:tc>
        <w:tc>
          <w:tcPr>
            <w:tcW w:w="3685" w:type="dxa"/>
            <w:shd w:val="clear" w:color="auto" w:fill="F0F4FF"/>
          </w:tcPr>
          <w:p w14:paraId="339FC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①区分系统性能与应用效果；②补充真实试点数据；③补充用户反馈；④补充前后测对比</w:t>
            </w:r>
          </w:p>
        </w:tc>
      </w:tr>
      <w:tr w14:paraId="4EE1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BF9F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（七）总结与展望</w:t>
            </w:r>
          </w:p>
        </w:tc>
        <w:tc>
          <w:tcPr>
            <w:tcW w:w="3118" w:type="dxa"/>
          </w:tcPr>
          <w:p w14:paraId="125367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第10章自主创新点总结+PPT总结页</w:t>
            </w:r>
          </w:p>
        </w:tc>
        <w:tc>
          <w:tcPr>
            <w:tcW w:w="3685" w:type="dxa"/>
          </w:tcPr>
          <w:p w14:paraId="5BD51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①补充不足的客观说明；②展望结合学科趋势与AI迭代方向；③补充长远推广规划</w:t>
            </w:r>
          </w:p>
        </w:tc>
      </w:tr>
      <w:tr w14:paraId="7493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0257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（八）附录</w:t>
            </w:r>
          </w:p>
        </w:tc>
        <w:tc>
          <w:tcPr>
            <w:tcW w:w="3118" w:type="dxa"/>
            <w:shd w:val="clear" w:color="auto" w:fill="F0F4FF"/>
          </w:tcPr>
          <w:p w14:paraId="2DBBF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第12-14章（开源说明/AI工具说明/框架说明）</w:t>
            </w:r>
          </w:p>
        </w:tc>
        <w:tc>
          <w:tcPr>
            <w:tcW w:w="3685" w:type="dxa"/>
            <w:shd w:val="clear" w:color="auto" w:fill="F0F4FF"/>
          </w:tcPr>
          <w:p w14:paraId="4B4B1D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①代码与模型可直接附上；②参考文献需全新补充（学术论文/技术文档/政策文件）；③其他材料（如有专利/检测报告）</w:t>
            </w:r>
          </w:p>
        </w:tc>
      </w:tr>
    </w:tbl>
    <w:p w14:paraId="53B0428E">
      <w:pPr>
        <w:pStyle w:val="4"/>
      </w:pPr>
      <w:r>
        <w:rPr>
          <w:rFonts w:ascii="微软雅黑" w:hAnsi="微软雅黑" w:eastAsia="微软雅黑"/>
          <w:color w:val="2D6BE0"/>
        </w:rPr>
        <w:t>4.1 参考文献补充建议</w:t>
      </w:r>
    </w:p>
    <w:p w14:paraId="552D96F3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现有文档完全没有参考文献列表，这是学术规范性的明显缺失。建议补充以下类型文献：</w:t>
      </w:r>
    </w:p>
    <w:p w14:paraId="628A37FC">
      <w:pPr>
        <w:pStyle w:val="16"/>
        <w:ind w:left="420"/>
      </w:pPr>
      <w:r>
        <w:rPr>
          <w:rFonts w:ascii="微软雅黑" w:hAnsi="微软雅黑" w:eastAsia="微软雅黑"/>
          <w:sz w:val="21"/>
        </w:rPr>
        <w:t>教育技术理论：布鲁姆掌握学习理论、维果茨基最近发展区、艾宾浩斯遗忘曲线（系统已应用艾宾浩斯复习，需引用）</w:t>
      </w:r>
    </w:p>
    <w:p w14:paraId="1A8BEABC">
      <w:pPr>
        <w:pStyle w:val="16"/>
        <w:ind w:left="420"/>
      </w:pPr>
      <w:r>
        <w:rPr>
          <w:rFonts w:ascii="微软雅黑" w:hAnsi="微软雅黑" w:eastAsia="微软雅黑"/>
          <w:sz w:val="21"/>
        </w:rPr>
        <w:t>自适应学习算法：贝叶斯知识追踪(BKT)原始论文、知识追踪(Knowledge Tracing)相关研究</w:t>
      </w:r>
    </w:p>
    <w:p w14:paraId="4B8B1E8A">
      <w:pPr>
        <w:pStyle w:val="16"/>
        <w:ind w:left="420"/>
      </w:pPr>
      <w:r>
        <w:rPr>
          <w:rFonts w:ascii="微软雅黑" w:hAnsi="微软雅黑" w:eastAsia="微软雅黑"/>
          <w:sz w:val="21"/>
        </w:rPr>
        <w:t>多智能体系统：LangGraph技术文档、AutoGen/CrewAI相关论文或技术报告</w:t>
      </w:r>
    </w:p>
    <w:p w14:paraId="28812784">
      <w:pPr>
        <w:pStyle w:val="16"/>
        <w:ind w:left="420"/>
      </w:pPr>
      <w:r>
        <w:rPr>
          <w:rFonts w:ascii="微软雅黑" w:hAnsi="微软雅黑" w:eastAsia="微软雅黑"/>
          <w:sz w:val="21"/>
        </w:rPr>
        <w:t>电路仿真：改进节点电压法(MNA)经典教材（如《电路分析基础》）、SPICE仿真相关文献</w:t>
      </w:r>
    </w:p>
    <w:p w14:paraId="75557F8F">
      <w:pPr>
        <w:pStyle w:val="16"/>
        <w:ind w:left="420"/>
      </w:pPr>
      <w:r>
        <w:rPr>
          <w:rFonts w:ascii="微软雅黑" w:hAnsi="微软雅黑" w:eastAsia="微软雅黑"/>
          <w:sz w:val="21"/>
        </w:rPr>
        <w:t>政策文件：《教育数字化战略行动》《新工科建设宣言》等</w:t>
      </w:r>
    </w:p>
    <w:p w14:paraId="1836AD52">
      <w:pPr>
        <w:pStyle w:val="16"/>
        <w:ind w:left="420"/>
      </w:pPr>
      <w:r>
        <w:rPr>
          <w:rFonts w:ascii="微软雅黑" w:hAnsi="微软雅黑" w:eastAsia="微软雅黑"/>
          <w:sz w:val="21"/>
        </w:rPr>
        <w:t>技术文档：React/FastAPI/LangChain官方文档</w:t>
      </w:r>
    </w:p>
    <w:p w14:paraId="32625147">
      <w:r>
        <w:br w:type="page"/>
      </w:r>
    </w:p>
    <w:p w14:paraId="66AF905E">
      <w:pPr>
        <w:pStyle w:val="3"/>
      </w:pPr>
      <w:r>
        <w:rPr>
          <w:rFonts w:ascii="微软雅黑" w:hAnsi="微软雅黑" w:eastAsia="微软雅黑"/>
          <w:color w:val="1A56DB"/>
        </w:rPr>
        <w:t>五、重点补充内容详解</w:t>
      </w:r>
    </w:p>
    <w:p w14:paraId="216CF6F2">
      <w:pPr>
        <w:pStyle w:val="4"/>
      </w:pPr>
      <w:r>
        <w:rPr>
          <w:rFonts w:ascii="微软雅黑" w:hAnsi="微软雅黑" w:eastAsia="微软雅黑"/>
          <w:color w:val="2D6BE0"/>
        </w:rPr>
        <w:t>5.1 应用效果验证方案（最高优先级）</w:t>
      </w:r>
    </w:p>
    <w:p w14:paraId="11847886">
      <w:pPr>
        <w:ind w:firstLine="420"/>
      </w:pPr>
      <w:r>
        <w:rPr>
          <w:rFonts w:ascii="微软雅黑" w:hAnsi="微软雅黑" w:eastAsia="微软雅黑"/>
          <w:b w:val="0"/>
          <w:sz w:val="21"/>
        </w:rPr>
        <w:t>应用效果占20分，是当前最大短板，也是最容易拉开差距的部分。建议按以下方案执行：</w:t>
      </w:r>
    </w:p>
    <w:p w14:paraId="19641217">
      <w:r>
        <w:rPr>
          <w:rFonts w:ascii="微软雅黑" w:hAnsi="微软雅黑" w:eastAsia="微软雅黑"/>
          <w:b/>
          <w:sz w:val="21"/>
        </w:rPr>
        <w:t>方案A：真实小规模试点（推荐，预计需1-2周）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2551"/>
      </w:tblGrid>
      <w:tr w14:paraId="004D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70FC1E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4535" w:type="dxa"/>
            <w:shd w:val="clear" w:color="auto" w:fill="1A56DB"/>
          </w:tcPr>
          <w:p w14:paraId="267DE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具体操作</w:t>
            </w:r>
          </w:p>
        </w:tc>
        <w:tc>
          <w:tcPr>
            <w:tcW w:w="2551" w:type="dxa"/>
            <w:shd w:val="clear" w:color="auto" w:fill="1A56DB"/>
          </w:tcPr>
          <w:p w14:paraId="50B6C6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产出物</w:t>
            </w:r>
          </w:p>
        </w:tc>
      </w:tr>
      <w:tr w14:paraId="5387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5AAD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招募受试者</w:t>
            </w:r>
          </w:p>
        </w:tc>
        <w:tc>
          <w:tcPr>
            <w:tcW w:w="4535" w:type="dxa"/>
          </w:tcPr>
          <w:p w14:paraId="286993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在本校计算机/电子专业大一学生中招募15-20名志愿者，分为实验组（用LearnLab）和对照组（传统学习）各8-10人</w:t>
            </w:r>
          </w:p>
        </w:tc>
        <w:tc>
          <w:tcPr>
            <w:tcW w:w="2551" w:type="dxa"/>
          </w:tcPr>
          <w:p w14:paraId="2F6287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受试者知情同意书、基本信息表</w:t>
            </w:r>
          </w:p>
        </w:tc>
      </w:tr>
      <w:tr w14:paraId="6526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24E4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前测</w:t>
            </w:r>
          </w:p>
        </w:tc>
        <w:tc>
          <w:tcPr>
            <w:tcW w:w="4535" w:type="dxa"/>
            <w:shd w:val="clear" w:color="auto" w:fill="F0F4FF"/>
          </w:tcPr>
          <w:p w14:paraId="14758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对两组学生进行C语言或电路分析基础知识测试（20题，30分钟）</w:t>
            </w:r>
          </w:p>
        </w:tc>
        <w:tc>
          <w:tcPr>
            <w:tcW w:w="2551" w:type="dxa"/>
            <w:shd w:val="clear" w:color="auto" w:fill="F0F4FF"/>
          </w:tcPr>
          <w:p w14:paraId="2A78A2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前测成绩数据</w:t>
            </w:r>
          </w:p>
        </w:tc>
      </w:tr>
      <w:tr w14:paraId="57AF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A5CD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干预</w:t>
            </w:r>
          </w:p>
        </w:tc>
        <w:tc>
          <w:tcPr>
            <w:tcW w:w="4535" w:type="dxa"/>
          </w:tcPr>
          <w:p w14:paraId="62B5F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实验组使用LearnLab学习指定知识点1周（至少3次，每次30分钟以上）；对照组使用传统方式（教材+网课）学习相同内容</w:t>
            </w:r>
          </w:p>
        </w:tc>
        <w:tc>
          <w:tcPr>
            <w:tcW w:w="2551" w:type="dxa"/>
          </w:tcPr>
          <w:p w14:paraId="52864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系统使用日志（学习时长、功能使用频率、知识点完成度）</w:t>
            </w:r>
          </w:p>
        </w:tc>
      </w:tr>
      <w:tr w14:paraId="3B8D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65D179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后测</w:t>
            </w:r>
          </w:p>
        </w:tc>
        <w:tc>
          <w:tcPr>
            <w:tcW w:w="4535" w:type="dxa"/>
            <w:shd w:val="clear" w:color="auto" w:fill="F0F4FF"/>
          </w:tcPr>
          <w:p w14:paraId="102CD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1周后对两组进行同等难度测试</w:t>
            </w:r>
          </w:p>
        </w:tc>
        <w:tc>
          <w:tcPr>
            <w:tcW w:w="2551" w:type="dxa"/>
            <w:shd w:val="clear" w:color="auto" w:fill="F0F4FF"/>
          </w:tcPr>
          <w:p w14:paraId="65347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后测成绩数据</w:t>
            </w:r>
          </w:p>
        </w:tc>
      </w:tr>
      <w:tr w14:paraId="17D5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F8AF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问卷与访谈</w:t>
            </w:r>
          </w:p>
        </w:tc>
        <w:tc>
          <w:tcPr>
            <w:tcW w:w="4535" w:type="dxa"/>
          </w:tcPr>
          <w:p w14:paraId="557F9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实验组填写系统使用满意度问卷（5分制，8-10题），并对3-5人进行半结构化访谈</w:t>
            </w:r>
          </w:p>
        </w:tc>
        <w:tc>
          <w:tcPr>
            <w:tcW w:w="2551" w:type="dxa"/>
          </w:tcPr>
          <w:p w14:paraId="237B41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问卷统计结果、访谈记录</w:t>
            </w:r>
          </w:p>
        </w:tc>
      </w:tr>
      <w:tr w14:paraId="61DA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161B7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数据分析</w:t>
            </w:r>
          </w:p>
        </w:tc>
        <w:tc>
          <w:tcPr>
            <w:tcW w:w="4535" w:type="dxa"/>
            <w:shd w:val="clear" w:color="auto" w:fill="F0F4FF"/>
          </w:tcPr>
          <w:p w14:paraId="6EB558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对比两组前后测成绩变化（独立样本t检验），分析系统使用数据与成绩提升的相关性</w:t>
            </w:r>
          </w:p>
        </w:tc>
        <w:tc>
          <w:tcPr>
            <w:tcW w:w="2551" w:type="dxa"/>
            <w:shd w:val="clear" w:color="auto" w:fill="F0F4FF"/>
          </w:tcPr>
          <w:p w14:paraId="13D79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应用效果验证报告（含统计图表）</w:t>
            </w:r>
          </w:p>
        </w:tc>
      </w:tr>
    </w:tbl>
    <w:p w14:paraId="06E4ABCF">
      <w:r>
        <w:rPr>
          <w:rFonts w:ascii="微软雅黑" w:hAnsi="微软雅黑" w:eastAsia="微软雅黑"/>
          <w:b/>
          <w:sz w:val="21"/>
        </w:rPr>
        <w:t>方案B：模拟试点+预期估算（时间不足时的兜底方案）</w:t>
      </w:r>
    </w:p>
    <w:p w14:paraId="15A89FBA">
      <w:pPr>
        <w:pStyle w:val="16"/>
        <w:ind w:left="420"/>
      </w:pPr>
      <w:r>
        <w:rPr>
          <w:rFonts w:ascii="微软雅黑" w:hAnsi="微软雅黑" w:eastAsia="微软雅黑"/>
          <w:sz w:val="21"/>
        </w:rPr>
        <w:t>基于系统功能测试数据，合理估算应用效果（如：ADPP路径规划使学习顺序合理化，预计减少30%无效学习时间）</w:t>
      </w:r>
    </w:p>
    <w:p w14:paraId="7EE31174">
      <w:pPr>
        <w:pStyle w:val="16"/>
        <w:ind w:left="420"/>
      </w:pPr>
      <w:r>
        <w:rPr>
          <w:rFonts w:ascii="微软雅黑" w:hAnsi="微软雅黑" w:eastAsia="微软雅黑"/>
          <w:sz w:val="21"/>
        </w:rPr>
        <w:t>参考同类研究的效果区间（如自适应学习系统通常提升15-25%学习效率），给出保守估算</w:t>
      </w:r>
    </w:p>
    <w:p w14:paraId="0487F6B2">
      <w:pPr>
        <w:pStyle w:val="16"/>
        <w:ind w:left="420"/>
      </w:pPr>
      <w:r>
        <w:rPr>
          <w:rFonts w:ascii="微软雅黑" w:hAnsi="微软雅黑" w:eastAsia="微软雅黑"/>
          <w:sz w:val="21"/>
        </w:rPr>
        <w:t>明确标注为"预期效果"，并附上后续真实试点计划</w:t>
      </w:r>
    </w:p>
    <w:p w14:paraId="4DEB50C1">
      <w:pPr>
        <w:pStyle w:val="16"/>
        <w:ind w:left="420"/>
      </w:pPr>
      <w:r>
        <w:rPr>
          <w:rFonts w:ascii="微软雅黑" w:hAnsi="微软雅黑" w:eastAsia="微软雅黑"/>
          <w:sz w:val="21"/>
        </w:rPr>
        <w:t>邀请3-5名同学进行体验式试用，收集定性反馈作为佐证</w:t>
      </w:r>
    </w:p>
    <w:p w14:paraId="36F0B6EB">
      <w:pPr>
        <w:pStyle w:val="4"/>
      </w:pPr>
      <w:r>
        <w:rPr>
          <w:rFonts w:ascii="微软雅黑" w:hAnsi="微软雅黑" w:eastAsia="微软雅黑"/>
          <w:color w:val="2D6BE0"/>
        </w:rPr>
        <w:t>5.2 团队介绍模板</w:t>
      </w:r>
    </w:p>
    <w:p w14:paraId="327BBDEB"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建议按以下格式组织团队介绍（跨专业组队需特别说明协作机制）：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417"/>
        <w:gridCol w:w="2551"/>
        <w:gridCol w:w="1701"/>
      </w:tblGrid>
      <w:tr w14:paraId="2C1A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6DB"/>
          </w:tcPr>
          <w:p w14:paraId="69DD11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成员</w:t>
            </w:r>
          </w:p>
        </w:tc>
        <w:tc>
          <w:tcPr>
            <w:tcW w:w="1984" w:type="dxa"/>
            <w:shd w:val="clear" w:color="auto" w:fill="1A56DB"/>
          </w:tcPr>
          <w:p w14:paraId="67E4F2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专业年级</w:t>
            </w:r>
          </w:p>
        </w:tc>
        <w:tc>
          <w:tcPr>
            <w:tcW w:w="1417" w:type="dxa"/>
            <w:shd w:val="clear" w:color="auto" w:fill="1A56DB"/>
          </w:tcPr>
          <w:p w14:paraId="556F93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项目角色</w:t>
            </w:r>
          </w:p>
        </w:tc>
        <w:tc>
          <w:tcPr>
            <w:tcW w:w="2551" w:type="dxa"/>
            <w:shd w:val="clear" w:color="auto" w:fill="1A56DB"/>
          </w:tcPr>
          <w:p w14:paraId="21207C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主要职责</w:t>
            </w:r>
          </w:p>
        </w:tc>
        <w:tc>
          <w:tcPr>
            <w:tcW w:w="1701" w:type="dxa"/>
            <w:shd w:val="clear" w:color="auto" w:fill="1A56DB"/>
          </w:tcPr>
          <w:p w14:paraId="00C31C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相关经验</w:t>
            </w:r>
          </w:p>
        </w:tc>
      </w:tr>
      <w:tr w14:paraId="5E34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C5ABB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成员A</w:t>
            </w:r>
          </w:p>
        </w:tc>
        <w:tc>
          <w:tcPr>
            <w:tcW w:w="1984" w:type="dxa"/>
          </w:tcPr>
          <w:p w14:paraId="6B610B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计算机科学与技术 大二</w:t>
            </w:r>
          </w:p>
        </w:tc>
        <w:tc>
          <w:tcPr>
            <w:tcW w:w="1417" w:type="dxa"/>
          </w:tcPr>
          <w:p w14:paraId="0F1F5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项目负责人/后端架构</w:t>
            </w:r>
          </w:p>
        </w:tc>
        <w:tc>
          <w:tcPr>
            <w:tcW w:w="2551" w:type="dxa"/>
          </w:tcPr>
          <w:p w14:paraId="2B8E13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系统架构设计、12Agent开发、LangGraph工作流编排</w:t>
            </w:r>
          </w:p>
        </w:tc>
        <w:tc>
          <w:tcPr>
            <w:tcW w:w="1701" w:type="dxa"/>
          </w:tcPr>
          <w:p w14:paraId="130E3B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软件杯参赛经验、Python后端开发</w:t>
            </w:r>
          </w:p>
        </w:tc>
      </w:tr>
      <w:tr w14:paraId="044E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F"/>
          </w:tcPr>
          <w:p w14:paraId="3B7EB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成员B</w:t>
            </w:r>
          </w:p>
        </w:tc>
        <w:tc>
          <w:tcPr>
            <w:tcW w:w="1984" w:type="dxa"/>
            <w:shd w:val="clear" w:color="auto" w:fill="F0F4FF"/>
          </w:tcPr>
          <w:p w14:paraId="44C23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电子信息工程 大二</w:t>
            </w:r>
          </w:p>
        </w:tc>
        <w:tc>
          <w:tcPr>
            <w:tcW w:w="1417" w:type="dxa"/>
            <w:shd w:val="clear" w:color="auto" w:fill="F0F4FF"/>
          </w:tcPr>
          <w:p w14:paraId="2701BF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硬件/仿真模块</w:t>
            </w:r>
          </w:p>
        </w:tc>
        <w:tc>
          <w:tcPr>
            <w:tcW w:w="2551" w:type="dxa"/>
            <w:shd w:val="clear" w:color="auto" w:fill="F0F4FF"/>
          </w:tcPr>
          <w:p w14:paraId="421FF1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MNA电路仿真引擎开发、STM32内容库建设、电路AI分析</w:t>
            </w:r>
          </w:p>
        </w:tc>
        <w:tc>
          <w:tcPr>
            <w:tcW w:w="1701" w:type="dxa"/>
            <w:shd w:val="clear" w:color="auto" w:fill="F0F4FF"/>
          </w:tcPr>
          <w:p w14:paraId="1E8EE0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电路分析课程、嵌入式开发经验</w:t>
            </w:r>
          </w:p>
        </w:tc>
      </w:tr>
      <w:tr w14:paraId="4EFB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78118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成员C</w:t>
            </w:r>
          </w:p>
        </w:tc>
        <w:tc>
          <w:tcPr>
            <w:tcW w:w="1984" w:type="dxa"/>
          </w:tcPr>
          <w:p w14:paraId="240DA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数据科学与大数据技术 大二</w:t>
            </w:r>
          </w:p>
        </w:tc>
        <w:tc>
          <w:tcPr>
            <w:tcW w:w="1417" w:type="dxa"/>
          </w:tcPr>
          <w:p w14:paraId="75B2F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算法/数据分析</w:t>
            </w:r>
          </w:p>
        </w:tc>
        <w:tc>
          <w:tcPr>
            <w:tcW w:w="2551" w:type="dxa"/>
          </w:tcPr>
          <w:p w14:paraId="5ACC36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ADPP路径算法、多维度匹配算法、趋势分析、试点数据统计</w:t>
            </w:r>
          </w:p>
        </w:tc>
        <w:tc>
          <w:tcPr>
            <w:tcW w:w="1701" w:type="dxa"/>
          </w:tcPr>
          <w:p w14:paraId="1B099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数学建模竞赛、Python数据分析</w:t>
            </w:r>
          </w:p>
        </w:tc>
      </w:tr>
      <w:tr w14:paraId="1493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F"/>
          </w:tcPr>
          <w:p w14:paraId="191248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成员D</w:t>
            </w:r>
          </w:p>
        </w:tc>
        <w:tc>
          <w:tcPr>
            <w:tcW w:w="1984" w:type="dxa"/>
            <w:shd w:val="clear" w:color="auto" w:fill="F0F4FF"/>
          </w:tcPr>
          <w:p w14:paraId="339BE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计算机科学与技术 大二</w:t>
            </w:r>
          </w:p>
        </w:tc>
        <w:tc>
          <w:tcPr>
            <w:tcW w:w="1417" w:type="dxa"/>
            <w:shd w:val="clear" w:color="auto" w:fill="F0F4FF"/>
          </w:tcPr>
          <w:p w14:paraId="3DCD4E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前端/UI</w:t>
            </w:r>
          </w:p>
        </w:tc>
        <w:tc>
          <w:tcPr>
            <w:tcW w:w="2551" w:type="dxa"/>
            <w:shd w:val="clear" w:color="auto" w:fill="F0F4FF"/>
          </w:tcPr>
          <w:p w14:paraId="441D3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React前端开发、D3.js可视化、游戏化模块、PPT制作</w:t>
            </w:r>
          </w:p>
        </w:tc>
        <w:tc>
          <w:tcPr>
            <w:tcW w:w="1701" w:type="dxa"/>
            <w:shd w:val="clear" w:color="auto" w:fill="F0F4FF"/>
          </w:tcPr>
          <w:p w14:paraId="617D6E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Web前端开发、UI设计</w:t>
            </w:r>
          </w:p>
        </w:tc>
      </w:tr>
      <w:tr w14:paraId="7145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6632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指导教师</w:t>
            </w:r>
          </w:p>
        </w:tc>
        <w:tc>
          <w:tcPr>
            <w:tcW w:w="1984" w:type="dxa"/>
          </w:tcPr>
          <w:p w14:paraId="716546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XXX学院 副教授</w:t>
            </w:r>
          </w:p>
        </w:tc>
        <w:tc>
          <w:tcPr>
            <w:tcW w:w="1417" w:type="dxa"/>
          </w:tcPr>
          <w:p w14:paraId="5ECDF2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指导教师</w:t>
            </w:r>
          </w:p>
        </w:tc>
        <w:tc>
          <w:tcPr>
            <w:tcW w:w="2551" w:type="dxa"/>
          </w:tcPr>
          <w:p w14:paraId="4E53FA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学科需求把关、技术方向指导、试点资源协调</w:t>
            </w:r>
          </w:p>
        </w:tc>
        <w:tc>
          <w:tcPr>
            <w:tcW w:w="1701" w:type="dxa"/>
          </w:tcPr>
          <w:p w14:paraId="2E361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XX领域研究经验</w:t>
            </w:r>
          </w:p>
        </w:tc>
      </w:tr>
    </w:tbl>
    <w:p w14:paraId="770242C0">
      <w:pPr>
        <w:ind w:firstLine="420"/>
      </w:pPr>
      <w:r>
        <w:rPr>
          <w:rFonts w:ascii="微软雅黑" w:hAnsi="微软雅黑" w:eastAsia="微软雅黑"/>
          <w:b w:val="0"/>
          <w:sz w:val="21"/>
        </w:rPr>
        <w:t>协作机制说明：采用Git Flow版本管理（main保护分支+develop开发分支+feature功能分支），每周日晚例会同步进度与问题，使用飞书多维表格管理任务看板，跨专业模块通过API接口契约进行协作。</w:t>
      </w:r>
    </w:p>
    <w:p w14:paraId="28E3DEFB">
      <w:pPr>
        <w:pStyle w:val="4"/>
      </w:pPr>
      <w:r>
        <w:rPr>
          <w:rFonts w:ascii="微软雅黑" w:hAnsi="微软雅黑" w:eastAsia="微软雅黑"/>
          <w:color w:val="2D6BE0"/>
        </w:rPr>
        <w:t>5.3 经济可行性分析模板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701"/>
        <w:gridCol w:w="3118"/>
      </w:tblGrid>
      <w:tr w14:paraId="2E34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25E331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成本类别</w:t>
            </w:r>
          </w:p>
        </w:tc>
        <w:tc>
          <w:tcPr>
            <w:tcW w:w="2268" w:type="dxa"/>
            <w:shd w:val="clear" w:color="auto" w:fill="1A56DB"/>
          </w:tcPr>
          <w:p w14:paraId="7D4D5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明细</w:t>
            </w:r>
          </w:p>
        </w:tc>
        <w:tc>
          <w:tcPr>
            <w:tcW w:w="1701" w:type="dxa"/>
            <w:shd w:val="clear" w:color="auto" w:fill="1A56DB"/>
          </w:tcPr>
          <w:p w14:paraId="2539F2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估算金额</w:t>
            </w:r>
          </w:p>
        </w:tc>
        <w:tc>
          <w:tcPr>
            <w:tcW w:w="3118" w:type="dxa"/>
            <w:shd w:val="clear" w:color="auto" w:fill="1A56DB"/>
          </w:tcPr>
          <w:p w14:paraId="744E5A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EBF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8CB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一次性部署成本</w:t>
            </w:r>
          </w:p>
        </w:tc>
        <w:tc>
          <w:tcPr>
            <w:tcW w:w="2268" w:type="dxa"/>
          </w:tcPr>
          <w:p w14:paraId="1DE4D4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云服务器（2核4G，按年付费）</w:t>
            </w:r>
          </w:p>
        </w:tc>
        <w:tc>
          <w:tcPr>
            <w:tcW w:w="1701" w:type="dxa"/>
          </w:tcPr>
          <w:p w14:paraId="3A3F7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¥1,500-2,000/年</w:t>
            </w:r>
          </w:p>
        </w:tc>
        <w:tc>
          <w:tcPr>
            <w:tcW w:w="3118" w:type="dxa"/>
          </w:tcPr>
          <w:p w14:paraId="627085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可使用学生优惠/校园服务器进一步降低</w:t>
            </w:r>
          </w:p>
        </w:tc>
      </w:tr>
      <w:tr w14:paraId="00A6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69EB68C5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2506B0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域名+SSL证书</w:t>
            </w:r>
          </w:p>
        </w:tc>
        <w:tc>
          <w:tcPr>
            <w:tcW w:w="1701" w:type="dxa"/>
            <w:shd w:val="clear" w:color="auto" w:fill="F0F4FF"/>
          </w:tcPr>
          <w:p w14:paraId="22B67D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¥100/年</w:t>
            </w:r>
          </w:p>
        </w:tc>
        <w:tc>
          <w:tcPr>
            <w:tcW w:w="3118" w:type="dxa"/>
            <w:shd w:val="clear" w:color="auto" w:fill="F0F4FF"/>
          </w:tcPr>
          <w:p w14:paraId="4A278F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域名约¥50/年，SSL免费</w:t>
            </w:r>
          </w:p>
        </w:tc>
      </w:tr>
      <w:tr w14:paraId="4C79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71FB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LLM API成本</w:t>
            </w:r>
          </w:p>
        </w:tc>
        <w:tc>
          <w:tcPr>
            <w:tcW w:w="2268" w:type="dxa"/>
          </w:tcPr>
          <w:p w14:paraId="364310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讯飞星火（教学场景）</w:t>
            </w:r>
          </w:p>
        </w:tc>
        <w:tc>
          <w:tcPr>
            <w:tcW w:w="1701" w:type="dxa"/>
          </w:tcPr>
          <w:p w14:paraId="74A75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¥300-500/月（100学生）</w:t>
            </w:r>
          </w:p>
        </w:tc>
        <w:tc>
          <w:tcPr>
            <w:tcW w:w="3118" w:type="dxa"/>
          </w:tcPr>
          <w:p w14:paraId="2B14ED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按每生日均10次调用、¥0.01/次估算；开发者有免费额度</w:t>
            </w:r>
          </w:p>
        </w:tc>
      </w:tr>
      <w:tr w14:paraId="2946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1E22CD2D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1C2F78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火山引擎文生图</w:t>
            </w:r>
          </w:p>
        </w:tc>
        <w:tc>
          <w:tcPr>
            <w:tcW w:w="1701" w:type="dxa"/>
            <w:shd w:val="clear" w:color="auto" w:fill="F0F4FF"/>
          </w:tcPr>
          <w:p w14:paraId="6F9AD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¥50-100/月</w:t>
            </w:r>
          </w:p>
        </w:tc>
        <w:tc>
          <w:tcPr>
            <w:tcW w:w="3118" w:type="dxa"/>
            <w:shd w:val="clear" w:color="auto" w:fill="F0F4FF"/>
          </w:tcPr>
          <w:p w14:paraId="1F0D2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按每生日均1次生成估算；有免费额度</w:t>
            </w:r>
          </w:p>
        </w:tc>
      </w:tr>
      <w:tr w14:paraId="1238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222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运维成本</w:t>
            </w:r>
          </w:p>
        </w:tc>
        <w:tc>
          <w:tcPr>
            <w:tcW w:w="2268" w:type="dxa"/>
          </w:tcPr>
          <w:p w14:paraId="1DFA4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学生团队志愿维护</w:t>
            </w:r>
          </w:p>
        </w:tc>
        <w:tc>
          <w:tcPr>
            <w:tcW w:w="1701" w:type="dxa"/>
          </w:tcPr>
          <w:p w14:paraId="7ED43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¥0</w:t>
            </w:r>
          </w:p>
        </w:tc>
        <w:tc>
          <w:tcPr>
            <w:tcW w:w="3118" w:type="dxa"/>
          </w:tcPr>
          <w:p w14:paraId="682065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团队成员利用课余时间维护</w:t>
            </w:r>
          </w:p>
        </w:tc>
      </w:tr>
      <w:tr w14:paraId="31B6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7CA2EC66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320201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数据库备份与监控</w:t>
            </w:r>
          </w:p>
        </w:tc>
        <w:tc>
          <w:tcPr>
            <w:tcW w:w="1701" w:type="dxa"/>
            <w:shd w:val="clear" w:color="auto" w:fill="F0F4FF"/>
          </w:tcPr>
          <w:p w14:paraId="513BC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¥0</w:t>
            </w:r>
          </w:p>
        </w:tc>
        <w:tc>
          <w:tcPr>
            <w:tcW w:w="3118" w:type="dxa"/>
            <w:shd w:val="clear" w:color="auto" w:fill="F0F4FF"/>
          </w:tcPr>
          <w:p w14:paraId="6D577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使用开源工具</w:t>
            </w:r>
          </w:p>
        </w:tc>
      </w:tr>
      <w:tr w14:paraId="6829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9E2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对比传统方案</w:t>
            </w:r>
          </w:p>
        </w:tc>
        <w:tc>
          <w:tcPr>
            <w:tcW w:w="2268" w:type="dxa"/>
          </w:tcPr>
          <w:p w14:paraId="30D97B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电路实验室建设</w:t>
            </w:r>
          </w:p>
        </w:tc>
        <w:tc>
          <w:tcPr>
            <w:tcW w:w="1701" w:type="dxa"/>
          </w:tcPr>
          <w:p w14:paraId="3D52C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¥50,000-200,000</w:t>
            </w:r>
          </w:p>
        </w:tc>
        <w:tc>
          <w:tcPr>
            <w:tcW w:w="3118" w:type="dxa"/>
          </w:tcPr>
          <w:p w14:paraId="56F90E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仅设备采购，不含场地与维护</w:t>
            </w:r>
          </w:p>
        </w:tc>
      </w:tr>
      <w:tr w14:paraId="4279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1C9EA1FE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2C2E6B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传统LMS平台采购</w:t>
            </w:r>
          </w:p>
        </w:tc>
        <w:tc>
          <w:tcPr>
            <w:tcW w:w="1701" w:type="dxa"/>
            <w:shd w:val="clear" w:color="auto" w:fill="F0F4FF"/>
          </w:tcPr>
          <w:p w14:paraId="68996F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¥30,000-100,000/年</w:t>
            </w:r>
          </w:p>
        </w:tc>
        <w:tc>
          <w:tcPr>
            <w:tcW w:w="3118" w:type="dxa"/>
            <w:shd w:val="clear" w:color="auto" w:fill="F0F4FF"/>
          </w:tcPr>
          <w:p w14:paraId="16DE57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超星/智慧树等平台年费</w:t>
            </w:r>
          </w:p>
        </w:tc>
      </w:tr>
    </w:tbl>
    <w:p w14:paraId="46B410F9">
      <w:pPr>
        <w:ind w:firstLine="420"/>
      </w:pPr>
      <w:r>
        <w:rPr>
          <w:rFonts w:ascii="微软雅黑" w:hAnsi="微软雅黑" w:eastAsia="微软雅黑"/>
          <w:b/>
          <w:sz w:val="21"/>
        </w:rPr>
        <w:t>结论：LearnLab单校部署年成本约¥5,000-8,000，远低于传统实验室和商业LMS平台，且可通过学生免费配额进一步降低，经济可行性高。</w:t>
      </w:r>
    </w:p>
    <w:p w14:paraId="735C0459">
      <w:pPr>
        <w:pStyle w:val="4"/>
      </w:pPr>
      <w:r>
        <w:rPr>
          <w:rFonts w:ascii="微软雅黑" w:hAnsi="微软雅黑" w:eastAsia="微软雅黑"/>
          <w:color w:val="2D6BE0"/>
        </w:rPr>
        <w:t>5.4 学科交叉定位强化</w:t>
      </w:r>
    </w:p>
    <w:p w14:paraId="3997C0E2"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建议将作品定位从"AI教学平台"升级为"新工科跨学科AI学习平台"，突出以下交叉特色：</w:t>
      </w:r>
    </w:p>
    <w:p w14:paraId="249A1141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学科交叉一：计算机科学（C语言编程）× 电子信息（电路分析）—— 通过"编程思维→电路建模→嵌入式实现"的跨学科学习链路，打通软硬件壁垒</w:t>
      </w:r>
    </w:p>
    <w:p w14:paraId="5CA150F1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学科交叉二：AI技术（大模型/多智能体/知识图谱）× 教育科学（自适应学习/苏格拉底教学法/游戏化学习）—— 将学习科学理论转化为可计算的算法模型</w:t>
      </w:r>
    </w:p>
    <w:p w14:paraId="58590DCE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学科交叉三：虚拟仿真（MNA数值计算）× AI诊断（大模型电路分析）—— 传统电路仿真只能给数值，LearnLab进一步给出功能解读和故障诊断，是"仿真+AI"的新范式</w:t>
      </w:r>
    </w:p>
    <w:p w14:paraId="1C0CE0DF">
      <w:pPr>
        <w:ind w:firstLine="420"/>
      </w:pPr>
      <w:r>
        <w:rPr>
          <w:rFonts w:ascii="微软雅黑" w:hAnsi="微软雅黑" w:eastAsia="微软雅黑"/>
          <w:b/>
          <w:sz w:val="21"/>
        </w:rPr>
        <w:t>在文档和PPT中反复强化这一定位，让评审一眼看出"AI+学科交叉"的深度，而非一个通用AI教育工具。</w:t>
      </w:r>
    </w:p>
    <w:p w14:paraId="2093478C">
      <w:r>
        <w:br w:type="page"/>
      </w:r>
    </w:p>
    <w:p w14:paraId="400A0940">
      <w:pPr>
        <w:pStyle w:val="3"/>
      </w:pPr>
      <w:r>
        <w:rPr>
          <w:rFonts w:ascii="微软雅黑" w:hAnsi="微软雅黑" w:eastAsia="微软雅黑"/>
          <w:color w:val="1A56DB"/>
        </w:rPr>
        <w:t>六、PPT与演示材料调整建议</w:t>
      </w:r>
    </w:p>
    <w:p w14:paraId="426A985B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现有PPT共25页，结构为软件杯风格。针对AIC赛事，建议做以下调整：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551"/>
        <w:gridCol w:w="4932"/>
      </w:tblGrid>
      <w:tr w14:paraId="01E4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56DB"/>
          </w:tcPr>
          <w:p w14:paraId="6DE4EE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页码</w:t>
            </w:r>
          </w:p>
        </w:tc>
        <w:tc>
          <w:tcPr>
            <w:tcW w:w="2551" w:type="dxa"/>
            <w:shd w:val="clear" w:color="auto" w:fill="1A56DB"/>
          </w:tcPr>
          <w:p w14:paraId="65F58D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现有内容</w:t>
            </w:r>
          </w:p>
        </w:tc>
        <w:tc>
          <w:tcPr>
            <w:tcW w:w="4932" w:type="dxa"/>
            <w:shd w:val="clear" w:color="auto" w:fill="1A56DB"/>
          </w:tcPr>
          <w:p w14:paraId="3D8A88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调整建议</w:t>
            </w:r>
          </w:p>
        </w:tc>
      </w:tr>
      <w:tr w14:paraId="01CA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79558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第1页</w:t>
            </w:r>
          </w:p>
        </w:tc>
        <w:tc>
          <w:tcPr>
            <w:tcW w:w="2551" w:type="dxa"/>
          </w:tcPr>
          <w:p w14:paraId="1C9CA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封面：LearnLab：AI重塑个性化学习新范式</w:t>
            </w:r>
          </w:p>
        </w:tc>
        <w:tc>
          <w:tcPr>
            <w:tcW w:w="4932" w:type="dxa"/>
          </w:tcPr>
          <w:p w14:paraId="0B4D4D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主标题改为突出学科交叉："LearnLab：AI赋能新工科跨学科学习新范式"；副标题标注"AIC算法创新赛·AI+学科交叉"</w:t>
            </w:r>
          </w:p>
        </w:tc>
      </w:tr>
      <w:tr w14:paraId="3B9A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2A27F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第2页</w:t>
            </w:r>
          </w:p>
        </w:tc>
        <w:tc>
          <w:tcPr>
            <w:tcW w:w="2551" w:type="dxa"/>
            <w:shd w:val="clear" w:color="auto" w:fill="F0F4FF"/>
          </w:tcPr>
          <w:p w14:paraId="3A30EF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目录：背景/功能/创新/架构/总结</w:t>
            </w:r>
          </w:p>
        </w:tc>
        <w:tc>
          <w:tcPr>
            <w:tcW w:w="4932" w:type="dxa"/>
            <w:shd w:val="clear" w:color="auto" w:fill="F0F4FF"/>
          </w:tcPr>
          <w:p w14:paraId="22394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目录调整为AIC逻辑：背景与需求→解决方案→核心创新→应用效果→团队与实施→总结展望</w:t>
            </w:r>
          </w:p>
        </w:tc>
      </w:tr>
      <w:tr w14:paraId="42A9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5317C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第3-5页</w:t>
            </w:r>
          </w:p>
        </w:tc>
        <w:tc>
          <w:tcPr>
            <w:tcW w:w="2551" w:type="dxa"/>
          </w:tcPr>
          <w:p w14:paraId="1D8E55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项目背景+痛点+定位</w:t>
            </w:r>
          </w:p>
        </w:tc>
        <w:tc>
          <w:tcPr>
            <w:tcW w:w="4932" w:type="dxa"/>
          </w:tcPr>
          <w:p w14:paraId="6B6BDA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①痛点页补充调研数据来源说明；②定位页明确"计算机+电子信息"学科交叉；③增加一页"传统方式 vs LearnLab"对比</w:t>
            </w:r>
          </w:p>
        </w:tc>
      </w:tr>
      <w:tr w14:paraId="1995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4E8CE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第6-12页</w:t>
            </w:r>
          </w:p>
        </w:tc>
        <w:tc>
          <w:tcPr>
            <w:tcW w:w="2551" w:type="dxa"/>
            <w:shd w:val="clear" w:color="auto" w:fill="F0F4FF"/>
          </w:tcPr>
          <w:p w14:paraId="45887C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核心功能（7页）</w:t>
            </w:r>
          </w:p>
        </w:tc>
        <w:tc>
          <w:tcPr>
            <w:tcW w:w="4932" w:type="dxa"/>
            <w:shd w:val="clear" w:color="auto" w:fill="F0F4FF"/>
          </w:tcPr>
          <w:p w14:paraId="7095B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功能页精简，从7页压缩到4-5页，腾出空间给应用效果和团队；功能描述增加"对应学科环节"标注（如：电路仿真→实验实训环节）</w:t>
            </w:r>
          </w:p>
        </w:tc>
      </w:tr>
      <w:tr w14:paraId="4026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8A4D0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第13-18页</w:t>
            </w:r>
          </w:p>
        </w:tc>
        <w:tc>
          <w:tcPr>
            <w:tcW w:w="2551" w:type="dxa"/>
          </w:tcPr>
          <w:p w14:paraId="0291B0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核心创新点（6页）</w:t>
            </w:r>
          </w:p>
        </w:tc>
        <w:tc>
          <w:tcPr>
            <w:tcW w:w="4932" w:type="dxa"/>
          </w:tcPr>
          <w:p w14:paraId="61B586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创新点重新包装为"学科交叉三大新模式"；MNA电路仿真页强化"AI+电路实验"的交叉属性</w:t>
            </w:r>
          </w:p>
        </w:tc>
      </w:tr>
      <w:tr w14:paraId="67AE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0B555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第19-22页</w:t>
            </w:r>
          </w:p>
        </w:tc>
        <w:tc>
          <w:tcPr>
            <w:tcW w:w="2551" w:type="dxa"/>
            <w:shd w:val="clear" w:color="auto" w:fill="F0F4FF"/>
          </w:tcPr>
          <w:p w14:paraId="003CD5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技术架构（4页）</w:t>
            </w:r>
          </w:p>
        </w:tc>
        <w:tc>
          <w:tcPr>
            <w:tcW w:w="4932" w:type="dxa"/>
            <w:shd w:val="clear" w:color="auto" w:fill="F0F4FF"/>
          </w:tcPr>
          <w:p w14:paraId="777D7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架构图调整为AIC要求的四层架构（数据层/算法层/应用层/展示层）；增加技术选型与学科需求适配性说明</w:t>
            </w:r>
          </w:p>
        </w:tc>
      </w:tr>
      <w:tr w14:paraId="4EA6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77A92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w="2551" w:type="dxa"/>
          </w:tcPr>
          <w:p w14:paraId="650271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应用效果页（2-3页）</w:t>
            </w:r>
          </w:p>
        </w:tc>
        <w:tc>
          <w:tcPr>
            <w:tcW w:w="4932" w:type="dxa"/>
          </w:tcPr>
          <w:p w14:paraId="7BD54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①试点数据图表（前后测对比、用户满意度）；②效率提升量化对比；③用户反馈摘录</w:t>
            </w:r>
          </w:p>
        </w:tc>
      </w:tr>
      <w:tr w14:paraId="7B3C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758A8F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w="2551" w:type="dxa"/>
            <w:shd w:val="clear" w:color="auto" w:fill="F0F4FF"/>
          </w:tcPr>
          <w:p w14:paraId="6703B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团队与实施页（1-2页）</w:t>
            </w:r>
          </w:p>
        </w:tc>
        <w:tc>
          <w:tcPr>
            <w:tcW w:w="4932" w:type="dxa"/>
            <w:shd w:val="clear" w:color="auto" w:fill="F0F4FF"/>
          </w:tcPr>
          <w:p w14:paraId="3780C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①团队成员专业背景与分工；②项目实施时间线；③资源保障与推广路径</w:t>
            </w:r>
          </w:p>
        </w:tc>
      </w:tr>
      <w:tr w14:paraId="4B56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C09B1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第23-24页</w:t>
            </w:r>
          </w:p>
        </w:tc>
        <w:tc>
          <w:tcPr>
            <w:tcW w:w="2551" w:type="dxa"/>
          </w:tcPr>
          <w:p w14:paraId="0A6E3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总结与展望</w:t>
            </w:r>
          </w:p>
        </w:tc>
        <w:tc>
          <w:tcPr>
            <w:tcW w:w="4932" w:type="dxa"/>
          </w:tcPr>
          <w:p w14:paraId="07005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展望部分结合学科发展趋势和AI技术迭代方向，增加三阶段推广规划</w:t>
            </w:r>
          </w:p>
        </w:tc>
      </w:tr>
      <w:tr w14:paraId="3A25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64E9C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第25页</w:t>
            </w:r>
          </w:p>
        </w:tc>
        <w:tc>
          <w:tcPr>
            <w:tcW w:w="2551" w:type="dxa"/>
            <w:shd w:val="clear" w:color="auto" w:fill="F0F4FF"/>
          </w:tcPr>
          <w:p w14:paraId="7762DB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致谢</w:t>
            </w:r>
          </w:p>
        </w:tc>
        <w:tc>
          <w:tcPr>
            <w:tcW w:w="4932" w:type="dxa"/>
            <w:shd w:val="clear" w:color="auto" w:fill="F0F4FF"/>
          </w:tcPr>
          <w:p w14:paraId="39892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保持不变</w:t>
            </w:r>
          </w:p>
        </w:tc>
      </w:tr>
    </w:tbl>
    <w:p w14:paraId="47E6CE57">
      <w:pPr>
        <w:ind w:firstLine="420"/>
      </w:pPr>
      <w:r>
        <w:rPr>
          <w:rFonts w:ascii="微软雅黑" w:hAnsi="微软雅黑" w:eastAsia="微软雅黑"/>
          <w:b w:val="0"/>
          <w:sz w:val="21"/>
        </w:rPr>
        <w:t>PPT页数建议从25页调整为22-24页，核心变化是：精简功能展示（-2页），新增应用效果（+2页）和团队实施（+1页），使整体结构更贴合AIC评分维度。</w:t>
      </w:r>
    </w:p>
    <w:p w14:paraId="53A4EA66">
      <w:r>
        <w:br w:type="page"/>
      </w:r>
    </w:p>
    <w:p w14:paraId="03953E84">
      <w:pPr>
        <w:pStyle w:val="3"/>
      </w:pPr>
      <w:r>
        <w:rPr>
          <w:rFonts w:ascii="微软雅黑" w:hAnsi="微软雅黑" w:eastAsia="微软雅黑"/>
          <w:color w:val="1A56DB"/>
        </w:rPr>
        <w:t>七、优先级行动清单</w:t>
      </w:r>
    </w:p>
    <w:p w14:paraId="54591DB9">
      <w:pPr>
        <w:ind w:firstLine="420"/>
      </w:pPr>
      <w:r>
        <w:rPr>
          <w:rFonts w:ascii="微软雅黑" w:hAnsi="微软雅黑" w:eastAsia="微软雅黑"/>
          <w:b w:val="0"/>
          <w:sz w:val="21"/>
        </w:rPr>
        <w:t>按时间紧迫度和得分影响力排序，建议按以下顺序执行改造：</w:t>
      </w:r>
    </w:p>
    <w:p w14:paraId="11C2A701">
      <w:pPr>
        <w:pStyle w:val="4"/>
      </w:pPr>
      <w:r>
        <w:rPr>
          <w:rFonts w:ascii="微软雅黑" w:hAnsi="微软雅黑" w:eastAsia="微软雅黑"/>
          <w:color w:val="2D6BE0"/>
        </w:rPr>
        <w:t>P0 — 必须完成（直接影响能否及格/入围）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268"/>
        <w:gridCol w:w="1134"/>
        <w:gridCol w:w="1417"/>
        <w:gridCol w:w="3231"/>
      </w:tblGrid>
      <w:tr w14:paraId="3EDE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A56DB"/>
          </w:tcPr>
          <w:p w14:paraId="3B1241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DB"/>
          </w:tcPr>
          <w:p w14:paraId="24DCB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1134" w:type="dxa"/>
            <w:shd w:val="clear" w:color="auto" w:fill="1A56DB"/>
          </w:tcPr>
          <w:p w14:paraId="7AC81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  <w:tc>
          <w:tcPr>
            <w:tcW w:w="1417" w:type="dxa"/>
            <w:shd w:val="clear" w:color="auto" w:fill="1A56DB"/>
          </w:tcPr>
          <w:p w14:paraId="680E8D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对应评分项</w:t>
            </w:r>
          </w:p>
        </w:tc>
        <w:tc>
          <w:tcPr>
            <w:tcW w:w="3231" w:type="dxa"/>
            <w:shd w:val="clear" w:color="auto" w:fill="1A56DB"/>
          </w:tcPr>
          <w:p w14:paraId="570D89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具体产出</w:t>
            </w:r>
          </w:p>
        </w:tc>
      </w:tr>
      <w:tr w14:paraId="14EA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CDF60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</w:tcPr>
          <w:p w14:paraId="6A4005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组织小规模试点并收集数据</w:t>
            </w:r>
          </w:p>
        </w:tc>
        <w:tc>
          <w:tcPr>
            <w:tcW w:w="1134" w:type="dxa"/>
          </w:tcPr>
          <w:p w14:paraId="710F9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1-2周</w:t>
            </w:r>
          </w:p>
        </w:tc>
        <w:tc>
          <w:tcPr>
            <w:tcW w:w="1417" w:type="dxa"/>
          </w:tcPr>
          <w:p w14:paraId="0CE9C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应用效果(20分)</w:t>
            </w:r>
          </w:p>
        </w:tc>
        <w:tc>
          <w:tcPr>
            <w:tcW w:w="3231" w:type="dxa"/>
          </w:tcPr>
          <w:p w14:paraId="19C3F8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试点数据报告+前后测对比+用户问卷</w:t>
            </w:r>
          </w:p>
        </w:tc>
      </w:tr>
      <w:tr w14:paraId="0949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0DA62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  <w:shd w:val="clear" w:color="auto" w:fill="F0F4FF"/>
          </w:tcPr>
          <w:p w14:paraId="6378B3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撰写团队介绍与分工</w:t>
            </w:r>
          </w:p>
        </w:tc>
        <w:tc>
          <w:tcPr>
            <w:tcW w:w="1134" w:type="dxa"/>
            <w:shd w:val="clear" w:color="auto" w:fill="F0F4FF"/>
          </w:tcPr>
          <w:p w14:paraId="46FB4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5A020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项目实施(20分)</w:t>
            </w:r>
          </w:p>
        </w:tc>
        <w:tc>
          <w:tcPr>
            <w:tcW w:w="3231" w:type="dxa"/>
            <w:shd w:val="clear" w:color="auto" w:fill="F0F4FF"/>
          </w:tcPr>
          <w:p w14:paraId="45F989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团队成员表+协作机制说明</w:t>
            </w:r>
          </w:p>
        </w:tc>
      </w:tr>
      <w:tr w14:paraId="687B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E0D7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</w:tcPr>
          <w:p w14:paraId="651E0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补充经济可行性分析</w:t>
            </w:r>
          </w:p>
        </w:tc>
        <w:tc>
          <w:tcPr>
            <w:tcW w:w="1134" w:type="dxa"/>
          </w:tcPr>
          <w:p w14:paraId="1C7D3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</w:tcPr>
          <w:p w14:paraId="5C926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方案可行性(20分)</w:t>
            </w:r>
          </w:p>
        </w:tc>
        <w:tc>
          <w:tcPr>
            <w:tcW w:w="3231" w:type="dxa"/>
          </w:tcPr>
          <w:p w14:paraId="02E44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成本分析表+对比传统方案</w:t>
            </w:r>
          </w:p>
        </w:tc>
      </w:tr>
      <w:tr w14:paraId="0CAD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7AADEF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  <w:shd w:val="clear" w:color="auto" w:fill="F0F4FF"/>
          </w:tcPr>
          <w:p w14:paraId="39A20D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明确学科专业界定</w:t>
            </w:r>
          </w:p>
        </w:tc>
        <w:tc>
          <w:tcPr>
            <w:tcW w:w="1134" w:type="dxa"/>
            <w:shd w:val="clear" w:color="auto" w:fill="F0F4FF"/>
          </w:tcPr>
          <w:p w14:paraId="1FFCB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39150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需求分析(15分)</w:t>
            </w:r>
          </w:p>
        </w:tc>
        <w:tc>
          <w:tcPr>
            <w:tcW w:w="3231" w:type="dxa"/>
            <w:shd w:val="clear" w:color="auto" w:fill="F0F4FF"/>
          </w:tcPr>
          <w:p w14:paraId="76E44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学科定位段落+核心环节说明</w:t>
            </w:r>
          </w:p>
        </w:tc>
      </w:tr>
      <w:tr w14:paraId="2E332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4970B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</w:tcPr>
          <w:p w14:paraId="1BD57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按AIC八大部分重构技术方案文档</w:t>
            </w:r>
          </w:p>
        </w:tc>
        <w:tc>
          <w:tcPr>
            <w:tcW w:w="1134" w:type="dxa"/>
          </w:tcPr>
          <w:p w14:paraId="025C3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2-3天</w:t>
            </w:r>
          </w:p>
        </w:tc>
        <w:tc>
          <w:tcPr>
            <w:tcW w:w="1417" w:type="dxa"/>
          </w:tcPr>
          <w:p w14:paraId="46D71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全部维度</w:t>
            </w:r>
          </w:p>
        </w:tc>
        <w:tc>
          <w:tcPr>
            <w:tcW w:w="3231" w:type="dxa"/>
          </w:tcPr>
          <w:p w14:paraId="31247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新版技术方案文档</w:t>
            </w:r>
          </w:p>
        </w:tc>
      </w:tr>
    </w:tbl>
    <w:p w14:paraId="0C6C8636">
      <w:pPr>
        <w:pStyle w:val="4"/>
      </w:pPr>
      <w:r>
        <w:rPr>
          <w:rFonts w:ascii="微软雅黑" w:hAnsi="微软雅黑" w:eastAsia="微软雅黑"/>
          <w:color w:val="2D6BE0"/>
        </w:rPr>
        <w:t>P1 — 强烈建议（显著提升分数）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268"/>
        <w:gridCol w:w="1134"/>
        <w:gridCol w:w="1417"/>
        <w:gridCol w:w="3231"/>
      </w:tblGrid>
      <w:tr w14:paraId="105B4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A56DB"/>
          </w:tcPr>
          <w:p w14:paraId="6891F1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DB"/>
          </w:tcPr>
          <w:p w14:paraId="5FC968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1134" w:type="dxa"/>
            <w:shd w:val="clear" w:color="auto" w:fill="1A56DB"/>
          </w:tcPr>
          <w:p w14:paraId="52B3EA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  <w:tc>
          <w:tcPr>
            <w:tcW w:w="1417" w:type="dxa"/>
            <w:shd w:val="clear" w:color="auto" w:fill="1A56DB"/>
          </w:tcPr>
          <w:p w14:paraId="4F159C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对应评分项</w:t>
            </w:r>
          </w:p>
        </w:tc>
        <w:tc>
          <w:tcPr>
            <w:tcW w:w="3231" w:type="dxa"/>
            <w:shd w:val="clear" w:color="auto" w:fill="1A56DB"/>
          </w:tcPr>
          <w:p w14:paraId="68CA6C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具体产出</w:t>
            </w:r>
          </w:p>
        </w:tc>
      </w:tr>
      <w:tr w14:paraId="1AF90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64B35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2268" w:type="dxa"/>
          </w:tcPr>
          <w:p w14:paraId="251CE2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创新点重新包装为学科交叉新模式</w:t>
            </w:r>
          </w:p>
        </w:tc>
        <w:tc>
          <w:tcPr>
            <w:tcW w:w="1134" w:type="dxa"/>
          </w:tcPr>
          <w:p w14:paraId="1FA90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1天</w:t>
            </w:r>
          </w:p>
        </w:tc>
        <w:tc>
          <w:tcPr>
            <w:tcW w:w="1417" w:type="dxa"/>
          </w:tcPr>
          <w:p w14:paraId="455C1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创新性(20分)</w:t>
            </w:r>
          </w:p>
        </w:tc>
        <w:tc>
          <w:tcPr>
            <w:tcW w:w="3231" w:type="dxa"/>
          </w:tcPr>
          <w:p w14:paraId="763F5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三大创新模式论述+传统对比</w:t>
            </w:r>
          </w:p>
        </w:tc>
      </w:tr>
      <w:tr w14:paraId="3B0C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1B2D5C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2268" w:type="dxa"/>
            <w:shd w:val="clear" w:color="auto" w:fill="F0F4FF"/>
          </w:tcPr>
          <w:p w14:paraId="6346D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补充实施计划时间线与资源保障</w:t>
            </w:r>
          </w:p>
        </w:tc>
        <w:tc>
          <w:tcPr>
            <w:tcW w:w="1134" w:type="dxa"/>
            <w:shd w:val="clear" w:color="auto" w:fill="F0F4FF"/>
          </w:tcPr>
          <w:p w14:paraId="0D0F70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2BBFD7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项目实施(20分)</w:t>
            </w:r>
          </w:p>
        </w:tc>
        <w:tc>
          <w:tcPr>
            <w:tcW w:w="3231" w:type="dxa"/>
            <w:shd w:val="clear" w:color="auto" w:fill="F0F4FF"/>
          </w:tcPr>
          <w:p w14:paraId="77070B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甘特图/时间线表+资源清单</w:t>
            </w:r>
          </w:p>
        </w:tc>
      </w:tr>
      <w:tr w14:paraId="01713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B4D55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268" w:type="dxa"/>
          </w:tcPr>
          <w:p w14:paraId="1D6D2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补充推广价值与落地路径</w:t>
            </w:r>
          </w:p>
        </w:tc>
        <w:tc>
          <w:tcPr>
            <w:tcW w:w="1134" w:type="dxa"/>
          </w:tcPr>
          <w:p w14:paraId="58202C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</w:tcPr>
          <w:p w14:paraId="65693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方案可行性(20分)</w:t>
            </w:r>
          </w:p>
        </w:tc>
        <w:tc>
          <w:tcPr>
            <w:tcW w:w="3231" w:type="dxa"/>
          </w:tcPr>
          <w:p w14:paraId="48B74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三阶段推广规划+复用条件说明</w:t>
            </w:r>
          </w:p>
        </w:tc>
      </w:tr>
      <w:tr w14:paraId="49BC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66DAF5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w="2268" w:type="dxa"/>
            <w:shd w:val="clear" w:color="auto" w:fill="F0F4FF"/>
          </w:tcPr>
          <w:p w14:paraId="79A4F1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补充参考文献列表</w:t>
            </w:r>
          </w:p>
        </w:tc>
        <w:tc>
          <w:tcPr>
            <w:tcW w:w="1134" w:type="dxa"/>
            <w:shd w:val="clear" w:color="auto" w:fill="F0F4FF"/>
          </w:tcPr>
          <w:p w14:paraId="59FC70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79FFB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文档规范性</w:t>
            </w:r>
          </w:p>
        </w:tc>
        <w:tc>
          <w:tcPr>
            <w:tcW w:w="3231" w:type="dxa"/>
            <w:shd w:val="clear" w:color="auto" w:fill="F0F4FF"/>
          </w:tcPr>
          <w:p w14:paraId="588783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15-20篇参考文献</w:t>
            </w:r>
          </w:p>
        </w:tc>
      </w:tr>
      <w:tr w14:paraId="1D7E6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77B2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w="2268" w:type="dxa"/>
          </w:tcPr>
          <w:p w14:paraId="1B3FE2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调整PPT结构与内容</w:t>
            </w:r>
          </w:p>
        </w:tc>
        <w:tc>
          <w:tcPr>
            <w:tcW w:w="1134" w:type="dxa"/>
          </w:tcPr>
          <w:p w14:paraId="224C0A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1-2天</w:t>
            </w:r>
          </w:p>
        </w:tc>
        <w:tc>
          <w:tcPr>
            <w:tcW w:w="1417" w:type="dxa"/>
          </w:tcPr>
          <w:p w14:paraId="4D1CB0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演示效果</w:t>
            </w:r>
          </w:p>
        </w:tc>
        <w:tc>
          <w:tcPr>
            <w:tcW w:w="3231" w:type="dxa"/>
          </w:tcPr>
          <w:p w14:paraId="75B738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新版PPT（22-24页）</w:t>
            </w:r>
          </w:p>
        </w:tc>
      </w:tr>
    </w:tbl>
    <w:p w14:paraId="4D663B47">
      <w:pPr>
        <w:pStyle w:val="4"/>
      </w:pPr>
      <w:r>
        <w:rPr>
          <w:rFonts w:ascii="微软雅黑" w:hAnsi="微软雅黑" w:eastAsia="微软雅黑"/>
          <w:color w:val="2D6BE0"/>
        </w:rPr>
        <w:t>P2 — 锦上添花（有时间再做）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268"/>
        <w:gridCol w:w="1134"/>
        <w:gridCol w:w="1417"/>
        <w:gridCol w:w="3231"/>
      </w:tblGrid>
      <w:tr w14:paraId="3924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A56DB"/>
          </w:tcPr>
          <w:p w14:paraId="31496E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DB"/>
          </w:tcPr>
          <w:p w14:paraId="22C5D3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1134" w:type="dxa"/>
            <w:shd w:val="clear" w:color="auto" w:fill="1A56DB"/>
          </w:tcPr>
          <w:p w14:paraId="625E8A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  <w:tc>
          <w:tcPr>
            <w:tcW w:w="1417" w:type="dxa"/>
            <w:shd w:val="clear" w:color="auto" w:fill="1A56DB"/>
          </w:tcPr>
          <w:p w14:paraId="2C4357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对应评分项</w:t>
            </w:r>
          </w:p>
        </w:tc>
        <w:tc>
          <w:tcPr>
            <w:tcW w:w="3231" w:type="dxa"/>
            <w:shd w:val="clear" w:color="auto" w:fill="1A56DB"/>
          </w:tcPr>
          <w:p w14:paraId="38B885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具体产出</w:t>
            </w:r>
          </w:p>
        </w:tc>
      </w:tr>
      <w:tr w14:paraId="7B59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0268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w="2268" w:type="dxa"/>
          </w:tcPr>
          <w:p w14:paraId="54AC6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补充实验实训环节需求深度分析</w:t>
            </w:r>
          </w:p>
        </w:tc>
        <w:tc>
          <w:tcPr>
            <w:tcW w:w="1134" w:type="dxa"/>
          </w:tcPr>
          <w:p w14:paraId="6BE94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1天</w:t>
            </w:r>
          </w:p>
        </w:tc>
        <w:tc>
          <w:tcPr>
            <w:tcW w:w="1417" w:type="dxa"/>
          </w:tcPr>
          <w:p w14:paraId="655A87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需求分析(15分)</w:t>
            </w:r>
          </w:p>
        </w:tc>
        <w:tc>
          <w:tcPr>
            <w:tcW w:w="3231" w:type="dxa"/>
          </w:tcPr>
          <w:p w14:paraId="4B2B61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电路实验痛点专节+MNA仿真需求论证</w:t>
            </w:r>
          </w:p>
        </w:tc>
      </w:tr>
      <w:tr w14:paraId="6171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266BE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w="2268" w:type="dxa"/>
            <w:shd w:val="clear" w:color="auto" w:fill="F0F4FF"/>
          </w:tcPr>
          <w:p w14:paraId="61BBC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补充AI赋能必要性论证</w:t>
            </w:r>
          </w:p>
        </w:tc>
        <w:tc>
          <w:tcPr>
            <w:tcW w:w="1134" w:type="dxa"/>
            <w:shd w:val="clear" w:color="auto" w:fill="F0F4FF"/>
          </w:tcPr>
          <w:p w14:paraId="10D692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65D23F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需求分析(15分)</w:t>
            </w:r>
          </w:p>
        </w:tc>
        <w:tc>
          <w:tcPr>
            <w:tcW w:w="3231" w:type="dxa"/>
            <w:shd w:val="clear" w:color="auto" w:fill="F0F4FF"/>
          </w:tcPr>
          <w:p w14:paraId="39B49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传统LMS vs AI系统对比分析</w:t>
            </w:r>
          </w:p>
        </w:tc>
      </w:tr>
      <w:tr w14:paraId="714E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6AD4A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w="2268" w:type="dxa"/>
          </w:tcPr>
          <w:p w14:paraId="2E3DD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录制演示视频（突出学科交叉场景）</w:t>
            </w:r>
          </w:p>
        </w:tc>
        <w:tc>
          <w:tcPr>
            <w:tcW w:w="1134" w:type="dxa"/>
          </w:tcPr>
          <w:p w14:paraId="5E6E11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1天</w:t>
            </w:r>
          </w:p>
        </w:tc>
        <w:tc>
          <w:tcPr>
            <w:tcW w:w="1417" w:type="dxa"/>
          </w:tcPr>
          <w:p w14:paraId="4C249E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应用效果展示</w:t>
            </w:r>
          </w:p>
        </w:tc>
        <w:tc>
          <w:tcPr>
            <w:tcW w:w="3231" w:type="dxa"/>
          </w:tcPr>
          <w:p w14:paraId="24061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5-8分钟演示视频</w:t>
            </w:r>
          </w:p>
        </w:tc>
      </w:tr>
      <w:tr w14:paraId="49B6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2A385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w="2268" w:type="dxa"/>
            <w:shd w:val="clear" w:color="auto" w:fill="F0F4FF"/>
          </w:tcPr>
          <w:p w14:paraId="71D78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LLM依赖风险与降级方案说明</w:t>
            </w:r>
          </w:p>
        </w:tc>
        <w:tc>
          <w:tcPr>
            <w:tcW w:w="1134" w:type="dxa"/>
            <w:shd w:val="clear" w:color="auto" w:fill="F0F4FF"/>
          </w:tcPr>
          <w:p w14:paraId="34EE28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59E9A2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方案可行性(20分)</w:t>
            </w:r>
          </w:p>
        </w:tc>
        <w:tc>
          <w:tcPr>
            <w:tcW w:w="3231" w:type="dxa"/>
            <w:shd w:val="clear" w:color="auto" w:fill="F0F4FF"/>
          </w:tcPr>
          <w:p w14:paraId="613A04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多模型切换机制+故障降级策略</w:t>
            </w:r>
          </w:p>
        </w:tc>
      </w:tr>
      <w:tr w14:paraId="6DBE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E5A44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w="2268" w:type="dxa"/>
          </w:tcPr>
          <w:p w14:paraId="0A3F68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总结与展望结合政策与技术趋势</w:t>
            </w:r>
          </w:p>
        </w:tc>
        <w:tc>
          <w:tcPr>
            <w:tcW w:w="1134" w:type="dxa"/>
          </w:tcPr>
          <w:p w14:paraId="67883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</w:tcPr>
          <w:p w14:paraId="5797C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总结展望(5分)</w:t>
            </w:r>
          </w:p>
        </w:tc>
        <w:tc>
          <w:tcPr>
            <w:tcW w:w="3231" w:type="dxa"/>
          </w:tcPr>
          <w:p w14:paraId="5B7AF1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教育数字化政策关联+AI技术趋势展望</w:t>
            </w:r>
          </w:p>
        </w:tc>
      </w:tr>
    </w:tbl>
    <w:p w14:paraId="4D43D001"/>
    <w:p w14:paraId="144B2075">
      <w:pPr>
        <w:pStyle w:val="4"/>
      </w:pPr>
      <w:r>
        <w:rPr>
          <w:rFonts w:ascii="微软雅黑" w:hAnsi="微软雅黑" w:eastAsia="微软雅黑"/>
          <w:color w:val="2D6BE0"/>
        </w:rPr>
        <w:t>总结</w:t>
      </w:r>
    </w:p>
    <w:p w14:paraId="39929444">
      <w:pPr>
        <w:ind w:firstLine="420"/>
      </w:pPr>
      <w:r>
        <w:rPr>
          <w:rFonts w:ascii="微软雅黑" w:hAnsi="微软雅黑" w:eastAsia="微软雅黑"/>
          <w:b w:val="0"/>
          <w:sz w:val="21"/>
        </w:rPr>
        <w:t>LearnLab现有作品技术底子扎实，12Agent多智能体、ADPP自适应算法、MNA电路仿真三大核心技术在AIC赛事中具有较强竞争力。主要差距集中在"软件杯思维"向"算法创新赛思维"的转换上：</w:t>
      </w:r>
    </w:p>
    <w:p w14:paraId="3B47C5C2">
      <w:pPr>
        <w:pStyle w:val="16"/>
        <w:ind w:left="420"/>
      </w:pPr>
      <w:r>
        <w:rPr>
          <w:rFonts w:ascii="微软雅黑" w:hAnsi="微软雅黑" w:eastAsia="微软雅黑"/>
          <w:sz w:val="21"/>
        </w:rPr>
        <w:t>从"功能实现导向"转向"学科问题解决导向"——创新点要上升到学科交叉新模式的高度</w:t>
      </w:r>
    </w:p>
    <w:p w14:paraId="32AC3ABA">
      <w:pPr>
        <w:pStyle w:val="16"/>
        <w:ind w:left="420"/>
      </w:pPr>
      <w:r>
        <w:rPr>
          <w:rFonts w:ascii="微软雅黑" w:hAnsi="微软雅黑" w:eastAsia="微软雅黑"/>
          <w:sz w:val="21"/>
        </w:rPr>
        <w:t>从"技术文档导向"转向"效果验证导向"——应用效果数据是最大短板，必须补齐</w:t>
      </w:r>
    </w:p>
    <w:p w14:paraId="68B0DD90">
      <w:pPr>
        <w:pStyle w:val="16"/>
        <w:ind w:left="420"/>
      </w:pPr>
      <w:r>
        <w:rPr>
          <w:rFonts w:ascii="微软雅黑" w:hAnsi="微软雅黑" w:eastAsia="微软雅黑"/>
          <w:sz w:val="21"/>
        </w:rPr>
        <w:t>从"产品展示导向"转向"项目论证导向"——团队、实施计划、经济可行性、推广路径缺一不可</w:t>
      </w:r>
    </w:p>
    <w:p w14:paraId="39F60706">
      <w:pPr>
        <w:ind w:firstLine="420"/>
      </w:pPr>
      <w:r>
        <w:rPr>
          <w:rFonts w:ascii="微软雅黑" w:hAnsi="微软雅黑" w:eastAsia="微软雅黑"/>
          <w:b/>
          <w:sz w:val="21"/>
        </w:rPr>
        <w:t>完成P0级5项任务后，作品预计可从当前预估65-70分提升至80-85分；完成P1级任务后有望冲击85-90分。建议优先集中精力完成试点数据收集和文档重构。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B579A"/>
          <w:sz w:val="28"/>
        </w:rPr>
        <w:t>代码实现状态对照（2026年8月）</w:t>
      </w:r>
    </w:p>
    <w:p>
      <w:r>
        <w:rPr>
          <w:rFonts w:ascii="微软雅黑" w:hAnsi="微软雅黑" w:eastAsia="微软雅黑"/>
          <w:sz w:val="21"/>
        </w:rPr>
        <w:t>根据当前 backend/app/algorithms 和 backend/app/api/ai_algorithms.py 复核，完整BKT、GKT、IRT 1PL/2PL、NCD、FSRS和Thompson Sampling已实现并提供接口；ADPP、趋势分析、加权匹配和学习效果评估也已保留并增强。验证脚本已覆盖主要引擎，但真实教学效果仍需试点或对照实验测量。</w:t>
      </w:r>
    </w:p>
    <w:p>
      <w:pPr>
        <w:shd w:fill="F5F7FA" w:val="clear"/>
      </w:pPr>
      <w:r>
        <w:rPr>
          <w:rFonts w:ascii="微软雅黑" w:hAnsi="微软雅黑" w:eastAsia="微软雅黑"/>
          <w:sz w:val="20"/>
        </w:rPr>
        <w:t>已落地：完整BKT（EM/AUC）、GKT图卷积、IRT能力/难度估计、NCD单调约束、FSRS卡片持久化、Thompson Sampling选题、算法状态接口、23项算法断言。限制：MAB和NCD当前为进程内状态；DKT、LinUCB、SM-17、真实大规模效果评估仍为后续规划。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1A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559</Words>
  <Characters>615</Characters>
  <Lines>0</Lines>
  <Paragraphs>0</Paragraphs>
  <TotalTime>0</TotalTime>
  <ScaleCrop>false</ScaleCrop>
  <LinksUpToDate>false</LinksUpToDate>
  <CharactersWithSpaces>621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孙雨瑶</cp:lastModifiedBy>
  <dcterms:modified xsi:type="dcterms:W3CDTF">2026-08-13T05:00:46Z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9D3D0DB2CC1E47E2B7B05BD5F3D68972_13</vt:lpwstr>
  </property>
</Properties>
</file>