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1F2A44"/>
          <w:sz w:val="36"/>
          <w:szCs w:val="36"/>
        </w:rPr>
        <w:t xml:space="preserve">The PfMO Function Map</w:t>
      </w:r>
    </w:p>
    <w:p>
      <w:pPr>
        <w:spacing w:after="90"/>
      </w:pPr>
      <w:r>
        <w:rPr>
          <w:i/>
          <w:iCs/>
          <w:color w:val="5A6472"/>
          <w:sz w:val="17"/>
          <w:szCs w:val="17"/>
        </w:rPr>
        <w:t xml:space="preserve">What a Portfolio Management Office actually does, mapped against what the Agentic PMO Suite prototype covers today.</w:t>
      </w:r>
    </w:p>
    <w:p>
      <w:pPr>
        <w:spacing w:after="120"/>
      </w:pPr>
      <w:r>
        <w:rPr>
          <w:b/>
          <w:bCs/>
          <w:color w:val="9A6A1A"/>
          <w:sz w:val="14"/>
          <w:szCs w:val="14"/>
        </w:rPr>
        <w:t xml:space="preserve">STATUS: WORK IN PROGRESS — PROTOTYPE, NOT A FINISHED PRODUCT.  </w:t>
      </w:r>
      <w:r>
        <w:rPr>
          <w:color w:val="5A6472"/>
          <w:sz w:val="14"/>
          <w:szCs w:val="14"/>
        </w:rPr>
        <w:t xml:space="preserve">Of 14 standard PfMO functions: 4 fully built, 7 partially covered, 3 not yet attempted — roughly 54% weighted completion against the full PfMO role. Full capability detail is in the Agentic PMO Suite one-pager and the app's own Roadmap &amp; Scope tab.</w:t>
      </w:r>
    </w:p>
    <w:p>
      <w:pPr>
        <w:pBdr>
          <w:bottom w:val="single" w:color="2E5F8A" w:sz="6" w:space="4"/>
        </w:pBdr>
        <w:spacing w:after="130"/>
      </w:pPr>
      <w:r>
        <w:rPr>
          <w:sz w:val="2"/>
          <w:szCs w:val="2"/>
        </w:rPr>
        <w:t xml:space="preserve"/>
      </w:r>
    </w:p>
    <w:tbl>
      <w:tblPr>
        <w:tblW w:type="dxa" w:w="10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50"/>
        <w:gridCol w:w="3100"/>
        <w:gridCol w:w="1050"/>
        <w:gridCol w:w="4200"/>
      </w:tblGrid>
      <w:tr>
        <w:trPr>
          <w:tblHeader/>
        </w:trPr>
        <w:tc>
          <w:tcPr>
            <w:tcW w:type="dxa" w:w="1850"/>
            <w:shd w:fill="1F2A44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4"/>
                <w:szCs w:val="14"/>
              </w:rPr>
              <w:t xml:space="preserve">PfMO Function</w:t>
            </w:r>
          </w:p>
        </w:tc>
        <w:tc>
          <w:tcPr>
            <w:tcW w:type="dxa" w:w="3100"/>
            <w:shd w:fill="1F2A44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4"/>
                <w:szCs w:val="14"/>
              </w:rPr>
              <w:t xml:space="preserve">What a PfMO Owns Here</w:t>
            </w:r>
          </w:p>
        </w:tc>
        <w:tc>
          <w:tcPr>
            <w:tcW w:type="dxa" w:w="1050"/>
            <w:shd w:fill="1F2A44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4"/>
                <w:szCs w:val="14"/>
              </w:rPr>
              <w:t xml:space="preserve">Status</w:t>
            </w:r>
          </w:p>
        </w:tc>
        <w:tc>
          <w:tcPr>
            <w:tcW w:type="dxa" w:w="4200"/>
            <w:shd w:fill="1F2A44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4"/>
                <w:szCs w:val="14"/>
              </w:rPr>
              <w:t xml:space="preserve">In This Prototype</w:t>
            </w:r>
          </w:p>
        </w:tc>
      </w:tr>
      <w:tr>
        <w:tc>
          <w:tcPr>
            <w:tcW w:type="dxa" w:w="1850"/>
            <w:shd w:fill="EEF2F6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color w:val="2E5F8A"/>
                <w:sz w:val="14"/>
                <w:szCs w:val="14"/>
              </w:rPr>
              <w:t xml:space="preserve">Strategic Alignment &amp; Governance</w:t>
            </w:r>
          </w:p>
        </w:tc>
        <w:tc>
          <w:tcPr>
            <w:tcW w:type="dxa" w:w="3100"/>
            <w:shd w:fill="EEF2F6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color w:val="222222"/>
                <w:sz w:val="14"/>
                <w:szCs w:val="14"/>
              </w:rPr>
              <w:t xml:space="preserve">Ensures every active investment ties back to the org's real strategic objectives, not just the loudest request.</w:t>
            </w:r>
          </w:p>
        </w:tc>
        <w:tc>
          <w:tcPr>
            <w:tcW w:type="dxa" w:w="1050"/>
            <w:shd w:fill="EEF2F6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color w:val="1E7A4C"/>
                <w:sz w:val="14"/>
                <w:szCs w:val="14"/>
              </w:rPr>
              <w:t xml:space="preserve">Built</w:t>
            </w:r>
          </w:p>
        </w:tc>
        <w:tc>
          <w:tcPr>
            <w:tcW w:type="dxa" w:w="4200"/>
            <w:shd w:fill="EEF2F6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i/>
                <w:iCs/>
                <w:color w:val="5A6472"/>
                <w:sz w:val="14"/>
                <w:szCs w:val="14"/>
              </w:rPr>
              <w:t xml:space="preserve">OKR tie is a hard gate in scoring; a rule-based check flags when a program's stated OKR doesn't match the metrics it's actually tracking.</w:t>
            </w:r>
          </w:p>
        </w:tc>
      </w:tr>
      <w:tr>
        <w:tc>
          <w:tcPr>
            <w:tcW w:type="dxa" w:w="185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color w:val="2E5F8A"/>
                <w:sz w:val="14"/>
                <w:szCs w:val="14"/>
              </w:rPr>
              <w:t xml:space="preserve">Demand &amp; Intake Management</w:t>
            </w:r>
          </w:p>
        </w:tc>
        <w:tc>
          <w:tcPr>
            <w:tcW w:type="dxa" w:w="310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color w:val="222222"/>
                <w:sz w:val="14"/>
                <w:szCs w:val="14"/>
              </w:rPr>
              <w:t xml:space="preserve">Captures new work requests in a consistent format and triages them before they compete for resources.</w:t>
            </w:r>
          </w:p>
        </w:tc>
        <w:tc>
          <w:tcPr>
            <w:tcW w:type="dxa" w:w="105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color w:val="1E7A4C"/>
                <w:sz w:val="14"/>
                <w:szCs w:val="14"/>
              </w:rPr>
              <w:t xml:space="preserve">Built</w:t>
            </w:r>
          </w:p>
        </w:tc>
        <w:tc>
          <w:tcPr>
            <w:tcW w:type="dxa" w:w="420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i/>
                <w:iCs/>
                <w:color w:val="5A6472"/>
                <w:sz w:val="14"/>
                <w:szCs w:val="14"/>
              </w:rPr>
              <w:t xml:space="preserve">Structured intake form; an Intake Agent drafts the problem statement, checks value-prop quality, assesses OKR fit. Voice/transcript capture included. Each request carries a rigor profile that sets its process level on approval.</w:t>
            </w:r>
          </w:p>
        </w:tc>
      </w:tr>
      <w:tr>
        <w:tc>
          <w:tcPr>
            <w:tcW w:type="dxa" w:w="1850"/>
            <w:shd w:fill="EEF2F6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color w:val="2E5F8A"/>
                <w:sz w:val="14"/>
                <w:szCs w:val="14"/>
              </w:rPr>
              <w:t xml:space="preserve">Prioritization &amp; Selection</w:t>
            </w:r>
          </w:p>
        </w:tc>
        <w:tc>
          <w:tcPr>
            <w:tcW w:type="dxa" w:w="3100"/>
            <w:shd w:fill="EEF2F6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color w:val="222222"/>
                <w:sz w:val="14"/>
                <w:szCs w:val="14"/>
              </w:rPr>
              <w:t xml:space="preserve">Ranks competing investments against a defensible, repeatable method instead of politics or recency.</w:t>
            </w:r>
          </w:p>
        </w:tc>
        <w:tc>
          <w:tcPr>
            <w:tcW w:type="dxa" w:w="1050"/>
            <w:shd w:fill="EEF2F6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color w:val="1E7A4C"/>
                <w:sz w:val="14"/>
                <w:szCs w:val="14"/>
              </w:rPr>
              <w:t xml:space="preserve">Built</w:t>
            </w:r>
          </w:p>
        </w:tc>
        <w:tc>
          <w:tcPr>
            <w:tcW w:type="dxa" w:w="4200"/>
            <w:shd w:fill="EEF2F6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i/>
                <w:iCs/>
                <w:color w:val="5A6472"/>
                <w:sz w:val="14"/>
                <w:szCs w:val="14"/>
              </w:rPr>
              <w:t xml:space="preserve">Fixed rubric (OKR gate, size, team spread, complexity, 9-pt value score), with equally-weighted tracks for revenue-generating vs. reliability/infra work.</w:t>
            </w:r>
          </w:p>
        </w:tc>
      </w:tr>
      <w:tr>
        <w:tc>
          <w:tcPr>
            <w:tcW w:type="dxa" w:w="185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color w:val="2E5F8A"/>
                <w:sz w:val="14"/>
                <w:szCs w:val="14"/>
              </w:rPr>
              <w:t xml:space="preserve">Program Artifact Standards</w:t>
            </w:r>
          </w:p>
        </w:tc>
        <w:tc>
          <w:tcPr>
            <w:tcW w:type="dxa" w:w="310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color w:val="222222"/>
                <w:sz w:val="14"/>
                <w:szCs w:val="14"/>
              </w:rPr>
              <w:t xml:space="preserve">Defines and enforces a consistent shape for charters, plans, status reports, etc. across every program.</w:t>
            </w:r>
          </w:p>
        </w:tc>
        <w:tc>
          <w:tcPr>
            <w:tcW w:type="dxa" w:w="105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color w:val="1E7A4C"/>
                <w:sz w:val="14"/>
                <w:szCs w:val="14"/>
              </w:rPr>
              <w:t xml:space="preserve">Built</w:t>
            </w:r>
          </w:p>
        </w:tc>
        <w:tc>
          <w:tcPr>
            <w:tcW w:type="dxa" w:w="420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i/>
                <w:iCs/>
                <w:color w:val="5A6472"/>
                <w:sz w:val="14"/>
                <w:szCs w:val="14"/>
              </w:rPr>
              <w:t xml:space="preserve">Seven agents (Charter, Plan, Status, Risk Register, Dependency Tracker, OKR Report, Landing Page), each against a fixed template, grounded in shared context.</w:t>
            </w:r>
          </w:p>
        </w:tc>
      </w:tr>
      <w:tr>
        <w:tc>
          <w:tcPr>
            <w:tcW w:type="dxa" w:w="1850"/>
            <w:shd w:fill="EEF2F6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color w:val="2E5F8A"/>
                <w:sz w:val="14"/>
                <w:szCs w:val="14"/>
              </w:rPr>
              <w:t xml:space="preserve">Resource &amp; Capacity Management</w:t>
            </w:r>
          </w:p>
        </w:tc>
        <w:tc>
          <w:tcPr>
            <w:tcW w:type="dxa" w:w="3100"/>
            <w:shd w:fill="EEF2F6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color w:val="222222"/>
                <w:sz w:val="14"/>
                <w:szCs w:val="14"/>
              </w:rPr>
              <w:t xml:space="preserve">Tracks who/what is allocated where, and prevents silent over-commitment of scarce delivery capacity.</w:t>
            </w:r>
          </w:p>
        </w:tc>
        <w:tc>
          <w:tcPr>
            <w:tcW w:type="dxa" w:w="1050"/>
            <w:shd w:fill="EEF2F6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color w:val="9A6A1A"/>
                <w:sz w:val="14"/>
                <w:szCs w:val="14"/>
              </w:rPr>
              <w:t xml:space="preserve">Partial</w:t>
            </w:r>
          </w:p>
        </w:tc>
        <w:tc>
          <w:tcPr>
            <w:tcW w:type="dxa" w:w="4200"/>
            <w:shd w:fill="EEF2F6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i/>
                <w:iCs/>
                <w:color w:val="5A6472"/>
                <w:sz w:val="14"/>
                <w:szCs w:val="14"/>
              </w:rPr>
              <w:t xml:space="preserve">TPM allocation is capped at 80% of capacity and enforced automatically, with a month-by-month TPM heat map built from program dates. Engineering and budget capacity aren't modeled.</w:t>
            </w:r>
          </w:p>
        </w:tc>
      </w:tr>
      <w:tr>
        <w:tc>
          <w:tcPr>
            <w:tcW w:type="dxa" w:w="185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color w:val="2E5F8A"/>
                <w:sz w:val="14"/>
                <w:szCs w:val="14"/>
              </w:rPr>
              <w:t xml:space="preserve">Risk, Issue &amp; Knowledge Management</w:t>
            </w:r>
          </w:p>
        </w:tc>
        <w:tc>
          <w:tcPr>
            <w:tcW w:type="dxa" w:w="310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color w:val="222222"/>
                <w:sz w:val="14"/>
                <w:szCs w:val="14"/>
              </w:rPr>
              <w:t xml:space="preserve">Surfaces and mitigates risk, and carries lessons from past programs forward instead of relearning them.</w:t>
            </w:r>
          </w:p>
        </w:tc>
        <w:tc>
          <w:tcPr>
            <w:tcW w:type="dxa" w:w="105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color w:val="9A6A1A"/>
                <w:sz w:val="14"/>
                <w:szCs w:val="14"/>
              </w:rPr>
              <w:t xml:space="preserve">Partial</w:t>
            </w:r>
          </w:p>
        </w:tc>
        <w:tc>
          <w:tcPr>
            <w:tcW w:type="dxa" w:w="420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i/>
                <w:iCs/>
                <w:color w:val="5A6472"/>
                <w:sz w:val="14"/>
                <w:szCs w:val="14"/>
              </w:rPr>
              <w:t xml:space="preserve">Per-program risk register plus a seeded pattern library matched from prior programs — not yet fed by a live, closed-loop post-mortem process.</w:t>
            </w:r>
          </w:p>
        </w:tc>
      </w:tr>
      <w:tr>
        <w:tc>
          <w:tcPr>
            <w:tcW w:type="dxa" w:w="1850"/>
            <w:shd w:fill="EEF2F6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color w:val="2E5F8A"/>
                <w:sz w:val="14"/>
                <w:szCs w:val="14"/>
              </w:rPr>
              <w:t xml:space="preserve">Dependency Management</w:t>
            </w:r>
          </w:p>
        </w:tc>
        <w:tc>
          <w:tcPr>
            <w:tcW w:type="dxa" w:w="3100"/>
            <w:shd w:fill="EEF2F6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color w:val="222222"/>
                <w:sz w:val="14"/>
                <w:szCs w:val="14"/>
              </w:rPr>
              <w:t xml:space="preserve">Tracks what one program needs from another, and sequences work accordingly.</w:t>
            </w:r>
          </w:p>
        </w:tc>
        <w:tc>
          <w:tcPr>
            <w:tcW w:type="dxa" w:w="1050"/>
            <w:shd w:fill="EEF2F6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color w:val="9A6A1A"/>
                <w:sz w:val="14"/>
                <w:szCs w:val="14"/>
              </w:rPr>
              <w:t xml:space="preserve">Partial</w:t>
            </w:r>
          </w:p>
        </w:tc>
        <w:tc>
          <w:tcPr>
            <w:tcW w:type="dxa" w:w="4200"/>
            <w:shd w:fill="EEF2F6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i/>
                <w:iCs/>
                <w:color w:val="5A6472"/>
                <w:sz w:val="14"/>
                <w:szCs w:val="14"/>
              </w:rPr>
              <w:t xml:space="preserve">Tracked within each program; no system-enforced graph linking one program's dependency to another's actual deliverable.</w:t>
            </w:r>
          </w:p>
        </w:tc>
      </w:tr>
      <w:tr>
        <w:tc>
          <w:tcPr>
            <w:tcW w:type="dxa" w:w="185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color w:val="2E5F8A"/>
                <w:sz w:val="14"/>
                <w:szCs w:val="14"/>
              </w:rPr>
              <w:t xml:space="preserve">Portfolio Reporting &amp; Rollups</w:t>
            </w:r>
          </w:p>
        </w:tc>
        <w:tc>
          <w:tcPr>
            <w:tcW w:type="dxa" w:w="310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color w:val="222222"/>
                <w:sz w:val="14"/>
                <w:szCs w:val="14"/>
              </w:rPr>
              <w:t xml:space="preserve">Gives leadership one aggregate view of portfolio health, not a dozen separate decks.</w:t>
            </w:r>
          </w:p>
        </w:tc>
        <w:tc>
          <w:tcPr>
            <w:tcW w:type="dxa" w:w="105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color w:val="9A6A1A"/>
                <w:sz w:val="14"/>
                <w:szCs w:val="14"/>
              </w:rPr>
              <w:t xml:space="preserve">Partial</w:t>
            </w:r>
          </w:p>
        </w:tc>
        <w:tc>
          <w:tcPr>
            <w:tcW w:type="dxa" w:w="420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i/>
                <w:iCs/>
                <w:color w:val="5A6472"/>
                <w:sz w:val="14"/>
                <w:szCs w:val="14"/>
              </w:rPr>
              <w:t xml:space="preserve">Tracker shows per-program RAG/budget/TPM load, plus an OKR alignment rollup (% tied, % tied and metrics-consistent, budget by OKR, flagged mismatches). Financials roll up here too. No exportable reports yet.</w:t>
            </w:r>
          </w:p>
        </w:tc>
      </w:tr>
      <w:tr>
        <w:tc>
          <w:tcPr>
            <w:tcW w:type="dxa" w:w="1850"/>
            <w:shd w:fill="EEF2F6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color w:val="2E5F8A"/>
                <w:sz w:val="14"/>
                <w:szCs w:val="14"/>
              </w:rPr>
              <w:t xml:space="preserve">Financial Management</w:t>
            </w:r>
          </w:p>
        </w:tc>
        <w:tc>
          <w:tcPr>
            <w:tcW w:type="dxa" w:w="3100"/>
            <w:shd w:fill="EEF2F6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color w:val="222222"/>
                <w:sz w:val="14"/>
                <w:szCs w:val="14"/>
              </w:rPr>
              <w:t xml:space="preserve">Tracks budget vs. actuals, burn rate, and earned value across the portfolio.</w:t>
            </w:r>
          </w:p>
        </w:tc>
        <w:tc>
          <w:tcPr>
            <w:tcW w:type="dxa" w:w="1050"/>
            <w:shd w:fill="EEF2F6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color w:val="9A6A1A"/>
                <w:sz w:val="14"/>
                <w:szCs w:val="14"/>
              </w:rPr>
              <w:t xml:space="preserve">Partial</w:t>
            </w:r>
          </w:p>
        </w:tc>
        <w:tc>
          <w:tcPr>
            <w:tcW w:type="dxa" w:w="4200"/>
            <w:shd w:fill="EEF2F6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i/>
                <w:iCs/>
                <w:color w:val="5A6472"/>
                <w:sz w:val="14"/>
                <w:szCs w:val="14"/>
              </w:rPr>
              <w:t xml:space="preserve">Budget vs. actuals, burn rate and runway, forecast at completion, and CPI/SPI per program and rolled up, plus a RAG-vs-financials disagreement flag. Built on manually entered monthly actuals and self-reported % complete (seed data is illustrative). No finance-system feed, cost categories, or phased forecasts.</w:t>
            </w:r>
          </w:p>
        </w:tc>
      </w:tr>
      <w:tr>
        <w:tc>
          <w:tcPr>
            <w:tcW w:type="dxa" w:w="185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color w:val="2E5F8A"/>
                <w:sz w:val="14"/>
                <w:szCs w:val="14"/>
              </w:rPr>
              <w:t xml:space="preserve">Benefits Realization</w:t>
            </w:r>
          </w:p>
        </w:tc>
        <w:tc>
          <w:tcPr>
            <w:tcW w:type="dxa" w:w="310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color w:val="222222"/>
                <w:sz w:val="14"/>
                <w:szCs w:val="14"/>
              </w:rPr>
              <w:t xml:space="preserve">Confirms, after delivery, that the value promised at intake was actually achieved.</w:t>
            </w:r>
          </w:p>
        </w:tc>
        <w:tc>
          <w:tcPr>
            <w:tcW w:type="dxa" w:w="105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color w:val="6B7280"/>
                <w:sz w:val="14"/>
                <w:szCs w:val="14"/>
              </w:rPr>
              <w:t xml:space="preserve">Not Yet</w:t>
            </w:r>
          </w:p>
        </w:tc>
        <w:tc>
          <w:tcPr>
            <w:tcW w:type="dxa" w:w="420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i/>
                <w:iCs/>
                <w:color w:val="5A6472"/>
                <w:sz w:val="14"/>
                <w:szCs w:val="14"/>
              </w:rPr>
              <w:t xml:space="preserve">The OKR Report is a point-in-time estimate at generation time; nothing closes the loop after launch.</w:t>
            </w:r>
          </w:p>
        </w:tc>
      </w:tr>
      <w:tr>
        <w:tc>
          <w:tcPr>
            <w:tcW w:type="dxa" w:w="1850"/>
            <w:shd w:fill="EEF2F6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color w:val="2E5F8A"/>
                <w:sz w:val="14"/>
                <w:szCs w:val="14"/>
              </w:rPr>
              <w:t xml:space="preserve">Governance &amp; Stage-Gates</w:t>
            </w:r>
          </w:p>
        </w:tc>
        <w:tc>
          <w:tcPr>
            <w:tcW w:type="dxa" w:w="3100"/>
            <w:shd w:fill="EEF2F6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color w:val="222222"/>
                <w:sz w:val="14"/>
                <w:szCs w:val="14"/>
              </w:rPr>
              <w:t xml:space="preserve">Enforces formal go/no-go decisions at defined checkpoints, with documented exit criteria.</w:t>
            </w:r>
          </w:p>
        </w:tc>
        <w:tc>
          <w:tcPr>
            <w:tcW w:type="dxa" w:w="1050"/>
            <w:shd w:fill="EEF2F6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color w:val="9A6A1A"/>
                <w:sz w:val="14"/>
                <w:szCs w:val="14"/>
              </w:rPr>
              <w:t xml:space="preserve">Partial</w:t>
            </w:r>
          </w:p>
        </w:tc>
        <w:tc>
          <w:tcPr>
            <w:tcW w:type="dxa" w:w="4200"/>
            <w:shd w:fill="EEF2F6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i/>
                <w:iCs/>
                <w:color w:val="5A6472"/>
                <w:sz w:val="14"/>
                <w:szCs w:val="14"/>
              </w:rPr>
              <w:t xml:space="preserve">Four phase gates with exit criteria (some checked from program data, some human-attested), required approver and rationale, exceptions and holds, a decision log, and an advisory agent readiness memo. A rigor meter right-sizes process per program (high, medium or low, from complexity, integration, stack layers and release type). No role-based permissions, notifications, or configurable gate templates yet.</w:t>
            </w:r>
          </w:p>
        </w:tc>
      </w:tr>
      <w:tr>
        <w:tc>
          <w:tcPr>
            <w:tcW w:type="dxa" w:w="185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color w:val="2E5F8A"/>
                <w:sz w:val="14"/>
                <w:szCs w:val="14"/>
              </w:rPr>
              <w:t xml:space="preserve">Change Control</w:t>
            </w:r>
          </w:p>
        </w:tc>
        <w:tc>
          <w:tcPr>
            <w:tcW w:type="dxa" w:w="310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color w:val="222222"/>
                <w:sz w:val="14"/>
                <w:szCs w:val="14"/>
              </w:rPr>
              <w:t xml:space="preserve">Manages and documents changes to scope, schedule, or budget baselines.</w:t>
            </w:r>
          </w:p>
        </w:tc>
        <w:tc>
          <w:tcPr>
            <w:tcW w:type="dxa" w:w="105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color w:val="6B7280"/>
                <w:sz w:val="14"/>
                <w:szCs w:val="14"/>
              </w:rPr>
              <w:t xml:space="preserve">Not Yet</w:t>
            </w:r>
          </w:p>
        </w:tc>
        <w:tc>
          <w:tcPr>
            <w:tcW w:type="dxa" w:w="420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i/>
                <w:iCs/>
                <w:color w:val="5A6472"/>
                <w:sz w:val="14"/>
                <w:szCs w:val="14"/>
              </w:rPr>
              <w:t xml:space="preserve">No scope-change log or re-baselining process exists yet.</w:t>
            </w:r>
          </w:p>
        </w:tc>
      </w:tr>
      <w:tr>
        <w:tc>
          <w:tcPr>
            <w:tcW w:type="dxa" w:w="1850"/>
            <w:shd w:fill="EEF2F6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color w:val="2E5F8A"/>
                <w:sz w:val="14"/>
                <w:szCs w:val="14"/>
              </w:rPr>
              <w:t xml:space="preserve">Audit &amp; Compliance</w:t>
            </w:r>
          </w:p>
        </w:tc>
        <w:tc>
          <w:tcPr>
            <w:tcW w:type="dxa" w:w="3100"/>
            <w:shd w:fill="EEF2F6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color w:val="222222"/>
                <w:sz w:val="14"/>
                <w:szCs w:val="14"/>
              </w:rPr>
              <w:t xml:space="preserve">Maintains a defensible record of who decided what, and when.</w:t>
            </w:r>
          </w:p>
        </w:tc>
        <w:tc>
          <w:tcPr>
            <w:tcW w:type="dxa" w:w="1050"/>
            <w:shd w:fill="EEF2F6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color w:val="9A6A1A"/>
                <w:sz w:val="14"/>
                <w:szCs w:val="14"/>
              </w:rPr>
              <w:t xml:space="preserve">Partial</w:t>
            </w:r>
          </w:p>
        </w:tc>
        <w:tc>
          <w:tcPr>
            <w:tcW w:type="dxa" w:w="4200"/>
            <w:shd w:fill="EEF2F6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i/>
                <w:iCs/>
                <w:color w:val="5A6472"/>
                <w:sz w:val="14"/>
                <w:szCs w:val="14"/>
              </w:rPr>
              <w:t xml:space="preserve">Audit log of who, when, what changed (before and after) and why, covering score overrides, program edits, intake decisions, allocations, financial entries, gate decisions and agent runs; filterable, with CSV download. Who is self-declared (no login) and the log is not tamper-proof.</w:t>
            </w:r>
          </w:p>
        </w:tc>
      </w:tr>
      <w:tr>
        <w:tc>
          <w:tcPr>
            <w:tcW w:type="dxa" w:w="185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color w:val="2E5F8A"/>
                <w:sz w:val="14"/>
                <w:szCs w:val="14"/>
              </w:rPr>
              <w:t xml:space="preserve">Tooling &amp; System Integration</w:t>
            </w:r>
          </w:p>
        </w:tc>
        <w:tc>
          <w:tcPr>
            <w:tcW w:type="dxa" w:w="310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color w:val="222222"/>
                <w:sz w:val="14"/>
                <w:szCs w:val="14"/>
              </w:rPr>
              <w:t xml:space="preserve">Connects PfMO views to systems of record (ticketing, HRIS, financials) so data isn't re-entered by hand.</w:t>
            </w:r>
          </w:p>
        </w:tc>
        <w:tc>
          <w:tcPr>
            <w:tcW w:type="dxa" w:w="105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color w:val="6B7280"/>
                <w:sz w:val="14"/>
                <w:szCs w:val="14"/>
              </w:rPr>
              <w:t xml:space="preserve">Not Yet</w:t>
            </w:r>
          </w:p>
        </w:tc>
        <w:tc>
          <w:tcPr>
            <w:tcW w:type="dxa" w:w="420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i/>
                <w:iCs/>
                <w:color w:val="5A6472"/>
                <w:sz w:val="14"/>
                <w:szCs w:val="14"/>
              </w:rPr>
              <w:t xml:space="preserve">Fully standalone — all data is seeded/manual; no real integrations.</w:t>
            </w:r>
          </w:p>
        </w:tc>
      </w:tr>
    </w:tbl>
    <w:p>
      <w:pPr>
        <w:spacing w:before="120"/>
      </w:pPr>
      <w:r>
        <w:rPr>
          <w:b/>
          <w:bCs/>
          <w:color w:val="1F2A44"/>
          <w:sz w:val="13"/>
          <w:szCs w:val="13"/>
        </w:rPr>
        <w:t xml:space="preserve">Reference: </w:t>
      </w:r>
      <w:r>
        <w:rPr>
          <w:color w:val="5A6472"/>
          <w:sz w:val="13"/>
          <w:szCs w:val="13"/>
        </w:rPr>
        <w:t xml:space="preserve">a Portfolio Management Office (PfMO) sits above individual programs/projects — it owns strategic alignment, intake and prioritization across the whole portfolio, resource and financial governance, portfolio-level risk and reporting, and benefits realization, as distinct from a PMO that runs delivery within a single program.  </w:t>
      </w:r>
      <w:r>
        <w:rPr>
          <w:i/>
          <w:iCs/>
          <w:color w:val="5A6472"/>
          <w:sz w:val="13"/>
          <w:szCs w:val="13"/>
        </w:rPr>
        <w:t xml:space="preserve">Code: github.com/VjRa03An/automation-agents/tree/main/agentic-pmo-suite</w:t>
      </w:r>
    </w:p>
    <w:sectPr>
      <w:pgSz w:w="12240" w:h="15840" w:orient="portrait"/>
      <w:pgMar w:top="520" w:right="560" w:bottom="420" w:left="56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2026-10-12T20:13:28.415Z</dcterms:created>
  <dcterms:modified xsi:type="dcterms:W3CDTF">2026-10-12T20:13:28.415Z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