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A44"/>
          <w:sz w:val="40"/>
          <w:szCs w:val="40"/>
        </w:rPr>
        <w:t xml:space="preserve">Agentic PMO Suite</w:t>
      </w:r>
    </w:p>
    <w:p>
      <w:pPr>
        <w:spacing w:after="100"/>
      </w:pPr>
      <w:r>
        <w:rPr>
          <w:i/>
          <w:iCs/>
          <w:color w:val="5A6472"/>
          <w:sz w:val="19"/>
          <w:szCs w:val="19"/>
        </w:rPr>
        <w:t xml:space="preserve">Named AI agents that draft every standard PMO artifact, triage intake, and score prioritization — grounded in real program context, with humans always in control.</w:t>
      </w:r>
    </w:p>
    <w:p>
      <w:pPr>
        <w:spacing w:after="160"/>
      </w:pPr>
      <w:r>
        <w:rPr>
          <w:b/>
          <w:bCs/>
          <w:color w:val="9A6A1A"/>
          <w:sz w:val="15"/>
          <w:szCs w:val="15"/>
        </w:rPr>
        <w:t xml:space="preserve">STATUS: WORK IN PROGRESS — PROTOTYPE, NOT A FINISHED PRODUCT</w:t>
      </w:r>
      <w:r>
        <w:rPr>
          <w:i/>
          <w:iCs/>
          <w:color w:val="5A6472"/>
          <w:sz w:val="15"/>
          <w:szCs w:val="15"/>
        </w:rPr>
        <w:t xml:space="preserve">   ~75–80% of its own scoped goal; ~35–40% of a full enterprise PfMO function. Full breakdown in the app's own Roadmap &amp; Scope tab.</w:t>
      </w:r>
    </w:p>
    <w:p>
      <w:pPr>
        <w:pBdr>
          <w:bottom w:val="single" w:color="2E5F8A" w:sz="6" w:space="4"/>
        </w:pBdr>
        <w:spacing w:after="160"/>
      </w:pPr>
      <w:r>
        <w:rPr>
          <w:sz w:val="2"/>
          <w:szCs w:val="2"/>
        </w:rPr>
        <w:t xml:space="preserve"/>
      </w:r>
    </w:p>
    <w:p>
      <w:pPr>
        <w:spacing w:after="160"/>
      </w:pPr>
      <w:r>
        <w:rPr>
          <w:b/>
          <w:bCs/>
          <w:color w:val="1F2A44"/>
          <w:sz w:val="18"/>
          <w:szCs w:val="18"/>
        </w:rPr>
        <w:t xml:space="preserve">Why: </w:t>
      </w:r>
      <w:r>
        <w:rPr>
          <w:color w:val="222222"/>
          <w:sz w:val="18"/>
          <w:szCs w:val="18"/>
        </w:rPr>
        <w:t xml:space="preserve">PMOs run on the same handful of artifacts — charters, plans, status reports, risk registers — rewritten by hand for every program, and prioritization decisions that are hard to defend when leadership asks “why this and not that?” This suite uses a set of purpose-built AI agents, not one generic chatbot, to draft each artifact consistently and to score prioritization against a fixed, OKR-gated rubric — while keeping every override badged and reversible back to the agent's original assessment.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4700"/>
        <w:gridCol w:w="3450"/>
      </w:tblGrid>
      <w:tr>
        <w:trPr>
          <w:tblHeader/>
        </w:trPr>
        <w:tc>
          <w:tcPr>
            <w:tcW w:type="dxa" w:w="2050"/>
            <w:shd w:fill="1F2A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Capability</w:t>
            </w:r>
          </w:p>
        </w:tc>
        <w:tc>
          <w:tcPr>
            <w:tcW w:type="dxa" w:w="4700"/>
            <w:shd w:fill="1F2A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What It Does</w:t>
            </w:r>
          </w:p>
        </w:tc>
        <w:tc>
          <w:tcPr>
            <w:tcW w:type="dxa" w:w="3450"/>
            <w:shd w:fill="1F2A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Why It Matters</w:t>
            </w:r>
          </w:p>
        </w:tc>
      </w:tr>
      <w:tr>
        <w:tc>
          <w:tcPr>
            <w:tcW w:type="dxa" w:w="20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Intake &amp; AI Triage</w:t>
            </w:r>
          </w:p>
        </w:tc>
        <w:tc>
          <w:tcPr>
            <w:tcW w:type="dxa" w:w="470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A short submission form (name, description, sponsor, rough budget) that an Intake Agent triages: drafts the problem statement, checks value-prop quality, assesses OKR alignment, and drafts requirements/success criteria/scope/risks for human review.</w:t>
            </w:r>
          </w:p>
        </w:tc>
        <w:tc>
          <w:tcPr>
            <w:tcW w:type="dxa" w:w="34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Keeps submission fast while producing PMO-grade write-ups — no request skips scrutiny, and no submitter is blocked by a long form.</w:t>
            </w:r>
          </w:p>
        </w:tc>
      </w:tr>
      <w:tr>
        <w:tc>
          <w:tcPr>
            <w:tcW w:type="dxa" w:w="2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OKR-Gated Prioritization Scoring</w:t>
            </w:r>
          </w:p>
        </w:tc>
        <w:tc>
          <w:tcPr>
            <w:tcW w:type="dxa" w:w="4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A Prioritization Agent scores every request against a fixed rubric: OKR tie (hard gate — no tie, no score), size, team spread/global reach, complexity, and a 9-point value component.</w:t>
            </w:r>
          </w:p>
        </w:tc>
        <w:tc>
          <w:tcPr>
            <w:tcW w:type="dxa" w:w="34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Answers leadership's “are we working on the right things?” with one consistent, auditable rubric instead of the loudest voice in the room.</w:t>
            </w:r>
          </w:p>
        </w:tc>
      </w:tr>
      <w:tr>
        <w:tc>
          <w:tcPr>
            <w:tcW w:type="dxa" w:w="20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Product vs. Platform Value Tracks</w:t>
            </w:r>
          </w:p>
        </w:tc>
        <w:tc>
          <w:tcPr>
            <w:tcW w:type="dxa" w:w="470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Product work is scored on customer impact, new customers, and net-new revenue. Platform/infra work is scored on existing-customer coverage, churn risk, and revenue at risk — same 9-point scale, mirrored structure.</w:t>
            </w:r>
          </w:p>
        </w:tc>
        <w:tc>
          <w:tcPr>
            <w:tcW w:type="dxa" w:w="34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Lets infrastructure and reliability work compete fairly for resourcing instead of losing every time to initiatives with a revenue number attached.</w:t>
            </w:r>
          </w:p>
        </w:tc>
      </w:tr>
      <w:tr>
        <w:tc>
          <w:tcPr>
            <w:tcW w:type="dxa" w:w="2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Human Override, Badged &amp; Reversible</w:t>
            </w:r>
          </w:p>
        </w:tc>
        <w:tc>
          <w:tcPr>
            <w:tcW w:type="dxa" w:w="4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Any agent score or drafted content can be overridden by a PMO or engineering leader. Overrides are clearly badged and always revertible back to the agent's original assessment. (A timestamped who/when/why audit log is roadmapped, not yet built.)</w:t>
            </w:r>
          </w:p>
        </w:tc>
        <w:tc>
          <w:tcPr>
            <w:tcW w:type="dxa" w:w="34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Keeps a human accountable for every resourcing call, without losing the agent's original reasoning or silently overwriting it.</w:t>
            </w:r>
          </w:p>
        </w:tc>
      </w:tr>
      <w:tr>
        <w:tc>
          <w:tcPr>
            <w:tcW w:type="dxa" w:w="20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TPM Capacity Governance</w:t>
            </w:r>
          </w:p>
        </w:tc>
        <w:tc>
          <w:tcPr>
            <w:tcW w:type="dxa" w:w="470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No Technical Program Manager can be allocated above 80% of stated capacity — enforced automatically on intake approval and on manual allocation changes.</w:t>
            </w:r>
          </w:p>
        </w:tc>
        <w:tc>
          <w:tcPr>
            <w:tcW w:type="dxa" w:w="34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Prevents the quiet over-commitment of scarce TPM bandwidth that shows up as missed dates three months later.</w:t>
            </w:r>
          </w:p>
        </w:tc>
      </w:tr>
      <w:tr>
        <w:tc>
          <w:tcPr>
            <w:tcW w:type="dxa" w:w="2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Seven Grounded Artifact Agents</w:t>
            </w:r>
          </w:p>
        </w:tc>
        <w:tc>
          <w:tcPr>
            <w:tcW w:type="dxa" w:w="4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Charter, Project Plan, Status Report, Risk Register, Dependency Tracker, OKR Report, and Program Landing Page — each drafted from one shared, real program-context object and a fixed section template.</w:t>
            </w:r>
          </w:p>
        </w:tc>
        <w:tc>
          <w:tcPr>
            <w:tcW w:type="dxa" w:w="34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Every artifact says the same thing about the same program. No drift between what the charter promises and what the status report reports.</w:t>
            </w:r>
          </w:p>
        </w:tc>
      </w:tr>
      <w:tr>
        <w:tc>
          <w:tcPr>
            <w:tcW w:type="dxa" w:w="20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Risk Register with Organizational Memory</w:t>
            </w:r>
          </w:p>
        </w:tc>
        <w:tc>
          <w:tcPr>
            <w:tcW w:type="dxa" w:w="470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A seeded Risk Pattern Library of risks tagged by initiative type, teams, size, and domain keywords is matched against each new program and surfaced before generation; the Risk Register Agent is told to include matched patterns first, adapted to the specifics, then add net-new risks.</w:t>
            </w:r>
          </w:p>
        </w:tc>
        <w:tc>
          <w:tcPr>
            <w:tcW w:type="dxa" w:w="34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Recurring risks (vendor-change breaks, cutover data drift, API compatibility gaps) get caught because the system remembers them — not because an agent happens to reinvent them correctly each time.</w:t>
            </w:r>
          </w:p>
        </w:tc>
      </w:tr>
      <w:tr>
        <w:tc>
          <w:tcPr>
            <w:tcW w:type="dxa" w:w="2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Voice / Transcript Intake</w:t>
            </w:r>
          </w:p>
        </w:tc>
        <w:tc>
          <w:tcPr>
            <w:tcW w:type="dxa" w:w="4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A requester can paste a meeting transcript (or use best-effort live dictation) and a Transcript Parser Agent fills the intake form fields directly.</w:t>
            </w:r>
          </w:p>
        </w:tc>
        <w:tc>
          <w:tcPr>
            <w:tcW w:type="dxa" w:w="34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Removes the “yet another form” friction that quietly degrades request quality and discourages submission altogether.</w:t>
            </w:r>
          </w:p>
        </w:tc>
      </w:tr>
      <w:tr>
        <w:tc>
          <w:tcPr>
            <w:tcW w:type="dxa" w:w="20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OKR / Metric Consistency Check</w:t>
            </w:r>
          </w:p>
        </w:tc>
        <w:tc>
          <w:tcPr>
            <w:tcW w:type="dxa" w:w="470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A structural, rule-based check (not an agent) flags when a program's named OKR doesn't actually match the category of metric it's tracking (e.g., a cost-reduction OKR paired with churn-risk figures).</w:t>
            </w:r>
          </w:p>
        </w:tc>
        <w:tc>
          <w:tcPr>
            <w:tcW w:type="dxa" w:w="34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Catches a real data-quality gap systematically and every time, rather than hoping an agent happens to notice it.</w:t>
            </w:r>
          </w:p>
        </w:tc>
      </w:tr>
      <w:tr>
        <w:tc>
          <w:tcPr>
            <w:tcW w:type="dxa" w:w="2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Consolidated Program Tracker</w:t>
            </w:r>
          </w:p>
        </w:tc>
        <w:tc>
          <w:tcPr>
            <w:tcW w:type="dxa" w:w="4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One portfolio view of every active program — RAG status, phase, budget, TPM allocation, and prioritization score — alongside full detail in each program's own tab.</w:t>
            </w:r>
          </w:p>
        </w:tc>
        <w:tc>
          <w:tcPr>
            <w:tcW w:type="dxa" w:w="34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One place to see the whole portfolio instead of reconciling five different decks before a leadership review.</w:t>
            </w:r>
          </w:p>
        </w:tc>
      </w:tr>
    </w:tbl>
    <w:p>
      <w:pPr>
        <w:spacing w:before="160"/>
      </w:pPr>
      <w:r>
        <w:rPr>
          <w:b/>
          <w:bCs/>
          <w:color w:val="1F2A44"/>
          <w:sz w:val="16"/>
          <w:szCs w:val="16"/>
        </w:rPr>
        <w:t xml:space="preserve">Architecture: </w:t>
      </w:r>
      <w:r>
        <w:rPr>
          <w:color w:val="5A6472"/>
          <w:sz w:val="16"/>
          <w:szCs w:val="16"/>
        </w:rPr>
        <w:t xml:space="preserve">a single self-contained web app; each “agent” is a distinctly-prompted call to the same model, separated by prompt design and a structured output contract rather than by infrastructure.  </w:t>
      </w:r>
      <w:r>
        <w:rPr>
          <w:i/>
          <w:iCs/>
          <w:color w:val="5A6472"/>
          <w:sz w:val="16"/>
          <w:szCs w:val="16"/>
        </w:rPr>
        <w:t xml:space="preserve">Code: github.com/VjRa03An/automation-agents/tree/main/agentic-pmo-suite</w:t>
      </w:r>
    </w:p>
    <w:sectPr>
      <w:pgSz w:w="12240" w:h="15840" w:orient="portrait"/>
      <w:pgMar w:top="620" w:right="620" w:bottom="56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2026-10-01T05:59:11.174Z</dcterms:created>
  <dcterms:modified xsi:type="dcterms:W3CDTF">2026-10-01T05:59:11.180Z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