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A44"/>
          <w:sz w:val="36"/>
          <w:szCs w:val="36"/>
        </w:rPr>
        <w:t xml:space="preserve">Agentic PMO: Path to Product</w:t>
      </w:r>
    </w:p>
    <w:p>
      <w:pPr>
        <w:spacing w:after="90"/>
      </w:pPr>
      <w:r>
        <w:rPr>
          <w:i/>
          <w:iCs/>
          <w:color w:val="5A6472"/>
          <w:sz w:val="19"/>
          <w:szCs w:val="19"/>
        </w:rPr>
        <w:t xml:space="preserve">From a working prototype to a tool a portfolio office can run on: seven gaps, five phases, one pilot.</w:t>
      </w:r>
    </w:p>
    <w:p>
      <w:pPr>
        <w:spacing w:after="110"/>
      </w:pPr>
      <w:r>
        <w:rPr>
          <w:b/>
          <w:bCs/>
          <w:color w:val="9A6A1A"/>
          <w:sz w:val="17"/>
          <w:szCs w:val="17"/>
        </w:rPr>
        <w:t xml:space="preserve">STATUS: WORK IN PROGRESS — PROTOTYPE, NOT A FINISHED PRODUCT.  </w:t>
      </w:r>
      <w:r>
        <w:rPr>
          <w:color w:val="5A6472"/>
          <w:sz w:val="17"/>
          <w:szCs w:val="17"/>
        </w:rPr>
        <w:t xml:space="preserve">Today the prototype covers 4 of 14 standard PfMO functions fully and 7 partially (roughly 54% weighted). It proves the agent design and the workflows; it does not yet prove integrations, security or scale. Weeks are planning ranges to confirm in Phase 0, not commitments.</w:t>
      </w:r>
    </w:p>
    <w:p>
      <w:pPr>
        <w:pBdr>
          <w:bottom w:val="single" w:color="2E5F8A" w:sz="6" w:space="4"/>
        </w:pBdr>
        <w:spacing w:after="110"/>
      </w:pPr>
      <w:r>
        <w:rPr>
          <w:sz w:val="2"/>
          <w:szCs w:val="2"/>
        </w:rPr>
        <w:t xml:space="preserve"/>
      </w:r>
    </w:p>
    <w:p>
      <w:pPr>
        <w:spacing w:after="40"/>
      </w:pPr>
      <w:r>
        <w:rPr>
          <w:b/>
          <w:bCs/>
          <w:color w:val="1F2A44"/>
          <w:sz w:val="17"/>
          <w:szCs w:val="17"/>
        </w:rPr>
        <w:t xml:space="preserve">The seven gaps between prototype and product</w:t>
      </w:r>
    </w:p>
    <w:p>
      <w:pPr>
        <w:spacing w:after="110"/>
      </w:pPr>
      <w:r>
        <w:rPr>
          <w:b/>
          <w:bCs/>
          <w:color w:val="2E5F8A"/>
          <w:sz w:val="17"/>
          <w:szCs w:val="17"/>
        </w:rPr>
        <w:t xml:space="preserve">1 </w:t>
      </w:r>
      <w:r>
        <w:rPr>
          <w:color w:val="222222"/>
          <w:sz w:val="17"/>
          <w:szCs w:val="17"/>
        </w:rPr>
        <w:t xml:space="preserve">Backend and login   </w:t>
      </w:r>
      <w:r>
        <w:rPr>
          <w:b/>
          <w:bCs/>
          <w:color w:val="2E5F8A"/>
          <w:sz w:val="17"/>
          <w:szCs w:val="17"/>
        </w:rPr>
        <w:t xml:space="preserve">2 </w:t>
      </w:r>
      <w:r>
        <w:rPr>
          <w:color w:val="222222"/>
          <w:sz w:val="17"/>
          <w:szCs w:val="17"/>
        </w:rPr>
        <w:t xml:space="preserve">Shared database   </w:t>
      </w:r>
      <w:r>
        <w:rPr>
          <w:b/>
          <w:bCs/>
          <w:color w:val="2E5F8A"/>
          <w:sz w:val="17"/>
          <w:szCs w:val="17"/>
        </w:rPr>
        <w:t xml:space="preserve">3 </w:t>
      </w:r>
      <w:r>
        <w:rPr>
          <w:color w:val="222222"/>
          <w:sz w:val="17"/>
          <w:szCs w:val="17"/>
        </w:rPr>
        <w:t xml:space="preserve">Integrations   </w:t>
      </w:r>
      <w:r>
        <w:rPr>
          <w:b/>
          <w:bCs/>
          <w:color w:val="2E5F8A"/>
          <w:sz w:val="17"/>
          <w:szCs w:val="17"/>
        </w:rPr>
        <w:t xml:space="preserve">4 </w:t>
      </w:r>
      <w:r>
        <w:rPr>
          <w:color w:val="222222"/>
          <w:sz w:val="17"/>
          <w:szCs w:val="17"/>
        </w:rPr>
        <w:t xml:space="preserve">Admin settings   </w:t>
      </w:r>
      <w:r>
        <w:rPr>
          <w:b/>
          <w:bCs/>
          <w:color w:val="2E5F8A"/>
          <w:sz w:val="17"/>
          <w:szCs w:val="17"/>
        </w:rPr>
        <w:t xml:space="preserve">5 </w:t>
      </w:r>
      <w:r>
        <w:rPr>
          <w:color w:val="222222"/>
          <w:sz w:val="17"/>
          <w:szCs w:val="17"/>
        </w:rPr>
        <w:t xml:space="preserve">Running a quarter   </w:t>
      </w:r>
      <w:r>
        <w:rPr>
          <w:b/>
          <w:bCs/>
          <w:color w:val="2E5F8A"/>
          <w:sz w:val="17"/>
          <w:szCs w:val="17"/>
        </w:rPr>
        <w:t xml:space="preserve">6 </w:t>
      </w:r>
      <w:r>
        <w:rPr>
          <w:color w:val="222222"/>
          <w:sz w:val="17"/>
          <w:szCs w:val="17"/>
        </w:rPr>
        <w:t xml:space="preserve">AI governance   </w:t>
      </w:r>
      <w:r>
        <w:rPr>
          <w:b/>
          <w:bCs/>
          <w:color w:val="2E5F8A"/>
          <w:sz w:val="17"/>
          <w:szCs w:val="17"/>
        </w:rPr>
        <w:t xml:space="preserve">7 </w:t>
      </w:r>
      <w:r>
        <w:rPr>
          <w:color w:val="222222"/>
          <w:sz w:val="17"/>
          <w:szCs w:val="17"/>
        </w:rPr>
        <w:t xml:space="preserve">Engineering basics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00"/>
        <w:gridCol w:w="1200"/>
        <w:gridCol w:w="3120"/>
      </w:tblGrid>
      <w:tr>
        <w:trPr>
          <w:tblHeader/>
        </w:trPr>
        <w:tc>
          <w:tcPr>
            <w:tcW w:type="dxa" w:w="1700"/>
            <w:shd w:fill="1F2A44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100"/>
            <w:shd w:fill="1F2A44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gets built</w:t>
            </w:r>
          </w:p>
        </w:tc>
        <w:tc>
          <w:tcPr>
            <w:tcW w:type="dxa" w:w="1200"/>
            <w:shd w:fill="1F2A44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Gaps</w:t>
            </w:r>
          </w:p>
        </w:tc>
        <w:tc>
          <w:tcPr>
            <w:tcW w:type="dxa" w:w="3120"/>
            <w:shd w:fill="1F2A44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Exit gate</w:t>
            </w:r>
          </w:p>
        </w:tc>
      </w:tr>
      <w:tr>
        <w:tc>
          <w:tcPr>
            <w:tcW w:type="dxa" w:w="1700"/>
            <w:shd w:fill="EEF2F6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7"/>
                <w:szCs w:val="17"/>
              </w:rPr>
              <w:t xml:space="preserve">Phase 0</w:t>
            </w:r>
          </w:p>
          <w:p>
            <w:pPr>
              <w:spacing w:after="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Scope &amp; foundations</w:t>
            </w:r>
          </w:p>
          <w:p>
            <w:pPr>
              <w:spacing w:after="0"/>
            </w:pPr>
            <w:r>
              <w:rPr>
                <w:i/>
                <w:iCs/>
                <w:color w:val="5A6472"/>
                <w:sz w:val="15"/>
                <w:szCs w:val="15"/>
              </w:rPr>
              <w:t xml:space="preserve">Weeks 1–3</w:t>
            </w:r>
          </w:p>
        </w:tc>
        <w:tc>
          <w:tcPr>
            <w:tcW w:type="dxa" w:w="5100"/>
            <w:shd w:fill="EEF2F6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color w:val="222222"/>
                <w:sz w:val="17"/>
                <w:szCs w:val="17"/>
              </w:rPr>
              <w:t xml:space="preserve">• Pick one business unit and 5–10 live programs; name the product owner and data owners.</w:t>
            </w:r>
          </w:p>
          <w:p>
            <w:pPr>
              <w:spacing w:after="40"/>
            </w:pPr>
            <w:r>
              <w:rPr>
                <w:color w:val="222222"/>
                <w:sz w:val="17"/>
                <w:szCs w:val="17"/>
              </w:rPr>
              <w:t xml:space="preserve">• Security and privacy review of what program data may go to a model.</w:t>
            </w:r>
          </w:p>
          <w:p>
            <w:pPr>
              <w:spacing w:after="0"/>
            </w:pPr>
            <w:r>
              <w:rPr>
                <w:color w:val="222222"/>
                <w:sz w:val="17"/>
                <w:szCs w:val="17"/>
              </w:rPr>
              <w:t xml:space="preserve">• Baseline today: time spent on status, risk and capacity reporting.</w:t>
            </w:r>
          </w:p>
        </w:tc>
        <w:tc>
          <w:tcPr>
            <w:tcW w:type="dxa" w:w="1200"/>
            <w:shd w:fill="EEF2F6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7"/>
                <w:szCs w:val="17"/>
              </w:rPr>
              <w:t xml:space="preserve">6</w:t>
            </w:r>
          </w:p>
        </w:tc>
        <w:tc>
          <w:tcPr>
            <w:tcW w:type="dxa" w:w="3120"/>
            <w:shd w:fill="EEF2F6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5A6472"/>
                <w:sz w:val="17"/>
                <w:szCs w:val="17"/>
              </w:rPr>
              <w:t xml:space="preserve">Scope signed off; security approval in hand.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7"/>
                <w:szCs w:val="17"/>
              </w:rPr>
              <w:t xml:space="preserve">Phase 1</w:t>
            </w:r>
          </w:p>
          <w:p>
            <w:pPr>
              <w:spacing w:after="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Platform core</w:t>
            </w:r>
          </w:p>
          <w:p>
            <w:pPr>
              <w:spacing w:after="0"/>
            </w:pPr>
            <w:r>
              <w:rPr>
                <w:i/>
                <w:iCs/>
                <w:color w:val="5A6472"/>
                <w:sz w:val="15"/>
                <w:szCs w:val="15"/>
              </w:rPr>
              <w:t xml:space="preserve">Weeks 3–8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color w:val="222222"/>
                <w:sz w:val="17"/>
                <w:szCs w:val="17"/>
              </w:rPr>
              <w:t xml:space="preserve">• Hosted app split into front end and back end, with tests and a deployment pipeline.</w:t>
            </w:r>
          </w:p>
          <w:p>
            <w:pPr>
              <w:spacing w:after="40"/>
            </w:pPr>
            <w:r>
              <w:rPr>
                <w:color w:val="222222"/>
                <w:sz w:val="17"/>
                <w:szCs w:val="17"/>
              </w:rPr>
              <w:t xml:space="preserve">• Login, single sign-on and roles (requester, TPM, PMO lead, executive).</w:t>
            </w:r>
          </w:p>
          <w:p>
            <w:pPr>
              <w:spacing w:after="40"/>
            </w:pPr>
            <w:r>
              <w:rPr>
                <w:color w:val="222222"/>
                <w:sz w:val="17"/>
                <w:szCs w:val="17"/>
              </w:rPr>
              <w:t xml:space="preserve">• Shared database with history and backups; API proxy so “Generate with AI” works.</w:t>
            </w:r>
          </w:p>
          <w:p>
            <w:pPr>
              <w:spacing w:after="40"/>
            </w:pPr>
            <w:r>
              <w:rPr>
                <w:color w:val="222222"/>
                <w:sz w:val="17"/>
                <w:szCs w:val="17"/>
              </w:rPr>
              <w:t xml:space="preserve">• Admin settings (OKRs, scoring weights, rigor thresholds, capacity cap, TPM roster) and a first-time setup wizard.</w:t>
            </w:r>
          </w:p>
          <w:p>
            <w:pPr>
              <w:spacing w:after="0"/>
            </w:pPr>
            <w:r>
              <w:rPr>
                <w:color w:val="222222"/>
                <w:sz w:val="17"/>
                <w:szCs w:val="17"/>
              </w:rPr>
              <w:t xml:space="preserve">• Versioned prompts, output checks, cost limits.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7"/>
                <w:szCs w:val="17"/>
              </w:rPr>
              <w:t xml:space="preserve">1, 2, 4, 6, 7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5A6472"/>
                <w:sz w:val="17"/>
                <w:szCs w:val="17"/>
              </w:rPr>
              <w:t xml:space="preserve">Pilot users log in, run every workflow, and every change is tied to a person.</w:t>
            </w:r>
          </w:p>
        </w:tc>
      </w:tr>
      <w:tr>
        <w:tc>
          <w:tcPr>
            <w:tcW w:type="dxa" w:w="1700"/>
            <w:shd w:fill="EEF2F6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7"/>
                <w:szCs w:val="17"/>
              </w:rPr>
              <w:t xml:space="preserve">Phase 2</w:t>
            </w:r>
          </w:p>
          <w:p>
            <w:pPr>
              <w:spacing w:after="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Integrations</w:t>
            </w:r>
          </w:p>
          <w:p>
            <w:pPr>
              <w:spacing w:after="0"/>
            </w:pPr>
            <w:r>
              <w:rPr>
                <w:i/>
                <w:iCs/>
                <w:color w:val="5A6472"/>
                <w:sz w:val="15"/>
                <w:szCs w:val="15"/>
              </w:rPr>
              <w:t xml:space="preserve">Weeks 6–11</w:t>
            </w:r>
          </w:p>
        </w:tc>
        <w:tc>
          <w:tcPr>
            <w:tcW w:type="dxa" w:w="5100"/>
            <w:shd w:fill="EEF2F6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color w:val="222222"/>
                <w:sz w:val="17"/>
                <w:szCs w:val="17"/>
              </w:rPr>
              <w:t xml:space="preserve">• Approved program creates its Jira structure.</w:t>
            </w:r>
          </w:p>
          <w:p>
            <w:pPr>
              <w:spacing w:after="40"/>
            </w:pPr>
            <w:r>
              <w:rPr>
                <w:color w:val="222222"/>
                <w:sz w:val="17"/>
                <w:szCs w:val="17"/>
              </w:rPr>
              <w:t xml:space="preserve">• Tempo hours feed actuals and capitalization.</w:t>
            </w:r>
          </w:p>
          <w:p>
            <w:pPr>
              <w:spacing w:after="40"/>
            </w:pPr>
            <w:r>
              <w:rPr>
                <w:color w:val="222222"/>
                <w:sz w:val="17"/>
                <w:szCs w:val="17"/>
              </w:rPr>
              <w:t xml:space="preserve">• Documents publish to Confluence or Glean; Slack or Teams notifications.</w:t>
            </w:r>
          </w:p>
          <w:p>
            <w:pPr>
              <w:spacing w:after="0"/>
            </w:pPr>
            <w:r>
              <w:rPr>
                <w:color w:val="222222"/>
                <w:sz w:val="17"/>
                <w:szCs w:val="17"/>
              </w:rPr>
              <w:t xml:space="preserve">• Start read-only; reconcile against each source system.</w:t>
            </w:r>
          </w:p>
        </w:tc>
        <w:tc>
          <w:tcPr>
            <w:tcW w:type="dxa" w:w="1200"/>
            <w:shd w:fill="EEF2F6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7"/>
                <w:szCs w:val="17"/>
              </w:rPr>
              <w:t xml:space="preserve">3</w:t>
            </w:r>
          </w:p>
        </w:tc>
        <w:tc>
          <w:tcPr>
            <w:tcW w:type="dxa" w:w="3120"/>
            <w:shd w:fill="EEF2F6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5A6472"/>
                <w:sz w:val="17"/>
                <w:szCs w:val="17"/>
              </w:rPr>
              <w:t xml:space="preserve">Portfolio numbers match source systems within an agreed tolerance.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7"/>
                <w:szCs w:val="17"/>
              </w:rPr>
              <w:t xml:space="preserve">Phase 3</w:t>
            </w:r>
          </w:p>
          <w:p>
            <w:pPr>
              <w:spacing w:after="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Pilot a quarter</w:t>
            </w:r>
          </w:p>
          <w:p>
            <w:pPr>
              <w:spacing w:after="0"/>
            </w:pPr>
            <w:r>
              <w:rPr>
                <w:i/>
                <w:iCs/>
                <w:color w:val="5A6472"/>
                <w:sz w:val="15"/>
                <w:szCs w:val="15"/>
              </w:rPr>
              <w:t xml:space="preserve">Weeks 10–14+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color w:val="222222"/>
                <w:sz w:val="17"/>
                <w:szCs w:val="17"/>
              </w:rPr>
              <w:t xml:space="preserve">• Run beside the current process for the pilot programs.</w:t>
            </w:r>
          </w:p>
          <w:p>
            <w:pPr>
              <w:spacing w:after="40"/>
            </w:pPr>
            <w:r>
              <w:rPr>
                <w:color w:val="222222"/>
                <w:sz w:val="17"/>
                <w:szCs w:val="17"/>
              </w:rPr>
              <w:t xml:space="preserve">• Cut-line scenarios, mid-quarter change requests, and a logged executive override.</w:t>
            </w:r>
          </w:p>
          <w:p>
            <w:pPr>
              <w:spacing w:after="40"/>
            </w:pPr>
            <w:r>
              <w:rPr>
                <w:color w:val="222222"/>
                <w:sz w:val="17"/>
                <w:szCs w:val="17"/>
              </w:rPr>
              <w:t xml:space="preserve">• Bi-weekly business review views (2×2; launched, upcoming, delayed).</w:t>
            </w:r>
          </w:p>
          <w:p>
            <w:pPr>
              <w:spacing w:after="0"/>
            </w:pPr>
            <w:r>
              <w:rPr>
                <w:color w:val="222222"/>
                <w:sz w:val="17"/>
                <w:szCs w:val="17"/>
              </w:rPr>
              <w:t xml:space="preserve">• Log every override as feedback; tune prompts against known-good cases.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7"/>
                <w:szCs w:val="17"/>
              </w:rPr>
              <w:t xml:space="preserve">5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5A6472"/>
                <w:sz w:val="17"/>
                <w:szCs w:val="17"/>
              </w:rPr>
              <w:t xml:space="preserve">Pilot success measures met (time saved, artifact completeness, forecast accuracy, active use).</w:t>
            </w:r>
          </w:p>
        </w:tc>
      </w:tr>
      <w:tr>
        <w:tc>
          <w:tcPr>
            <w:tcW w:type="dxa" w:w="1700"/>
            <w:shd w:fill="EEF2F6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7"/>
                <w:szCs w:val="17"/>
              </w:rPr>
              <w:t xml:space="preserve">Phase 4</w:t>
            </w:r>
          </w:p>
          <w:p>
            <w:pPr>
              <w:spacing w:after="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Expand</w:t>
            </w:r>
          </w:p>
          <w:p>
            <w:pPr>
              <w:spacing w:after="0"/>
            </w:pPr>
            <w:r>
              <w:rPr>
                <w:i/>
                <w:iCs/>
                <w:color w:val="5A6472"/>
                <w:sz w:val="15"/>
                <w:szCs w:val="15"/>
              </w:rPr>
              <w:t xml:space="preserve">After week 14</w:t>
            </w:r>
          </w:p>
        </w:tc>
        <w:tc>
          <w:tcPr>
            <w:tcW w:type="dxa" w:w="5100"/>
            <w:shd w:fill="EEF2F6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color w:val="222222"/>
                <w:sz w:val="17"/>
                <w:szCs w:val="17"/>
              </w:rPr>
              <w:t xml:space="preserve">• More business units; scoped write-back to source systems.</w:t>
            </w:r>
          </w:p>
          <w:p>
            <w:pPr>
              <w:spacing w:after="0"/>
            </w:pPr>
            <w:r>
              <w:rPr>
                <w:color w:val="222222"/>
                <w:sz w:val="17"/>
                <w:szCs w:val="17"/>
              </w:rPr>
              <w:t xml:space="preserve">• Remaining PfMO functions: benefits realization, change control, configurable gates.</w:t>
            </w:r>
          </w:p>
        </w:tc>
        <w:tc>
          <w:tcPr>
            <w:tcW w:type="dxa" w:w="1200"/>
            <w:shd w:fill="EEF2F6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E5F8A"/>
                <w:sz w:val="17"/>
                <w:szCs w:val="17"/>
              </w:rPr>
              <w:t xml:space="preserve">—</w:t>
            </w:r>
          </w:p>
        </w:tc>
        <w:tc>
          <w:tcPr>
            <w:tcW w:type="dxa" w:w="3120"/>
            <w:shd w:fill="EEF2F6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color w:val="5A6472"/>
                <w:sz w:val="17"/>
                <w:szCs w:val="17"/>
              </w:rPr>
              <w:t xml:space="preserve">Decided at the pilot review.</w:t>
            </w:r>
          </w:p>
        </w:tc>
      </w:tr>
    </w:tbl>
    <w:p>
      <w:pPr>
        <w:spacing w:after="50" w:before="120"/>
      </w:pPr>
      <w:r>
        <w:rPr>
          <w:b/>
          <w:bCs/>
          <w:color w:val="1F2A44"/>
          <w:sz w:val="17"/>
          <w:szCs w:val="17"/>
        </w:rPr>
        <w:t xml:space="preserve">Approach: </w:t>
      </w:r>
      <w:r>
        <w:rPr>
          <w:color w:val="5A6472"/>
          <w:sz w:val="17"/>
          <w:szCs w:val="17"/>
        </w:rPr>
        <w:t xml:space="preserve">layer the agents and governance workflows on the systems the organization already uses, rather than replacing them. Agents draft and advise; a named person decides, and every override is logged.</w:t>
      </w:r>
    </w:p>
    <w:p>
      <w:pPr>
        <w:spacing w:after="50"/>
      </w:pPr>
      <w:r>
        <w:rPr>
          <w:b/>
          <w:bCs/>
          <w:color w:val="1F2A44"/>
          <w:sz w:val="17"/>
          <w:szCs w:val="17"/>
        </w:rPr>
        <w:t xml:space="preserve">Needed to start: </w:t>
      </w:r>
      <w:r>
        <w:rPr>
          <w:color w:val="5A6472"/>
          <w:sz w:val="17"/>
          <w:szCs w:val="17"/>
        </w:rPr>
        <w:t xml:space="preserve">the pilot business unit and programs; which systems hold program status, capacity, actuals and OKRs, and who owns each; security rules for sending program data to a model; budget and headcount. Cost is not estimated here because it depends on those answers.</w:t>
      </w:r>
    </w:p>
    <w:p>
      <w:r>
        <w:rPr>
          <w:i/>
          <w:iCs/>
          <w:color w:val="5A6472"/>
          <w:sz w:val="15"/>
          <w:szCs w:val="15"/>
        </w:rPr>
        <w:t xml:space="preserve">Code and companion one-pagers: github.com/VjRa03An/automation-agents/tree/main/agentic-pmo-suite</w:t>
      </w:r>
    </w:p>
    <w:sectPr>
      <w:pgSz w:w="12240" w:h="15840" w:orient="portrait"/>
      <w:pgMar w:top="520" w:right="560" w:bottom="42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2026-10-21T03:38:28.973Z</dcterms:created>
  <dcterms:modified xsi:type="dcterms:W3CDTF">2026-10-21T03:38:28.973Z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