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aps/>
          <w:color w:val="1E2761"/>
          <w:sz w:val="36"/>
          <w:szCs w:val="36"/>
        </w:rPr>
        <w:t xml:space="preserve">VENKATESH SUBRAMANYAM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(408) 368-1427  •  csvenky@gmail.com  •  linkedin.com/in/venkatesh-coimbatore-subramanyam</w:t>
      </w:r>
    </w:p>
    <w:p>
      <w:pPr>
        <w:pBdr>
          <w:bottom w:val="single" w:color="1E2761" w:sz="12" w:space="1"/>
        </w:pBd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028090"/>
          <w:sz w:val="20"/>
          <w:szCs w:val="20"/>
        </w:rPr>
        <w:t xml:space="preserve">Director, PMO  •  Capital Portfolio Leadership  •  Cross-Functional Program Delivery</w:t>
      </w:r>
    </w:p>
    <w:p>
      <w:pPr>
        <w:pBdr>
          <w:bottom w:val="single" w:color="028090" w:sz="8" w:space="1"/>
        </w:pBdr>
        <w:spacing w:after="60" w:before="180"/>
      </w:pPr>
      <w:r>
        <w:rPr>
          <w:rFonts w:ascii="Calibri" w:cs="Calibri" w:eastAsia="Calibri" w:hAnsi="Calibri"/>
          <w:b/>
          <w:bCs/>
          <w:caps/>
          <w:color w:val="1E2761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Strategic PMO Director with 15+ years leading large-scale portfolio governance, cross-functional program delivery, and executive decision support across complex, matrixed organizations. Proven track record integrating vision, data, and cross-functional expertise to deliver annual portfolios of capital and R&amp;D investments — achieving 90–95% schedule predictability across 200+ programs. Expert at synthesizing complex operational and financial data into CFO/CEO/Board-level narratives, driving structured investment decisioning, and operating with the self-starter ownership required to steer high-visibility programs independently. Skilled at building scalable PMO frameworks, influencing VP+ stakeholders without authority, and elevating operational excellence across Creative, Design, Architecture, and cross-functional delivery teams.</w:t>
      </w:r>
    </w:p>
    <w:p>
      <w:pPr>
        <w:pBdr>
          <w:bottom w:val="single" w:color="028090" w:sz="8" w:space="1"/>
        </w:pBdr>
        <w:spacing w:after="60" w:before="180"/>
      </w:pPr>
      <w:r>
        <w:rPr>
          <w:rFonts w:ascii="Calibri" w:cs="Calibri" w:eastAsia="Calibri" w:hAnsi="Calibri"/>
          <w:b/>
          <w:bCs/>
          <w:caps/>
          <w:color w:val="1E2761"/>
          <w:sz w:val="22"/>
          <w:szCs w:val="22"/>
        </w:rPr>
        <w:t xml:space="preserve">Core Competencies</w:t>
      </w:r>
    </w:p>
    <w:p>
      <w:pPr>
        <w:spacing w:after="40" w:before="8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  Portfolio &amp; Pipeline Leadership  |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  Capital Investment Governance  |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  PMO Scaling &amp; Org Design  |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  Stage-Gate &amp; REC Governance  |</w:t>
      </w:r>
    </w:p>
    <w:p>
      <w:pPr>
        <w:spacing w:after="40" w:before="2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  Executive Communication (CFO/CEO/Board)  |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  Cross-Functional Program Delivery  |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  Scenario Modeling &amp; Risk Evaluation  |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  OKR &amp; KPI Frameworks  |</w:t>
      </w:r>
    </w:p>
    <w:p>
      <w:pPr>
        <w:spacing w:after="40" w:before="2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  Critical Thinking &amp; Structured Problem Solving  |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  Self-Starter Leadership  |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  Roadmap Predictability  |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  Change Management (PROSCI)  |</w:t>
      </w:r>
    </w:p>
    <w:p>
      <w:pPr>
        <w:spacing w:after="80" w:before="2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  SAFe / LPM  |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  Agile &amp; Lean Six Sigma Black Belt  |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  Jira / Confluence  |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  PMP  |</w:t>
      </w:r>
    </w:p>
    <w:p>
      <w:pPr>
        <w:spacing w:after="80" w:before="0"/>
      </w:pPr>
      <w:r>
        <w:rPr>
          <w:rFonts w:ascii="Calibri" w:cs="Calibri" w:eastAsia="Calibri" w:hAnsi="Calibri"/>
          <w:color w:val="AAAAAA"/>
          <w:sz w:val="17"/>
          <w:szCs w:val="17"/>
        </w:rPr>
        <w:t xml:space="preserve">Keywords: Director of PMO  •  Store Development  •  Portfolio Management  •  Investment Decisioning  •  REC Governance  •  L1–L4 Governance  •  Pipeline Operating Rhythm  •  Milestone Management  •  Executive Presentations  •  What-If Analysis  •  Variance Control  •  Throughput Improvement  •  Capital Portfolio</w:t>
      </w:r>
    </w:p>
    <w:p>
      <w:pPr>
        <w:pBdr>
          <w:bottom w:val="single" w:color="028090" w:sz="8" w:space="1"/>
        </w:pBdr>
        <w:spacing w:after="60" w:before="180"/>
      </w:pPr>
      <w:r>
        <w:rPr>
          <w:rFonts w:ascii="Calibri" w:cs="Calibri" w:eastAsia="Calibri" w:hAnsi="Calibri"/>
          <w:b/>
          <w:bCs/>
          <w:caps/>
          <w:color w:val="1E2761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Senior Director – Technical Program Management / TPMO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	Sep 2021 – Apr 2026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028090"/>
          <w:sz w:val="20"/>
          <w:szCs w:val="20"/>
        </w:rPr>
        <w:t xml:space="preserve">Twilio Inc.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Led centralized R&amp;D TPMO | ~$3B annual portfolio | 2,000+ distributed engineers | 35-member TPM org | 200+ annual programs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Served as strategic integrator across Engineering, Product, Finance, Security, and Cloud Operations — aligning vision, data, and cross-functional expertise into a unified annual portfolio operating rhythm, directly mirroring the Director of PMO mandate at Gap Inc.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Synthesized complex operational and financial data into CFO/CEO/Board-level updates — building executive dashboards that provided real-time portfolio visibility, risk summaries, and investment prioritization recommendations to senior leadership.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Drove structured investment decisioning through L1–L4 equivalent governance frameworks — ensuring clarity, rigor, and transparency across go/no-go reviews, milestone gates, and cross-functional approval workflows.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Applied critical thinking and scenario modeling to evaluate trade-offs, assess program risks, and guide strategic prioritization across a $3B+ annual portfolio — operating independently with strong ownership of outcomes and minimal oversight.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Achieved 90–95% roadmap predictability across 200+ annual programs through standardized dependency management, capacity planning frameworks, and variance control processes — reducing rework and improving throughput across the delivery organization.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Led high-profile, cross-functional platform modernization programs across AI/ML enablement, omnichannel infrastructure, and customer data platforms — translating ambiguous strategy into actionable plans and driving alignment across Creative, Design, and Engineering equivalents.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Developed what-if analyses and scenario models to support strategic investment decisions — enabling faster data-driven prioritization and surfacing downstream impacts before commitment.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Scaled PMO organization to 35 members across 8 senior direct reports — designing career frameworks, governance standards, and operational rhythms that institutionalized scalable, repeatable PMO processes across a globally distributed org.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Led multiple org restructures while maintaining execution stability — integrating acquired engineering teams into unified PMO governance with harmonized tooling, milestone alignment, and delivery standards.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Customer Success Leader / Program Delivery Manager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	Feb 2019 – Sep 2021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028090"/>
          <w:sz w:val="20"/>
          <w:szCs w:val="20"/>
        </w:rPr>
        <w:t xml:space="preserve">TEKsystems Global Services (Yahoo/Verizon)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Program-managed Yahoo Small Business Division Digital Transformation | 15+ member team | $9M+ Professional Services portfolio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Established PMO governance and program-managed delivery of complex cross-functional programs — achieving ~10% schedule and cost savings through disciplined milestone management and structured risk governance.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Created executive-ready presentations and data-driven insights for VP+ stakeholders — distilling program complexity into clear, compelling narratives for senior decision-makers.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Implemented Agile coaching for 7 teams — improving sprint predictability, stakeholder visibility, and cross-functional delivery cadence through structured operating rhythms.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Innovation Partner &amp; Transformation Lead – SW App &amp; Process Innovation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	Jan 2017 – Sep 2018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028090"/>
          <w:sz w:val="20"/>
          <w:szCs w:val="20"/>
        </w:rPr>
        <w:t xml:space="preserve">Nokia / Alcatel-Lucent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Internal consulting role reporting to VP – IPVM | Drove cross-functional innovation across technology, process, and business model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Program-managed SAFe big-room planning for 4+ ART launches — enabling Nokia Mobile to release major 5G software versions through structured portfolio governance and cross-functional milestone alignment.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Applied structured problem-solving frameworks (Lean DMAIC) to redesign vendor onboarding — reducing cycle time from months to 8 weeks and projecting $70K+ in annual savings via RPA automation.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Managed rapid implementation of a Design-to-Cost tool projecting €30M in savings over 3 years — translating ambiguous strategy into actionable plans and realizing €3M by Aug 2018.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Lean Six Sigma Black Belt &amp; Agile PI Leader – CE Transformation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	Aug 2011 – Jan 2017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028090"/>
          <w:sz w:val="20"/>
          <w:szCs w:val="20"/>
        </w:rPr>
        <w:t xml:space="preserve">Alcatel-Lucent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Established Transformational LSS Program PMO/COE | Trained 300+ Green Belts &amp; 80+ Black Belts globally | €250M project portfolio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Built enterprise transformation PMO/COE from ground up — managing a €250M+ portfolio of improvement initiatives, securing program savings targets, and standardizing governance across a globally distributed organization.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Drove Kaizen interventions resulting in €4.5M+ in cost savings — applying SIPOC, RACI, and Value Stream Mapping to resolve root causes and eliminate rework across complex cross-functional programs.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Institutionalized stage-gate checklisting at key SDLC checkpoints — enforcing governance consistency, reducing project cycle time, and improving throughput across 15+ Agile teams.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Director / Senior Director – Quality, IT &amp; Business Transformation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	May 2006 – Aug 2011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028090"/>
          <w:sz w:val="20"/>
          <w:szCs w:val="20"/>
        </w:rPr>
        <w:t xml:space="preserve">Genesys / Alcatel-Lucent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Reporting to Senior VP – B&amp;ITT | Built and led BPM COE and PMO from ground up | Grew team to 30+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Established enterprise BPM PMO/COE from the ground up — standardizing workflows across the full ALU value chain and institutionalizing stage-gate governance at each PDLC phase to enforce quality gates and reduce cycle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Designed Target Operating Models and Enterprise Business Process Maps — identifying capability gaps and driving cross-functional alignment across major business processes.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Improved order processing efficiency by 7–8% through Lean-driven automation — enabling 4,000+ additional orders and demonstrating the throughput improvement and variance control capabilities central to the Gap Inc. Director of PMO role.</w:t>
      </w:r>
    </w:p>
    <w:p>
      <w:pPr>
        <w:pBdr>
          <w:bottom w:val="single" w:color="028090" w:sz="8" w:space="1"/>
        </w:pBdr>
        <w:spacing w:after="60" w:before="180"/>
      </w:pPr>
      <w:r>
        <w:rPr>
          <w:rFonts w:ascii="Calibri" w:cs="Calibri" w:eastAsia="Calibri" w:hAnsi="Calibri"/>
          <w:b/>
          <w:bCs/>
          <w:caps/>
          <w:color w:val="1E2761"/>
          <w:sz w:val="22"/>
          <w:szCs w:val="22"/>
        </w:rPr>
        <w:t xml:space="preserve">Education &amp; Certifications</w:t>
      </w:r>
    </w:p>
    <w:p>
      <w:pPr>
        <w:tabs>
          <w:tab w:val="left" w:pos="5040"/>
        </w:tabs>
        <w:spacing w:after="40" w:before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Bachelor of Commerce  |  University of Madras, India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PMP (PMI)  •  Lean Six Sigma Black Belt (GE)  •  CSM</w:t>
      </w:r>
    </w:p>
    <w:p>
      <w:pPr>
        <w:tabs>
          <w:tab w:val="left" w:pos="5040"/>
        </w:tabs>
        <w:spacing w:after="40" w:before="2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Associate Member  |  Institute of Cost and Works Accountants of India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Scaled Agilist SA (SAFe 4.0)  •  PROSCI Change Practitioner  •  ITIL Foundation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2026-05-01T04:42:27.449Z</dcterms:created>
  <dcterms:modified xsi:type="dcterms:W3CDTF">2026-05-01T04:42:27.450Z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