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1"/>
        </w:pBdr>
        <w:spacing w:after="60" w:before="0"/>
        <w:jc w:val="left"/>
      </w:pPr>
      <w:r>
        <w:rPr>
          <w:rFonts w:ascii="Arial" w:cs="Arial" w:eastAsia="Arial" w:hAnsi="Arial"/>
          <w:b/>
          <w:bCs/>
          <w:color w:val="1F3864"/>
          <w:sz w:val="36"/>
          <w:szCs w:val="36"/>
        </w:rPr>
        <w:t xml:space="preserve">VENKATESH SUBRAMANYAM</w:t>
      </w:r>
    </w:p>
    <w:p>
      <w:pPr>
        <w:spacing w:after="320" w:before="80"/>
        <w:jc w:val="left"/>
      </w:pPr>
      <w:r>
        <w:rPr>
          <w:rFonts w:ascii="Arial" w:cs="Arial" w:eastAsia="Arial" w:hAnsi="Arial"/>
          <w:color w:val="555555"/>
          <w:sz w:val="18"/>
          <w:szCs w:val="18"/>
        </w:rPr>
        <w:t xml:space="preserve">(408) 368-1427  •  csvenky@gmail.com  •  linkedin.com/in/venkatesh-coimbatore-subramanyam</w:t>
      </w:r>
    </w:p>
    <w:p>
      <w:pPr>
        <w:spacing w:after="240" w:before="0"/>
        <w:jc w:val="left"/>
      </w:pPr>
      <w:r>
        <w:rPr>
          <w:rFonts w:ascii="Arial" w:cs="Arial" w:eastAsia="Arial" w:hAnsi="Arial"/>
          <w:b w:val="false"/>
          <w:bCs w:val="false"/>
          <w:i w:val="false"/>
          <w:iCs w:val="false"/>
          <w:color w:val="555555"/>
          <w:sz w:val="20"/>
          <w:szCs w:val="20"/>
        </w:rPr>
        <w:t xml:space="preserve">April 30, 2026</w:t>
      </w:r>
    </w:p>
    <w:p>
      <w:pPr>
        <w:spacing w:after="60" w:before="0"/>
        <w:jc w:val="left"/>
      </w:pPr>
      <w:r>
        <w:rPr>
          <w:rFonts w:ascii="Arial" w:cs="Arial" w:eastAsia="Arial" w:hAnsi="Arial"/>
          <w:b/>
          <w:bCs/>
          <w:i w:val="false"/>
          <w:iCs w:val="false"/>
          <w:color w:val="1A1A1A"/>
          <w:sz w:val="22"/>
          <w:szCs w:val="22"/>
        </w:rPr>
        <w:t xml:space="preserve">Hiring Manager</w:t>
      </w:r>
    </w:p>
    <w:p>
      <w:pPr>
        <w:spacing w:after="60" w:before="0"/>
        <w:jc w:val="left"/>
      </w:pPr>
      <w:r>
        <w:rPr>
          <w:rFonts w:ascii="Arial" w:cs="Arial" w:eastAsia="Arial" w:hAnsi="Arial"/>
          <w:b w:val="false"/>
          <w:bCs w:val="false"/>
          <w:i w:val="false"/>
          <w:iCs w:val="false"/>
          <w:color w:val="333333"/>
          <w:sz w:val="22"/>
          <w:szCs w:val="22"/>
        </w:rPr>
        <w:t xml:space="preserve">Technology Portfolio Operations Manager</w:t>
      </w:r>
    </w:p>
    <w:p>
      <w:pPr>
        <w:spacing w:after="60" w:before="0"/>
        <w:jc w:val="left"/>
      </w:pPr>
      <w:r>
        <w:rPr>
          <w:rFonts w:ascii="Arial" w:cs="Arial" w:eastAsia="Arial" w:hAnsi="Arial"/>
          <w:b w:val="false"/>
          <w:bCs w:val="false"/>
          <w:i w:val="false"/>
          <w:iCs w:val="false"/>
          <w:color w:val="333333"/>
          <w:sz w:val="22"/>
          <w:szCs w:val="22"/>
        </w:rPr>
        <w:t xml:space="preserve">PNC Financial Services Group</w:t>
      </w:r>
    </w:p>
    <w:p>
      <w:pPr>
        <w:spacing w:after="320" w:before="0"/>
        <w:jc w:val="left"/>
      </w:pPr>
      <w:r>
        <w:rPr>
          <w:rFonts w:ascii="Arial" w:cs="Arial" w:eastAsia="Arial" w:hAnsi="Arial"/>
          <w:b w:val="false"/>
          <w:bCs w:val="false"/>
          <w:i w:val="false"/>
          <w:iCs w:val="false"/>
          <w:color w:val="333333"/>
          <w:sz w:val="22"/>
          <w:szCs w:val="22"/>
        </w:rPr>
        <w:t xml:space="preserve">Pittsburgh, PA / Dallas, TX</w:t>
      </w:r>
    </w:p>
    <w:p>
      <w:pPr>
        <w:spacing w:after="240" w:before="0"/>
        <w:jc w:val="left"/>
      </w:pPr>
      <w:r>
        <w:rPr>
          <w:rFonts w:ascii="Arial" w:cs="Arial" w:eastAsia="Arial" w:hAnsi="Arial"/>
          <w:b w:val="false"/>
          <w:bCs w:val="false"/>
          <w:i w:val="false"/>
          <w:iCs w:val="false"/>
          <w:color w:val="1A1A1A"/>
          <w:sz w:val="22"/>
          <w:szCs w:val="22"/>
        </w:rPr>
        <w:t xml:space="preserve">Dear Hiring Manager,</w:t>
      </w:r>
    </w:p>
    <w:p>
      <w:pPr>
        <w:spacing w:after="220" w:before="0"/>
      </w:pPr>
      <w:r>
        <w:rPr>
          <w:rFonts w:ascii="Arial" w:cs="Arial" w:eastAsia="Arial" w:hAnsi="Arial"/>
          <w:color w:val="333333"/>
          <w:sz w:val="22"/>
          <w:szCs w:val="22"/>
        </w:rPr>
        <w:t xml:space="preserve">I am writing to express my strong interest in the </w:t>
      </w:r>
      <w:r>
        <w:rPr>
          <w:rFonts w:ascii="Arial" w:cs="Arial" w:eastAsia="Arial" w:hAnsi="Arial"/>
          <w:b/>
          <w:bCs/>
          <w:color w:val="333333"/>
          <w:sz w:val="22"/>
          <w:szCs w:val="22"/>
        </w:rPr>
        <w:t xml:space="preserve">Technology Portfolio Operations Manager</w:t>
      </w:r>
      <w:r>
        <w:rPr>
          <w:rFonts w:ascii="Arial" w:cs="Arial" w:eastAsia="Arial" w:hAnsi="Arial"/>
          <w:color w:val="333333"/>
          <w:sz w:val="22"/>
          <w:szCs w:val="22"/>
        </w:rPr>
        <w:t xml:space="preserve"> role within PNC's TPMO Operations team. Having spent the past fifteen years building and running large-scale TPMO functions — most recently as Director of Technical Program Management at Twilio, where I owned a $3B R&amp;D portfolio across 2,000+ engineers — I recognize precisely the operational challenges this role is designed to solve. More importantly, I have solved them.</w:t>
      </w:r>
    </w:p>
    <w:p>
      <w:pPr>
        <w:spacing w:after="220" w:before="0"/>
      </w:pPr>
      <w:r>
        <w:rPr>
          <w:rFonts w:ascii="Arial" w:cs="Arial" w:eastAsia="Arial" w:hAnsi="Arial"/>
          <w:color w:val="333333"/>
          <w:sz w:val="22"/>
          <w:szCs w:val="22"/>
        </w:rPr>
        <w:t xml:space="preserve">The three challenges at the heart of this role — </w:t>
      </w:r>
      <w:r>
        <w:rPr>
          <w:rFonts w:ascii="Arial" w:cs="Arial" w:eastAsia="Arial" w:hAnsi="Arial"/>
          <w:i/>
          <w:iCs/>
          <w:color w:val="333333"/>
          <w:sz w:val="22"/>
          <w:szCs w:val="22"/>
        </w:rPr>
        <w:t xml:space="preserve">demand intake and work classification discipline, credible capacity visibility and workforce planning, and operational transparency for senior leadership</w:t>
      </w:r>
      <w:r>
        <w:rPr>
          <w:rFonts w:ascii="Arial" w:cs="Arial" w:eastAsia="Arial" w:hAnsi="Arial"/>
          <w:color w:val="333333"/>
          <w:sz w:val="22"/>
          <w:szCs w:val="22"/>
        </w:rPr>
        <w:t xml:space="preserve"> — are not isolated process gaps. Together, they represent a TPMO that has scaled in size and complexity faster than its operational infrastructure. The result is an organization that struggles to make and keep commitments, cannot clearly articulate capacity tradeoffs to Finance and the C-suite, and lacks the unified data model that executive decision-making demands. This is a leadership accountability challenge as much as a process one.</w:t>
      </w:r>
    </w:p>
    <w:p>
      <w:pPr>
        <w:spacing w:after="100" w:before="0"/>
      </w:pPr>
      <w:r>
        <w:rPr>
          <w:rFonts w:ascii="Arial" w:cs="Arial" w:eastAsia="Arial" w:hAnsi="Arial"/>
          <w:b/>
          <w:bCs/>
          <w:color w:val="1F3864"/>
          <w:sz w:val="22"/>
          <w:szCs w:val="22"/>
        </w:rPr>
        <w:t xml:space="preserve">Demand Intake and Work Classification.</w:t>
      </w:r>
      <w:r>
        <w:rPr>
          <w:rFonts w:ascii="Arial" w:cs="Arial" w:eastAsia="Arial" w:hAnsi="Arial"/>
          <w:color w:val="333333"/>
          <w:sz w:val="22"/>
          <w:szCs w:val="22"/>
        </w:rPr>
        <w:t xml:space="preserve">  At Twilio, I designed and owned an OKR-driven demand intake model from the ground up — facilitating company-wide OKR definition across Engineering, Product, and Finance, and using OKR alignment as the primary mechanism for prioritizing engineering capacity allocation across the program portfolio. I enforced consistent work classification by type, tier, and funding source, which gave the TPMO a single, trusted picture of what was in the queue, what was committed, and what was discretionary. Aging work, allocation drift, and unplanned demand became measurable and manageable rather than chronic disruptions.</w:t>
      </w:r>
    </w:p>
    <w:p>
      <w:pPr>
        <w:spacing w:after="120" w:before="0"/>
      </w:pPr>
    </w:p>
    <w:p>
      <w:pPr>
        <w:spacing w:after="100" w:before="0"/>
      </w:pPr>
      <w:r>
        <w:rPr>
          <w:rFonts w:ascii="Arial" w:cs="Arial" w:eastAsia="Arial" w:hAnsi="Arial"/>
          <w:b/>
          <w:bCs/>
          <w:color w:val="1F3864"/>
          <w:sz w:val="22"/>
          <w:szCs w:val="22"/>
        </w:rPr>
        <w:t xml:space="preserve">Capacity Visibility and Workforce Planning.</w:t>
      </w:r>
      <w:r>
        <w:rPr>
          <w:rFonts w:ascii="Arial" w:cs="Arial" w:eastAsia="Arial" w:hAnsi="Arial"/>
          <w:color w:val="333333"/>
          <w:sz w:val="22"/>
          <w:szCs w:val="22"/>
        </w:rPr>
        <w:t xml:space="preserve">  I built role-based capacity models, rolling 12-week and annual plans, and scenario frameworks — baseline, commit, and stretch — that translated demand signals into concrete resourcing decisions. I ran weekly, monthly, and quarterly workforce governance cadences to manage allocation stability, monitor utilization and skill mix gaps, and align vendor and GDC capacity (including offshore delivery centers in India and Estonia) with business readiness milestones. Forecast accuracy and allocation stability became KPIs with owners — not aspirations. The result was 90–95% roadmap predictability across 200+ annual releases.</w:t>
      </w:r>
    </w:p>
    <w:p>
      <w:pPr>
        <w:spacing w:after="120" w:before="0"/>
      </w:pPr>
    </w:p>
    <w:p>
      <w:pPr>
        <w:spacing w:after="100" w:before="0"/>
      </w:pPr>
      <w:r>
        <w:rPr>
          <w:rFonts w:ascii="Arial" w:cs="Arial" w:eastAsia="Arial" w:hAnsi="Arial"/>
          <w:b/>
          <w:bCs/>
          <w:color w:val="1F3864"/>
          <w:sz w:val="22"/>
          <w:szCs w:val="22"/>
        </w:rPr>
        <w:t xml:space="preserve">Operational Transparency and Leadership Accountability.</w:t>
      </w:r>
      <w:r>
        <w:rPr>
          <w:rFonts w:ascii="Arial" w:cs="Arial" w:eastAsia="Arial" w:hAnsi="Arial"/>
          <w:color w:val="333333"/>
          <w:sz w:val="22"/>
          <w:szCs w:val="22"/>
        </w:rPr>
        <w:t xml:space="preserve">  I defined and governed a single set of demand and capacity KPIs — forecast accuracy, utilization, allocation stability, work aging, and service tier performance — with clear data definitions and refresh cadences. I built executive dashboards that served as the single source of truth for C-suite prioritization decisions, replacing fragmented readouts with standardized artifacts that accelerated decisions and made the TPMO a trusted partner to senior leadership rather than a reporting function.</w:t>
      </w:r>
    </w:p>
    <w:p>
      <w:pPr>
        <w:spacing w:after="120" w:before="0"/>
      </w:pPr>
    </w:p>
    <w:p>
      <w:pPr>
        <w:spacing w:after="220" w:before="0"/>
        <w:jc w:val="left"/>
      </w:pPr>
      <w:r>
        <w:rPr>
          <w:rFonts w:ascii="Arial" w:cs="Arial" w:eastAsia="Arial" w:hAnsi="Arial"/>
          <w:b w:val="false"/>
          <w:bCs w:val="false"/>
          <w:i w:val="false"/>
          <w:iCs w:val="false"/>
          <w:color w:val="333333"/>
          <w:sz w:val="22"/>
          <w:szCs w:val="22"/>
        </w:rPr>
        <w:t xml:space="preserve">What I would bring to PNC is not a methodology to evaluate — it is an operating model that has been built, tested, and refined at scale in a complex global environment. I understand the discipline required in a regulated financial services context and bring the stakeholder fluency, executive presence, and operational rigor to build durable mechanisms that serve PNC's TPMO for years, not quarters.</w:t>
      </w:r>
    </w:p>
    <w:p>
      <w:pPr>
        <w:spacing w:after="320" w:before="0"/>
        <w:jc w:val="left"/>
      </w:pPr>
      <w:r>
        <w:rPr>
          <w:rFonts w:ascii="Arial" w:cs="Arial" w:eastAsia="Arial" w:hAnsi="Arial"/>
          <w:b w:val="false"/>
          <w:bCs w:val="false"/>
          <w:i w:val="false"/>
          <w:iCs w:val="false"/>
          <w:color w:val="333333"/>
          <w:sz w:val="22"/>
          <w:szCs w:val="22"/>
        </w:rPr>
        <w:t xml:space="preserve">I would welcome the opportunity to discuss how my experience maps to PNC's priorities in more detail. Thank you for your consideration.</w:t>
      </w:r>
    </w:p>
    <w:p>
      <w:pPr>
        <w:spacing w:after="360" w:before="0"/>
        <w:jc w:val="left"/>
      </w:pPr>
      <w:r>
        <w:rPr>
          <w:rFonts w:ascii="Arial" w:cs="Arial" w:eastAsia="Arial" w:hAnsi="Arial"/>
          <w:b w:val="false"/>
          <w:bCs w:val="false"/>
          <w:i w:val="false"/>
          <w:iCs w:val="false"/>
          <w:color w:val="1A1A1A"/>
          <w:sz w:val="22"/>
          <w:szCs w:val="22"/>
        </w:rPr>
        <w:t xml:space="preserve">Sincerely,</w:t>
      </w:r>
    </w:p>
    <w:p>
      <w:pPr>
        <w:spacing w:after="60" w:before="0"/>
        <w:jc w:val="left"/>
      </w:pPr>
      <w:r>
        <w:rPr>
          <w:rFonts w:ascii="Arial" w:cs="Arial" w:eastAsia="Arial" w:hAnsi="Arial"/>
          <w:b/>
          <w:bCs/>
          <w:i w:val="false"/>
          <w:iCs w:val="false"/>
          <w:color w:val="1F3864"/>
          <w:sz w:val="24"/>
          <w:szCs w:val="24"/>
        </w:rPr>
        <w:t xml:space="preserve">Venkatesh Subramanyam</w:t>
      </w:r>
    </w:p>
    <w:p>
      <w:pPr>
        <w:spacing w:after="180" w:before="0"/>
        <w:jc w:val="left"/>
      </w:pPr>
      <w:r>
        <w:rPr>
          <w:rFonts w:ascii="Arial" w:cs="Arial" w:eastAsia="Arial" w:hAnsi="Arial"/>
          <w:b w:val="false"/>
          <w:bCs w:val="false"/>
          <w:i w:val="false"/>
          <w:iCs w:val="false"/>
          <w:color w:val="555555"/>
          <w:sz w:val="20"/>
          <w:szCs w:val="20"/>
        </w:rPr>
        <w:t xml:space="preserve">(408) 368-1427  •  csvenky@gmail.com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2026-05-01T06:35:02.703Z</dcterms:created>
  <dcterms:modified xsi:type="dcterms:W3CDTF">2026-05-01T06:35:02.722Z</dcterms:modified>
</cp:coreProperties>
</file>

<file path=docProps/custom.xml><?xml version="1.0" encoding="utf-8"?>
<Properties xmlns="http://schemas.openxmlformats.org/officeDocument/2006/custom-properties" xmlns:vt="http://schemas.openxmlformats.org/officeDocument/2006/docPropsVTypes"/>
</file>