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284B" w14:textId="77777777" w:rsidR="00161151" w:rsidRDefault="00000000">
      <w:pPr>
        <w:spacing w:after="40"/>
        <w:jc w:val="center"/>
      </w:pPr>
      <w:r>
        <w:rPr>
          <w:b/>
          <w:bCs/>
          <w:caps/>
          <w:color w:val="1E2761"/>
          <w:sz w:val="36"/>
          <w:szCs w:val="36"/>
        </w:rPr>
        <w:t>VENKATESH SUBRAMANYAM</w:t>
      </w:r>
    </w:p>
    <w:p w14:paraId="2089A768" w14:textId="77777777" w:rsidR="00161151" w:rsidRDefault="00000000">
      <w:pPr>
        <w:spacing w:after="40"/>
        <w:jc w:val="center"/>
      </w:pPr>
      <w:r>
        <w:rPr>
          <w:color w:val="475569"/>
          <w:sz w:val="19"/>
          <w:szCs w:val="19"/>
        </w:rPr>
        <w:t>(408) 368-1427  •  csvenky@gmail.com  •  linkedin.com/in/</w:t>
      </w:r>
      <w:proofErr w:type="spellStart"/>
      <w:r>
        <w:rPr>
          <w:color w:val="475569"/>
          <w:sz w:val="19"/>
          <w:szCs w:val="19"/>
        </w:rPr>
        <w:t>venkatesh</w:t>
      </w:r>
      <w:proofErr w:type="spellEnd"/>
      <w:r>
        <w:rPr>
          <w:color w:val="475569"/>
          <w:sz w:val="19"/>
          <w:szCs w:val="19"/>
        </w:rPr>
        <w:t>-coimbatore-subramanyam</w:t>
      </w:r>
    </w:p>
    <w:p w14:paraId="5BE7F24F" w14:textId="77777777" w:rsidR="00161151" w:rsidRDefault="00000000">
      <w:pPr>
        <w:pBdr>
          <w:bottom w:val="single" w:sz="12" w:space="1" w:color="1E2761"/>
        </w:pBdr>
        <w:spacing w:after="60"/>
        <w:jc w:val="center"/>
      </w:pPr>
      <w:r>
        <w:rPr>
          <w:b/>
          <w:bCs/>
          <w:color w:val="028090"/>
        </w:rPr>
        <w:t>Director, PMO  •  Capital Portfolio Leadership  •  Cross-Functional Program Delivery</w:t>
      </w:r>
    </w:p>
    <w:p w14:paraId="6C479D02" w14:textId="77777777" w:rsidR="00161151" w:rsidRDefault="00000000">
      <w:pPr>
        <w:pBdr>
          <w:bottom w:val="single" w:sz="8" w:space="1" w:color="028090"/>
        </w:pBdr>
        <w:spacing w:before="180" w:after="60"/>
      </w:pPr>
      <w:r>
        <w:rPr>
          <w:b/>
          <w:bCs/>
          <w:caps/>
          <w:color w:val="1E2761"/>
          <w:sz w:val="22"/>
          <w:szCs w:val="22"/>
        </w:rPr>
        <w:t>Professional Summary</w:t>
      </w:r>
    </w:p>
    <w:p w14:paraId="125F4D8A" w14:textId="77777777" w:rsidR="00161151" w:rsidRDefault="00000000">
      <w:pPr>
        <w:spacing w:before="80" w:after="80"/>
      </w:pPr>
      <w:r>
        <w:rPr>
          <w:color w:val="1E293B"/>
        </w:rPr>
        <w:t>Strategic PMO Director with 15+ years leading large-scale portfolio governance, cross-functional program delivery, and executive decision support across complex, matrixed organizations. Proven track record integrating vision, data, and cross-functional expertise to deliver annual portfolios of capital and R&amp;D investments — achieving 90–95% schedule predictability across 200+ programs. Expert at synthesizing complex operational and financial data into CFO/CEO/Board-level narratives, driving structured investment decisioning, and operating with the self-starter ownership required to steer high-visibility programs independently. Skilled at building scalable PMO frameworks, influencing VP+ stakeholders without authority, and elevating operational excellence across Creative, Design, Architecture, and cross-functional delivery teams.</w:t>
      </w:r>
    </w:p>
    <w:p w14:paraId="6D2E6BB1" w14:textId="77777777" w:rsidR="00161151" w:rsidRDefault="00000000">
      <w:pPr>
        <w:pBdr>
          <w:bottom w:val="single" w:sz="8" w:space="1" w:color="028090"/>
        </w:pBdr>
        <w:spacing w:before="180" w:after="60"/>
      </w:pPr>
      <w:r>
        <w:rPr>
          <w:b/>
          <w:bCs/>
          <w:caps/>
          <w:color w:val="1E2761"/>
          <w:sz w:val="22"/>
          <w:szCs w:val="22"/>
        </w:rPr>
        <w:t>Core Competencies</w:t>
      </w:r>
    </w:p>
    <w:p w14:paraId="28E646DC" w14:textId="77777777" w:rsidR="00161151" w:rsidRDefault="00000000">
      <w:pPr>
        <w:spacing w:before="80" w:after="40"/>
      </w:pPr>
      <w:r>
        <w:rPr>
          <w:color w:val="475569"/>
          <w:sz w:val="19"/>
          <w:szCs w:val="19"/>
        </w:rPr>
        <w:t xml:space="preserve">  Portfolio &amp; Pipeline Leadership  |  Capital Investment Governance  |  PMO Scaling &amp; Org Design  |  Stage-Gate &amp; REC Governance  |</w:t>
      </w:r>
    </w:p>
    <w:p w14:paraId="25392C6E" w14:textId="77777777" w:rsidR="00161151" w:rsidRDefault="00000000">
      <w:pPr>
        <w:spacing w:before="20" w:after="40"/>
      </w:pPr>
      <w:r>
        <w:rPr>
          <w:color w:val="475569"/>
          <w:sz w:val="19"/>
          <w:szCs w:val="19"/>
        </w:rPr>
        <w:t xml:space="preserve">  Executive Communication (CFO/CEO/Board)  |  Cross-Functional Program Delivery  |  Scenario Modeling &amp; Risk Evaluation  |  OKR &amp; KPI Frameworks  |</w:t>
      </w:r>
    </w:p>
    <w:p w14:paraId="1D6A4EE1" w14:textId="77777777" w:rsidR="00161151" w:rsidRDefault="00000000">
      <w:pPr>
        <w:spacing w:before="20" w:after="40"/>
      </w:pPr>
      <w:r>
        <w:rPr>
          <w:color w:val="475569"/>
          <w:sz w:val="19"/>
          <w:szCs w:val="19"/>
        </w:rPr>
        <w:t xml:space="preserve">  Critical Thinking &amp; Structured Problem Solving  |  Self-Starter Leadership  |  Roadmap Predictability  |  Change Management (PROSCI)  |</w:t>
      </w:r>
    </w:p>
    <w:p w14:paraId="1260DC31" w14:textId="77777777" w:rsidR="00161151" w:rsidRDefault="00000000">
      <w:pPr>
        <w:spacing w:before="20" w:after="80"/>
      </w:pPr>
      <w:r>
        <w:rPr>
          <w:color w:val="475569"/>
          <w:sz w:val="19"/>
          <w:szCs w:val="19"/>
        </w:rPr>
        <w:t xml:space="preserve">  SAFe / LPM  |  Agile &amp; Lean Six Sigma Black Belt  |  Jira / Confluence  |  PMP  |</w:t>
      </w:r>
    </w:p>
    <w:p w14:paraId="28EBFE19" w14:textId="77777777" w:rsidR="00161151" w:rsidRDefault="00000000">
      <w:pPr>
        <w:spacing w:after="80"/>
      </w:pPr>
      <w:r>
        <w:rPr>
          <w:color w:val="AAAAAA"/>
          <w:sz w:val="17"/>
          <w:szCs w:val="17"/>
        </w:rPr>
        <w:t>Keywords: Director of PMO  •  Store Development  •  Portfolio Management  •  Investment Decisioning  •  REC Governance  •  L1–L4 Governance  •  Pipeline Operating Rhythm  •  Milestone Management  •  Executive Presentations  •  What-If Analysis  •  Variance Control  •  Throughput Improvement  •  Capital Portfolio</w:t>
      </w:r>
    </w:p>
    <w:p w14:paraId="007FC4B3" w14:textId="77777777" w:rsidR="00161151" w:rsidRDefault="00000000">
      <w:pPr>
        <w:pBdr>
          <w:bottom w:val="single" w:sz="8" w:space="1" w:color="028090"/>
        </w:pBdr>
        <w:spacing w:before="180" w:after="60"/>
      </w:pPr>
      <w:r>
        <w:rPr>
          <w:b/>
          <w:bCs/>
          <w:caps/>
          <w:color w:val="1E2761"/>
          <w:sz w:val="22"/>
          <w:szCs w:val="22"/>
        </w:rPr>
        <w:t>Professional Experience</w:t>
      </w:r>
    </w:p>
    <w:p w14:paraId="40A9C2AC" w14:textId="66819BA6" w:rsidR="00161151" w:rsidRDefault="00000000">
      <w:pPr>
        <w:tabs>
          <w:tab w:val="right" w:pos="9360"/>
        </w:tabs>
        <w:spacing w:before="160" w:after="20"/>
      </w:pPr>
      <w:r>
        <w:rPr>
          <w:b/>
          <w:bCs/>
          <w:color w:val="1E2761"/>
          <w:sz w:val="22"/>
          <w:szCs w:val="22"/>
        </w:rPr>
        <w:t>Director – Technical Program Management / TPMO</w:t>
      </w:r>
      <w:r>
        <w:rPr>
          <w:color w:val="475569"/>
        </w:rPr>
        <w:tab/>
        <w:t>Sep 2021 – Apr 2026</w:t>
      </w:r>
    </w:p>
    <w:p w14:paraId="4B9E0A70" w14:textId="77777777" w:rsidR="00161151" w:rsidRDefault="00000000">
      <w:pPr>
        <w:spacing w:after="20"/>
      </w:pPr>
      <w:r>
        <w:rPr>
          <w:b/>
          <w:bCs/>
          <w:color w:val="028090"/>
        </w:rPr>
        <w:t>Twilio Inc.</w:t>
      </w:r>
    </w:p>
    <w:p w14:paraId="09035AB5" w14:textId="77777777" w:rsidR="00161151" w:rsidRDefault="00000000">
      <w:pPr>
        <w:spacing w:after="40"/>
      </w:pPr>
      <w:r>
        <w:rPr>
          <w:i/>
          <w:iCs/>
          <w:color w:val="475569"/>
          <w:sz w:val="19"/>
          <w:szCs w:val="19"/>
        </w:rPr>
        <w:t>Led centralized R&amp;D TPMO | ~$3B annual portfolio | 2,000+ distributed engineers | 35-member TPM org | 200+ annual programs</w:t>
      </w:r>
    </w:p>
    <w:p w14:paraId="60BB9A6F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Served as strategic integrator across Engineering, Product, Finance, Security, and Cloud Operations — aligning vision, data, and cross-functional expertise into a unified annual portfolio operating rhythm, directly mirroring the Director of PMO mandate at Gap Inc.</w:t>
      </w:r>
    </w:p>
    <w:p w14:paraId="18207582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Synthesized complex operational and financial data into CFO/CEO/Board-level updates — building executive dashboards that provided real-time portfolio visibility, risk summaries, and investment prioritization recommendations to senior leadership.</w:t>
      </w:r>
    </w:p>
    <w:p w14:paraId="3048C642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Drove structured investment decisioning through L1–L4 equivalent governance frameworks — ensuring clarity, rigor, and transparency across go/no-go reviews, milestone gates, and cross-functional approval workflows.</w:t>
      </w:r>
    </w:p>
    <w:p w14:paraId="72EA9722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Applied critical thinking and scenario modeling to evaluate trade-offs, assess program risks, and guide strategic prioritization across a $3B+ annual portfolio — operating independently with strong ownership of outcomes and minimal oversight.</w:t>
      </w:r>
    </w:p>
    <w:p w14:paraId="2CB4E64B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Achieved 90–95% roadmap predictability across 200+ annual programs through standardized dependency management, capacity planning frameworks, and variance control processes — reducing rework and improving throughput across the delivery organization.</w:t>
      </w:r>
    </w:p>
    <w:p w14:paraId="32F39726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Led high-profile, cross-functional platform modernization programs across AI/ML enablement, omnichannel infrastructure, and customer data platforms — translating ambiguous strategy into actionable plans and driving alignment across Creative, Design, and Engineering equivalents.</w:t>
      </w:r>
    </w:p>
    <w:p w14:paraId="45FA66B8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Developed what-if analyses and scenario models to support strategic investment decisions — enabling faster data-driven prioritization and surfacing downstream impacts before commitment.</w:t>
      </w:r>
    </w:p>
    <w:p w14:paraId="3243797C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Scaled PMO organization to 35 members across 8 senior direct reports — designing career frameworks, governance standards, and operational rhythms that institutionalized scalable, repeatable PMO processes across a globally distributed org.</w:t>
      </w:r>
    </w:p>
    <w:p w14:paraId="61985F50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Led multiple org restructures while maintaining execution stability — integrating acquired engineering teams into unified PMO governance with harmonized tooling, milestone alignment, and delivery standards.</w:t>
      </w:r>
    </w:p>
    <w:p w14:paraId="2D8D7507" w14:textId="455D0045" w:rsidR="00161151" w:rsidRDefault="00000000">
      <w:pPr>
        <w:tabs>
          <w:tab w:val="right" w:pos="9360"/>
        </w:tabs>
        <w:spacing w:before="160" w:after="20"/>
      </w:pPr>
      <w:r>
        <w:rPr>
          <w:b/>
          <w:bCs/>
          <w:color w:val="1E2761"/>
          <w:sz w:val="22"/>
          <w:szCs w:val="22"/>
        </w:rPr>
        <w:lastRenderedPageBreak/>
        <w:t>Customer Success Leader</w:t>
      </w:r>
      <w:r w:rsidR="004930ED">
        <w:rPr>
          <w:b/>
          <w:bCs/>
          <w:color w:val="1E2761"/>
          <w:sz w:val="22"/>
          <w:szCs w:val="22"/>
        </w:rPr>
        <w:t xml:space="preserve"> II</w:t>
      </w:r>
      <w:r>
        <w:rPr>
          <w:b/>
          <w:bCs/>
          <w:color w:val="1E2761"/>
          <w:sz w:val="22"/>
          <w:szCs w:val="22"/>
        </w:rPr>
        <w:t xml:space="preserve"> / Program Delivery Manager</w:t>
      </w:r>
      <w:r>
        <w:rPr>
          <w:color w:val="475569"/>
        </w:rPr>
        <w:tab/>
        <w:t>Feb 2019 – Sep 2021</w:t>
      </w:r>
    </w:p>
    <w:p w14:paraId="26CF55C7" w14:textId="77777777" w:rsidR="00161151" w:rsidRDefault="00000000">
      <w:pPr>
        <w:spacing w:after="20"/>
      </w:pPr>
      <w:r>
        <w:rPr>
          <w:b/>
          <w:bCs/>
          <w:color w:val="028090"/>
        </w:rPr>
        <w:t>TEKsystems Global Services (Yahoo/Verizon)</w:t>
      </w:r>
    </w:p>
    <w:p w14:paraId="7B1A6AA9" w14:textId="77777777" w:rsidR="00161151" w:rsidRDefault="00000000">
      <w:pPr>
        <w:spacing w:after="40"/>
      </w:pPr>
      <w:r>
        <w:rPr>
          <w:i/>
          <w:iCs/>
          <w:color w:val="475569"/>
          <w:sz w:val="19"/>
          <w:szCs w:val="19"/>
        </w:rPr>
        <w:t>Program-managed Yahoo Small Business Division Digital Transformation | 15+ member team | $9M+ Professional Services portfolio</w:t>
      </w:r>
    </w:p>
    <w:p w14:paraId="3F7ADE83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Established PMO governance and program-managed delivery of complex cross-functional programs — achieving ~10% schedule and cost savings through disciplined milestone management and structured risk governance.</w:t>
      </w:r>
    </w:p>
    <w:p w14:paraId="67B730DD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Created executive-ready presentations and data-driven insights for VP+ stakeholders — distilling program complexity into clear, compelling narratives for senior decision-makers.</w:t>
      </w:r>
    </w:p>
    <w:p w14:paraId="79DA6FFD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Implemented Agile coaching for 7 teams — improving sprint predictability, stakeholder visibility, and cross-functional delivery cadence through structured operating rhythms.</w:t>
      </w:r>
    </w:p>
    <w:p w14:paraId="4C0737B8" w14:textId="77777777" w:rsidR="00161151" w:rsidRDefault="00000000">
      <w:pPr>
        <w:tabs>
          <w:tab w:val="right" w:pos="9360"/>
        </w:tabs>
        <w:spacing w:before="160" w:after="20"/>
      </w:pPr>
      <w:r>
        <w:rPr>
          <w:b/>
          <w:bCs/>
          <w:color w:val="1E2761"/>
          <w:sz w:val="22"/>
          <w:szCs w:val="22"/>
        </w:rPr>
        <w:t>Innovation Partner &amp; Transformation Lead – SW App &amp; Process Innovation</w:t>
      </w:r>
      <w:r>
        <w:rPr>
          <w:color w:val="475569"/>
        </w:rPr>
        <w:tab/>
        <w:t>Jan 2017 – Sep 2018</w:t>
      </w:r>
    </w:p>
    <w:p w14:paraId="4BF15C98" w14:textId="77777777" w:rsidR="00161151" w:rsidRDefault="00000000">
      <w:pPr>
        <w:spacing w:after="20"/>
      </w:pPr>
      <w:r>
        <w:rPr>
          <w:b/>
          <w:bCs/>
          <w:color w:val="028090"/>
        </w:rPr>
        <w:t>Nokia / Alcatel-Lucent</w:t>
      </w:r>
    </w:p>
    <w:p w14:paraId="057A0964" w14:textId="77777777" w:rsidR="00161151" w:rsidRDefault="00000000">
      <w:pPr>
        <w:spacing w:after="40"/>
      </w:pPr>
      <w:r>
        <w:rPr>
          <w:i/>
          <w:iCs/>
          <w:color w:val="475569"/>
          <w:sz w:val="19"/>
          <w:szCs w:val="19"/>
        </w:rPr>
        <w:t>Internal consulting role reporting to VP – IPVM | Drove cross-functional innovation across technology, process, and business model capabilities</w:t>
      </w:r>
    </w:p>
    <w:p w14:paraId="35C6F075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Program-managed SAFe big-room planning for 4+ ART launches — enabling Nokia Mobile to release major 5G software versions through structured portfolio governance and cross-functional milestone alignment.</w:t>
      </w:r>
    </w:p>
    <w:p w14:paraId="2C039C03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Applied structured problem-solving frameworks (Lean DMAIC) to redesign vendor onboarding — reducing cycle time from months to 8 weeks and projecting $70K+ in annual savings via RPA automation.</w:t>
      </w:r>
    </w:p>
    <w:p w14:paraId="2184DAF6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Managed rapid implementation of a Design-to-Cost tool projecting €30M in savings over 3 years — translating ambiguous strategy into actionable plans and realizing €3M by Aug 2018.</w:t>
      </w:r>
    </w:p>
    <w:p w14:paraId="00D0C7DE" w14:textId="77777777" w:rsidR="00161151" w:rsidRDefault="00000000">
      <w:pPr>
        <w:tabs>
          <w:tab w:val="right" w:pos="9360"/>
        </w:tabs>
        <w:spacing w:before="160" w:after="20"/>
      </w:pPr>
      <w:r>
        <w:rPr>
          <w:b/>
          <w:bCs/>
          <w:color w:val="1E2761"/>
          <w:sz w:val="22"/>
          <w:szCs w:val="22"/>
        </w:rPr>
        <w:t>Lean Six Sigma Black Belt &amp; Agile PI Leader – CE Transformation</w:t>
      </w:r>
      <w:r>
        <w:rPr>
          <w:color w:val="475569"/>
        </w:rPr>
        <w:tab/>
        <w:t>Aug 2011 – Jan 2017</w:t>
      </w:r>
    </w:p>
    <w:p w14:paraId="64904179" w14:textId="77777777" w:rsidR="00161151" w:rsidRDefault="00000000">
      <w:pPr>
        <w:spacing w:after="20"/>
      </w:pPr>
      <w:r>
        <w:rPr>
          <w:b/>
          <w:bCs/>
          <w:color w:val="028090"/>
        </w:rPr>
        <w:t>Alcatel-Lucent</w:t>
      </w:r>
    </w:p>
    <w:p w14:paraId="0D2CB726" w14:textId="77777777" w:rsidR="00161151" w:rsidRDefault="00000000">
      <w:pPr>
        <w:spacing w:after="40"/>
      </w:pPr>
      <w:r>
        <w:rPr>
          <w:i/>
          <w:iCs/>
          <w:color w:val="475569"/>
          <w:sz w:val="19"/>
          <w:szCs w:val="19"/>
        </w:rPr>
        <w:t>Established Transformational LSS Program PMO/COE | Trained 300+ Green Belts &amp; 80+ Black Belts globally | €250M project portfolio</w:t>
      </w:r>
    </w:p>
    <w:p w14:paraId="077AD2DF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Built enterprise transformation PMO/COE from ground up — managing a €250M+ portfolio of improvement initiatives, securing program savings targets, and standardizing governance across a globally distributed organization.</w:t>
      </w:r>
    </w:p>
    <w:p w14:paraId="0DF872FB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Drove Kaizen interventions resulting in €4.5M+ in cost savings — applying SIPOC, RACI, and Value Stream Mapping to resolve root causes and eliminate rework across complex cross-functional programs.</w:t>
      </w:r>
    </w:p>
    <w:p w14:paraId="0F5FC2FB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 xml:space="preserve">Institutionalized stage-gate </w:t>
      </w:r>
      <w:proofErr w:type="spellStart"/>
      <w:r>
        <w:rPr>
          <w:color w:val="475569"/>
        </w:rPr>
        <w:t>checklisting</w:t>
      </w:r>
      <w:proofErr w:type="spellEnd"/>
      <w:r>
        <w:rPr>
          <w:color w:val="475569"/>
        </w:rPr>
        <w:t xml:space="preserve"> at key SDLC checkpoints — enforcing governance consistency, reducing project cycle time, and improving throughput across 15+ Agile teams.</w:t>
      </w:r>
    </w:p>
    <w:p w14:paraId="67C7C8B6" w14:textId="77777777" w:rsidR="00161151" w:rsidRDefault="00000000">
      <w:pPr>
        <w:tabs>
          <w:tab w:val="right" w:pos="9360"/>
        </w:tabs>
        <w:spacing w:before="160" w:after="20"/>
      </w:pPr>
      <w:r>
        <w:rPr>
          <w:b/>
          <w:bCs/>
          <w:color w:val="1E2761"/>
          <w:sz w:val="22"/>
          <w:szCs w:val="22"/>
        </w:rPr>
        <w:t>Director / Senior Director – Quality, IT &amp; Business Transformation</w:t>
      </w:r>
      <w:r>
        <w:rPr>
          <w:color w:val="475569"/>
        </w:rPr>
        <w:tab/>
        <w:t>May 2006 – Aug 2011</w:t>
      </w:r>
    </w:p>
    <w:p w14:paraId="766BCA6D" w14:textId="77777777" w:rsidR="00161151" w:rsidRDefault="00000000">
      <w:pPr>
        <w:spacing w:after="20"/>
      </w:pPr>
      <w:r>
        <w:rPr>
          <w:b/>
          <w:bCs/>
          <w:color w:val="028090"/>
        </w:rPr>
        <w:t>Genesys / Alcatel-Lucent</w:t>
      </w:r>
    </w:p>
    <w:p w14:paraId="2041AF69" w14:textId="77777777" w:rsidR="00161151" w:rsidRDefault="00000000">
      <w:pPr>
        <w:spacing w:after="40"/>
      </w:pPr>
      <w:r>
        <w:rPr>
          <w:i/>
          <w:iCs/>
          <w:color w:val="475569"/>
          <w:sz w:val="19"/>
          <w:szCs w:val="19"/>
        </w:rPr>
        <w:t>Reporting to Senior VP – B&amp;ITT | Built and led BPM COE and PMO from ground up | Grew team to 30+</w:t>
      </w:r>
    </w:p>
    <w:p w14:paraId="12F313B5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Established enterprise BPM PMO/COE from the ground up — standardizing workflows across the full ALU value chain and institutionalizing stage-gate governance at each PDLC phase to enforce quality gates and reduce cycle time.</w:t>
      </w:r>
    </w:p>
    <w:p w14:paraId="1247C1F3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Designed Target Operating Models and Enterprise Business Process Maps — identifying capability gaps and driving cross-functional alignment across major business processes.</w:t>
      </w:r>
    </w:p>
    <w:p w14:paraId="65E84DC8" w14:textId="77777777" w:rsidR="001611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</w:rPr>
        <w:t>Improved order processing efficiency by 7–8% through Lean-driven automation — enabling 4,000+ additional orders and demonstrating the throughput improvement and variance control capabilities central to the Gap Inc. Director of PMO role.</w:t>
      </w:r>
    </w:p>
    <w:p w14:paraId="1BFCEEF0" w14:textId="77777777" w:rsidR="00161151" w:rsidRDefault="00000000">
      <w:pPr>
        <w:pBdr>
          <w:bottom w:val="single" w:sz="8" w:space="1" w:color="028090"/>
        </w:pBdr>
        <w:spacing w:before="180" w:after="60"/>
      </w:pPr>
      <w:r>
        <w:rPr>
          <w:b/>
          <w:bCs/>
          <w:caps/>
          <w:color w:val="1E2761"/>
          <w:sz w:val="22"/>
          <w:szCs w:val="22"/>
        </w:rPr>
        <w:t>Education &amp; Certifications</w:t>
      </w:r>
    </w:p>
    <w:p w14:paraId="51673BA3" w14:textId="77777777" w:rsidR="00161151" w:rsidRDefault="00000000">
      <w:pPr>
        <w:tabs>
          <w:tab w:val="left" w:pos="5040"/>
        </w:tabs>
        <w:spacing w:before="80" w:after="40"/>
      </w:pPr>
      <w:r>
        <w:rPr>
          <w:color w:val="1E293B"/>
        </w:rPr>
        <w:t>Bachelor of Commerce  |  University of Madras, India</w:t>
      </w:r>
      <w:r>
        <w:tab/>
      </w:r>
      <w:r>
        <w:rPr>
          <w:color w:val="1E293B"/>
        </w:rPr>
        <w:t>PMP (PMI)  •  Lean Six Sigma Black Belt (GE)  •  CSM</w:t>
      </w:r>
    </w:p>
    <w:p w14:paraId="0067BCE0" w14:textId="77777777" w:rsidR="00161151" w:rsidRDefault="00000000">
      <w:pPr>
        <w:tabs>
          <w:tab w:val="left" w:pos="5040"/>
        </w:tabs>
        <w:spacing w:before="20" w:after="40"/>
      </w:pPr>
      <w:r>
        <w:rPr>
          <w:color w:val="475569"/>
        </w:rPr>
        <w:t>Associate Member  |  Institute of Cost and Works Accountants of India</w:t>
      </w:r>
      <w:r>
        <w:tab/>
      </w:r>
      <w:r>
        <w:rPr>
          <w:color w:val="475569"/>
        </w:rPr>
        <w:t>Scaled Agilist SA (SAFe 4.0)  •  PROSCI Change Practitioner  •  ITIL Foundation</w:t>
      </w:r>
    </w:p>
    <w:sectPr w:rsidR="00161151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51B4"/>
    <w:multiLevelType w:val="hybridMultilevel"/>
    <w:tmpl w:val="7F742434"/>
    <w:lvl w:ilvl="0" w:tplc="4F04B722">
      <w:start w:val="1"/>
      <w:numFmt w:val="bullet"/>
      <w:lvlText w:val="•"/>
      <w:lvlJc w:val="left"/>
      <w:pPr>
        <w:ind w:left="540" w:hanging="360"/>
      </w:pPr>
    </w:lvl>
    <w:lvl w:ilvl="1" w:tplc="4CDAAA0E">
      <w:numFmt w:val="decimal"/>
      <w:lvlText w:val=""/>
      <w:lvlJc w:val="left"/>
    </w:lvl>
    <w:lvl w:ilvl="2" w:tplc="64DCD896">
      <w:numFmt w:val="decimal"/>
      <w:lvlText w:val=""/>
      <w:lvlJc w:val="left"/>
    </w:lvl>
    <w:lvl w:ilvl="3" w:tplc="75BE8E0A">
      <w:numFmt w:val="decimal"/>
      <w:lvlText w:val=""/>
      <w:lvlJc w:val="left"/>
    </w:lvl>
    <w:lvl w:ilvl="4" w:tplc="88DA99B6">
      <w:numFmt w:val="decimal"/>
      <w:lvlText w:val=""/>
      <w:lvlJc w:val="left"/>
    </w:lvl>
    <w:lvl w:ilvl="5" w:tplc="5B705C4C">
      <w:numFmt w:val="decimal"/>
      <w:lvlText w:val=""/>
      <w:lvlJc w:val="left"/>
    </w:lvl>
    <w:lvl w:ilvl="6" w:tplc="66D80E08">
      <w:numFmt w:val="decimal"/>
      <w:lvlText w:val=""/>
      <w:lvlJc w:val="left"/>
    </w:lvl>
    <w:lvl w:ilvl="7" w:tplc="CD4EAEE8">
      <w:numFmt w:val="decimal"/>
      <w:lvlText w:val=""/>
      <w:lvlJc w:val="left"/>
    </w:lvl>
    <w:lvl w:ilvl="8" w:tplc="6BD89628">
      <w:numFmt w:val="decimal"/>
      <w:lvlText w:val=""/>
      <w:lvlJc w:val="left"/>
    </w:lvl>
  </w:abstractNum>
  <w:abstractNum w:abstractNumId="1" w15:restartNumberingAfterBreak="0">
    <w:nsid w:val="25DD3BEF"/>
    <w:multiLevelType w:val="hybridMultilevel"/>
    <w:tmpl w:val="EA1606A2"/>
    <w:lvl w:ilvl="0" w:tplc="BCE06DEA">
      <w:start w:val="1"/>
      <w:numFmt w:val="bullet"/>
      <w:lvlText w:val="●"/>
      <w:lvlJc w:val="left"/>
      <w:pPr>
        <w:ind w:left="720" w:hanging="360"/>
      </w:pPr>
    </w:lvl>
    <w:lvl w:ilvl="1" w:tplc="24C8624C">
      <w:start w:val="1"/>
      <w:numFmt w:val="bullet"/>
      <w:lvlText w:val="○"/>
      <w:lvlJc w:val="left"/>
      <w:pPr>
        <w:ind w:left="1440" w:hanging="360"/>
      </w:pPr>
    </w:lvl>
    <w:lvl w:ilvl="2" w:tplc="5C548D76">
      <w:start w:val="1"/>
      <w:numFmt w:val="bullet"/>
      <w:lvlText w:val="■"/>
      <w:lvlJc w:val="left"/>
      <w:pPr>
        <w:ind w:left="2160" w:hanging="360"/>
      </w:pPr>
    </w:lvl>
    <w:lvl w:ilvl="3" w:tplc="749E6F68">
      <w:start w:val="1"/>
      <w:numFmt w:val="bullet"/>
      <w:lvlText w:val="●"/>
      <w:lvlJc w:val="left"/>
      <w:pPr>
        <w:ind w:left="2880" w:hanging="360"/>
      </w:pPr>
    </w:lvl>
    <w:lvl w:ilvl="4" w:tplc="62E0B586">
      <w:start w:val="1"/>
      <w:numFmt w:val="bullet"/>
      <w:lvlText w:val="○"/>
      <w:lvlJc w:val="left"/>
      <w:pPr>
        <w:ind w:left="3600" w:hanging="360"/>
      </w:pPr>
    </w:lvl>
    <w:lvl w:ilvl="5" w:tplc="4614CD14">
      <w:start w:val="1"/>
      <w:numFmt w:val="bullet"/>
      <w:lvlText w:val="■"/>
      <w:lvlJc w:val="left"/>
      <w:pPr>
        <w:ind w:left="4320" w:hanging="360"/>
      </w:pPr>
    </w:lvl>
    <w:lvl w:ilvl="6" w:tplc="1B7EFF58">
      <w:start w:val="1"/>
      <w:numFmt w:val="bullet"/>
      <w:lvlText w:val="●"/>
      <w:lvlJc w:val="left"/>
      <w:pPr>
        <w:ind w:left="5040" w:hanging="360"/>
      </w:pPr>
    </w:lvl>
    <w:lvl w:ilvl="7" w:tplc="67CC6630">
      <w:start w:val="1"/>
      <w:numFmt w:val="bullet"/>
      <w:lvlText w:val="●"/>
      <w:lvlJc w:val="left"/>
      <w:pPr>
        <w:ind w:left="5760" w:hanging="360"/>
      </w:pPr>
    </w:lvl>
    <w:lvl w:ilvl="8" w:tplc="E0C481CA">
      <w:start w:val="1"/>
      <w:numFmt w:val="bullet"/>
      <w:lvlText w:val="●"/>
      <w:lvlJc w:val="left"/>
      <w:pPr>
        <w:ind w:left="6480" w:hanging="360"/>
      </w:pPr>
    </w:lvl>
  </w:abstractNum>
  <w:num w:numId="1" w16cid:durableId="875309889">
    <w:abstractNumId w:val="1"/>
    <w:lvlOverride w:ilvl="0">
      <w:startOverride w:val="1"/>
    </w:lvlOverride>
  </w:num>
  <w:num w:numId="2" w16cid:durableId="1278216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151"/>
    <w:rsid w:val="00161151"/>
    <w:rsid w:val="002B6DFF"/>
    <w:rsid w:val="0049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407E1"/>
  <w15:docId w15:val="{6169E41C-71FF-034E-983C-ED2F4C7D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994</Words>
  <Characters>6841</Characters>
  <Application>Microsoft Office Word</Application>
  <DocSecurity>0</DocSecurity>
  <Lines>93</Lines>
  <Paragraphs>58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Venkatesh Subramanyam</cp:lastModifiedBy>
  <cp:revision>2</cp:revision>
  <dcterms:created xsi:type="dcterms:W3CDTF">2026-05-01T05:10:00Z</dcterms:created>
  <dcterms:modified xsi:type="dcterms:W3CDTF">2026-05-01T05:10:00Z</dcterms:modified>
</cp:coreProperties>
</file>