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before="600"/>
        <w:ind/>
        <w:jc w:val="center"/>
        <w:rPr/>
      </w:pPr>
      <w:r>
        <w:rPr>
          <w:rFonts w:ascii="Arial" w:hAnsi="Arial" w:eastAsia="Arial" w:cs="Arial"/>
          <w:b/>
          <w:bCs/>
          <w:i w:val="0"/>
          <w:iCs w:val="0"/>
          <w:color w:val="1a3e6e"/>
          <w:sz w:val="44"/>
          <w:szCs w:val="44"/>
        </w:rPr>
        <w:t xml:space="preserve">KPI — Indicadores de Desempenho</w:t>
      </w:r>
      <w:r/>
    </w:p>
    <w:p>
      <w:pPr>
        <w:pBdr>
          <w:bottom w:val="single" w:color="1a3e6e" w:sz="8" w:space="1"/>
        </w:pBdr>
        <w:spacing w:after="300"/>
        <w:ind/>
        <w:rPr/>
      </w:pPr>
      <w:r/>
      <w:r/>
    </w:p>
    <w:p>
      <w:pPr>
        <w:pBdr>
          <w:bottom w:val="single" w:color="1a3e6e" w:sz="6" w:space="1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1. Critérios de Avaliação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Atingido: resultado igual ou superior à meta definida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Parcial: resultado entre 50% e 99% da meta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Não atingido: resultado abaixo de 50% da meta ou atividade não realizada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p>
      <w:pPr>
        <w:pBdr>
          <w:bottom w:val="single" w:color="1a3e6e" w:sz="6" w:space="1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2. Painel de KPIs por Semana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2200"/>
        <w:gridCol w:w="1200"/>
        <w:gridCol w:w="1200"/>
        <w:gridCol w:w="1000"/>
        <w:gridCol w:w="1300"/>
        <w:gridCol w:w="1360"/>
      </w:tblGrid>
      <w:tr>
        <w:trPr>
          <w:tblHeader/>
        </w:trPr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1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Semana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Indicador (KPI)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Meta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Unidade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3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Atingimento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1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Componentes do chassi modelados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1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Tempo de conclusão da modelagem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≤ 5 dias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5 dias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dias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Taxa de seguimento da linha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90%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95%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105%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Circuitos fechados concluídos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1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circuitos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150%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Taxa de erro de trajetória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≤ 10%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5%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150%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Taxa de detecção geral de objetos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85%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72%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85%</w:t>
            </w:r>
            <w:r/>
          </w:p>
        </w:tc>
        <w:tc>
          <w:tcPr>
            <w:shd w:val="clear" w:color="auto" w:fill="fff8e1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a5700"/>
                <w:sz w:val="18"/>
                <w:szCs w:val="18"/>
              </w:rPr>
              <w:t xml:space="preserve">Parcial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Detecção de objetos de cor escura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90%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91%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101%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Detecção de objetos de cor clara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85%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48%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56%</w:t>
            </w:r>
            <w:r/>
          </w:p>
        </w:tc>
        <w:tc>
          <w:tcPr>
            <w:shd w:val="clear" w:color="auto" w:fill="fdec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 xml:space="preserve">Não 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4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Modelagem da garra concluída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4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Construção física da garra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%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0%</w:t>
            </w:r>
            <w:r/>
          </w:p>
        </w:tc>
        <w:tc>
          <w:tcPr>
            <w:shd w:val="clear" w:color="auto" w:fill="fdec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 xml:space="preserve">Não atingido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4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Funcionalidade da garra testada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≥ 1 teste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testes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22222"/>
                <w:sz w:val="18"/>
                <w:szCs w:val="18"/>
              </w:rPr>
              <w:t xml:space="preserve">0%</w:t>
            </w:r>
            <w:r/>
          </w:p>
        </w:tc>
        <w:tc>
          <w:tcPr>
            <w:shd w:val="clear" w:color="auto" w:fill="fdec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 xml:space="preserve">Não atingido</w:t>
            </w:r>
            <w:r/>
          </w:p>
        </w:tc>
      </w:tr>
    </w:tbl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/>
          <w:iCs/>
          <w:color w:val="888888"/>
          <w:sz w:val="17"/>
          <w:szCs w:val="17"/>
        </w:rPr>
        <w:t xml:space="preserve">* Atingimento calculado como: (Resultado ÷ Meta) × 100%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p w14:paraId="0ED85BEC">
      <w:pPr>
        <w:pBdr>
          <w:bottom w:val="single" w:color="1a3e6e" w:sz="6" w:space="0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</w:p>
    <w:p w14:paraId="0DF51579">
      <w:pPr>
        <w:pBdr>
          <w:bottom w:val="single" w:color="1a3e6e" w:sz="6" w:space="0"/>
        </w:pBdr>
        <w:spacing w:after="100" w:before="300"/>
        <w:ind/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</w:p>
    <w:p w14:paraId="25BD55A2">
      <w:pPr>
        <w:pBdr>
          <w:bottom w:val="single" w:color="1a3e6e" w:sz="6" w:space="0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3. Objetivo Final do Projeto</w:t>
      </w:r>
      <w:r/>
      <w:r/>
    </w:p>
    <w:p w14:paraId="1C1F8954"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 xml:space="preserve">O objetivo final do projeto é desenvolver um robô autônomo capaz de realizar a coleta de lixo de forma eficiente, integrando os sistemas de locomoção, detecção e manipulação desenvolvidos ao longo das semanas.</w:t>
      </w:r>
      <w:r/>
      <w:r/>
    </w:p>
    <w:p w14:paraId="52675BD7"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2480"/>
        <w:gridCol w:w="2080"/>
      </w:tblGrid>
      <w:tr>
        <w:trPr>
          <w:tblHeader/>
        </w:trPr>
        <w:tc>
          <w:tcPr>
            <w:shd w:val="clear" w:color="ffffff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00" w:type="dxa"/>
          </w:tcPr>
          <w:p w14:paraId="704C58F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Objetivo Final</w:t>
            </w:r>
            <w:r/>
            <w:r/>
          </w:p>
        </w:tc>
        <w:tc>
          <w:tcPr>
            <w:shd w:val="clear" w:color="ffffff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80" w:type="dxa"/>
          </w:tcPr>
          <w:p w14:paraId="6017904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  <w:r/>
            <w:r/>
          </w:p>
        </w:tc>
        <w:tc>
          <w:tcPr>
            <w:shd w:val="clear" w:color="ffffff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80" w:type="dxa"/>
          </w:tcPr>
          <w:p w14:paraId="4A02E36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Meta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 w14:paraId="067FF3A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Coleta autônoma de lixo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  <w:vAlign w:val="center"/>
          </w:tcPr>
          <w:p w14:paraId="09DE512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Taxa de coleta sobre objetos detectados</w:t>
            </w:r>
            <w:r/>
            <w:r/>
          </w:p>
        </w:tc>
        <w:tc>
          <w:tcPr>
            <w:shd w:val="clear" w:color="ffffff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80" w:type="dxa"/>
          </w:tcPr>
          <w:p w14:paraId="0D57F7D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≥ 70%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  <w:vMerge w:val="restart"/>
          </w:tcPr>
          <w:p w14:paraId="23B12A83">
            <w:pPr>
              <w:pBdr/>
              <w:spacing/>
              <w:ind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Trajetórias acessíveis a parques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  <w:vAlign w:val="center"/>
            <w:vMerge w:val="restart"/>
          </w:tcPr>
          <w:p w14:paraId="467C94DE">
            <w:pPr>
              <w:pBdr/>
              <w:spacing/>
              <w:ind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Conclusão completa de um circuito fechado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</w:r>
          </w:p>
        </w:tc>
        <w:tc>
          <w:tcPr>
            <w:shd w:val="clear" w:color="ffffff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80" w:type="dxa"/>
            <w:vMerge w:val="restart"/>
          </w:tcPr>
          <w:p w14:paraId="390DB8B9"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Conclusão do circuito</w:t>
            </w: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</w:r>
          </w:p>
        </w:tc>
      </w:tr>
    </w:tbl>
    <w:p w14:paraId="363628B3"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  <w:r/>
    </w:p>
    <w:p w14:paraId="074099BE">
      <w:pPr>
        <w:pBdr/>
        <w:spacing w:after="60" w:before="12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1a3e6e"/>
          <w:sz w:val="20"/>
          <w:szCs w:val="20"/>
        </w:rPr>
        <w:t xml:space="preserve">Pré-requisitos para atingir o objetivo final:</w:t>
      </w:r>
      <w:r/>
      <w:r/>
    </w:p>
    <w:p w14:paraId="432A567D">
      <w:pPr>
        <w:pStyle w:val="737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Detecção de objetos com taxa mínima de 70% (incluindo objetos claros) — parcialmente atingido</w:t>
      </w:r>
      <w:r/>
      <w:r/>
    </w:p>
    <w:p w14:paraId="41CB070B">
      <w:pPr>
        <w:pStyle w:val="737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Construção e validação funcional da garra mecânica — pendente</w:t>
      </w:r>
      <w:r/>
      <w:r/>
    </w:p>
    <w:p w14:paraId="4B40F793">
      <w:pPr>
        <w:pStyle w:val="737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Integração da garra com o sistema de detecção — pendente</w:t>
      </w:r>
      <w:r/>
      <w:r/>
    </w:p>
    <w:p w14:paraId="510D15B7">
      <w:pPr>
        <w:pStyle w:val="737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Testes de coleta em circuito real ou simulado — pendente</w:t>
      </w:r>
      <w:r/>
      <w:r/>
    </w:p>
    <w:p w14:paraId="31A7F165">
      <w:pPr>
        <w:pBdr>
          <w:bottom w:val="single" w:color="1a3e6e" w:sz="6" w:space="0"/>
        </w:pBdr>
        <w:spacing w:after="100" w:before="300"/>
        <w:ind/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</w:p>
    <w:p>
      <w:pPr>
        <w:pBdr>
          <w:bottom w:val="single" w:color="1a3e6e" w:sz="6" w:space="1"/>
        </w:pBdr>
        <w:spacing w:after="100" w:before="300"/>
        <w:ind/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4. Consolidado por Semana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80"/>
        <w:gridCol w:w="1680"/>
      </w:tblGrid>
      <w:tr>
        <w:trPr>
          <w:tblHeader/>
        </w:trPr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Semana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KPIs Atingidos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KPIs Parciais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KPIs Não Atingidos</w:t>
            </w:r>
            <w:r/>
          </w:p>
        </w:tc>
        <w:tc>
          <w:tcPr>
            <w:shd w:val="clear" w:color="auto" w:fill="1a3e6e"/>
            <w:tcBorders>
              <w:top w:val="single" w:color="1a3e6e" w:sz="1" w:space="0"/>
              <w:left w:val="single" w:color="1a3e6e" w:sz="1" w:space="0"/>
              <w:bottom w:val="single" w:color="1a3e6e" w:sz="1" w:space="0"/>
              <w:right w:val="single" w:color="1a3e6e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Desempenho Geral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1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6b2f"/>
                <w:sz w:val="18"/>
                <w:szCs w:val="18"/>
              </w:rPr>
              <w:t xml:space="preserve">2 /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 /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 / 2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2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6b2f"/>
                <w:sz w:val="18"/>
                <w:szCs w:val="18"/>
              </w:rPr>
              <w:t xml:space="preserve">3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 / 3</w:t>
            </w:r>
            <w:r/>
          </w:p>
        </w:tc>
        <w:tc>
          <w:tcPr>
            <w:shd w:val="clear" w:color="auto" w:fill="e6f4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6b2f"/>
                <w:sz w:val="18"/>
                <w:szCs w:val="18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6b2f"/>
                <w:sz w:val="18"/>
                <w:szCs w:val="18"/>
              </w:rPr>
              <w:t xml:space="preserve">1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a5700"/>
                <w:sz w:val="18"/>
                <w:szCs w:val="18"/>
              </w:rPr>
              <w:t xml:space="preserve">1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8b1a1a"/>
                <w:sz w:val="18"/>
                <w:szCs w:val="18"/>
              </w:rPr>
              <w:t xml:space="preserve">1 / 3</w:t>
            </w:r>
            <w:r/>
          </w:p>
        </w:tc>
        <w:tc>
          <w:tcPr>
            <w:shd w:val="clear" w:color="auto" w:fill="fff8e1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a5700"/>
                <w:sz w:val="18"/>
                <w:szCs w:val="18"/>
              </w:rPr>
              <w:t xml:space="preserve">33%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Semana 4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6b2f"/>
                <w:sz w:val="18"/>
                <w:szCs w:val="18"/>
              </w:rPr>
              <w:t xml:space="preserve">1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22222"/>
                <w:sz w:val="18"/>
                <w:szCs w:val="18"/>
              </w:rPr>
              <w:t xml:space="preserve">0 / 3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8b1a1a"/>
                <w:sz w:val="18"/>
                <w:szCs w:val="18"/>
              </w:rPr>
              <w:t xml:space="preserve">2 / 3</w:t>
            </w:r>
            <w:r/>
          </w:p>
        </w:tc>
        <w:tc>
          <w:tcPr>
            <w:shd w:val="clear" w:color="auto" w:fill="fdece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 xml:space="preserve">33%</w:t>
            </w:r>
            <w:r/>
          </w:p>
        </w:tc>
      </w:tr>
      <w:tr>
        <w:trPr/>
        <w:tc>
          <w:tcPr>
            <w:shd w:val="clear" w:color="auto" w:fill="f0f4f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e6e"/>
                <w:sz w:val="18"/>
                <w:szCs w:val="18"/>
              </w:rPr>
              <w:t xml:space="preserve">TOTAL</w:t>
            </w:r>
            <w:r/>
          </w:p>
        </w:tc>
        <w:tc>
          <w:tcPr>
            <w:shd w:val="clear" w:color="auto" w:fill="f0f4f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6b2f"/>
                <w:sz w:val="18"/>
                <w:szCs w:val="18"/>
              </w:rPr>
              <w:t xml:space="preserve">7 / 11</w:t>
            </w:r>
            <w:r/>
          </w:p>
        </w:tc>
        <w:tc>
          <w:tcPr>
            <w:shd w:val="clear" w:color="auto" w:fill="f0f4f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a5700"/>
                <w:sz w:val="18"/>
                <w:szCs w:val="18"/>
              </w:rPr>
              <w:t xml:space="preserve">1 / 11</w:t>
            </w:r>
            <w:r/>
          </w:p>
        </w:tc>
        <w:tc>
          <w:tcPr>
            <w:shd w:val="clear" w:color="auto" w:fill="f0f4f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8b1a1a"/>
                <w:sz w:val="18"/>
                <w:szCs w:val="18"/>
              </w:rPr>
              <w:t xml:space="preserve">3 / 11</w:t>
            </w:r>
            <w:r/>
          </w:p>
        </w:tc>
        <w:tc>
          <w:tcPr>
            <w:shd w:val="clear" w:color="auto" w:fill="f0f4f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e6e"/>
                <w:sz w:val="18"/>
                <w:szCs w:val="18"/>
              </w:rPr>
              <w:t xml:space="preserve">64%</w:t>
            </w:r>
            <w:r/>
          </w:p>
        </w:tc>
      </w:tr>
    </w:tbl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p>
      <w:pPr>
        <w:pBdr>
          <w:bottom w:val="single" w:color="1a3e6e" w:sz="6" w:space="1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5. Análise dos Resultados</w:t>
      </w:r>
      <w:r/>
    </w:p>
    <w:p>
      <w:pPr>
        <w:pBdr/>
        <w:spacing w:after="60" w:before="16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1a3e6e"/>
          <w:sz w:val="20"/>
          <w:szCs w:val="20"/>
        </w:rPr>
        <w:t xml:space="preserve">Semanas 1 e 2 — Desempenho total: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Todos os KPIs foram atingidos nas semanas 1 e 2, demonstrando execução sólida nas etapas de modelagem do chassi e implementação do sensor de linha.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O robô superou a meta de circuitos fechados (5 concluídos vs. meta de 3), indicando estabilidade no seguimento de trajetória.</w:t>
      </w:r>
      <w:r/>
    </w:p>
    <w:p>
      <w:pPr>
        <w:pBdr/>
        <w:spacing w:after="60" w:before="16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7a5700"/>
          <w:sz w:val="20"/>
          <w:szCs w:val="20"/>
        </w:rPr>
        <w:t xml:space="preserve">Semana 3 — Desempenho parcial: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A detecção de objetos escuros atingiu a meta (91%). Porém, objetos de cor clara obtiveram apenas 48% de detecção, comprometendo o KPI geral da semana.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Ponto crítico: ajuste de sensibilidade do sensor para diferentes faixas de luminosidade é necessário.</w:t>
      </w:r>
      <w:r/>
    </w:p>
    <w:p>
      <w:pPr>
        <w:pBdr/>
        <w:spacing w:after="60" w:before="16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8b1a1a"/>
          <w:sz w:val="20"/>
          <w:szCs w:val="20"/>
        </w:rPr>
        <w:t xml:space="preserve">Semana 4 — Desempenho crítico: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A modelagem da garra foi concluída (100%), porém a construção física e os testes não foram realizados.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2 de 3 KPIs não foram atingidos, o que representa o maior gap de entrega do projeto.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p w14:paraId="68977D64">
      <w:pPr>
        <w:pBdr>
          <w:bottom w:val="single" w:color="1a3e6e" w:sz="6" w:space="0"/>
        </w:pBdr>
        <w:spacing w:after="100" w:before="300"/>
        <w:ind/>
        <w:rPr/>
      </w:pP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r>
    </w:p>
    <w:p>
      <w:pPr>
        <w:pBdr>
          <w:bottom w:val="single" w:color="1a3e6e" w:sz="6" w:space="1"/>
        </w:pBdr>
        <w:spacing w:after="100" w:before="300"/>
        <w:ind/>
        <w:rPr>
          <w:rFonts w:ascii="Arial" w:hAnsi="Arial" w:eastAsia="Arial" w:cs="Arial"/>
          <w:b/>
          <w:bCs/>
          <w:color w:val="1a3e6e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a3e6e"/>
          <w:sz w:val="24"/>
          <w:szCs w:val="24"/>
        </w:rPr>
        <w:t xml:space="preserve">6. Ações Corretivas Recomendadas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Calibrar o sensor de visão para melhor contraste com superfícies claras (Semana 3)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Retomar e concluir a construção física da garra na próxima iteração (Semana 4)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Realizar ao menos 1 teste funcional completo da garra após construção</w:t>
      </w:r>
      <w:r/>
    </w:p>
    <w:p>
      <w:pPr>
        <w:pStyle w:val="73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333333"/>
          <w:sz w:val="19"/>
          <w:szCs w:val="19"/>
        </w:rPr>
        <w:t xml:space="preserve">Revisar planejamento de tempo para etapas de construção física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00" w:right="1080" w:bottom="120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1"/>
      </w:pBdr>
      <w:tabs>
        <w:tab w:val="right" w:leader="none" w:pos="9026"/>
      </w:tabs>
      <w:spacing w:before="100"/>
      <w:ind/>
      <w:rPr/>
    </w:pPr>
    <w:r>
      <w:rPr>
        <w:rFonts w:ascii="Arial" w:hAnsi="Arial" w:eastAsia="Arial" w:cs="Arial"/>
        <w:color w:val="aaaaaa"/>
        <w:sz w:val="16"/>
        <w:szCs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a3e6e" w:sz="6" w:space="1"/>
      </w:pBdr>
      <w:tabs>
        <w:tab w:val="right" w:leader="none" w:pos="9026"/>
      </w:tabs>
      <w:spacing w:after="120"/>
      <w:ind/>
      <w:rPr/>
    </w:pPr>
    <w:r>
      <w:rPr>
        <w:rFonts w:ascii="Arial" w:hAnsi="Arial" w:eastAsia="Arial" w:cs="Arial"/>
        <w:b/>
        <w:bCs/>
        <w:color w:val="1a3e6e"/>
        <w:sz w:val="20"/>
        <w:szCs w:val="20"/>
      </w:rPr>
    </w:r>
    <w:r>
      <w:rPr>
        <w:rFonts w:ascii="Arial" w:hAnsi="Arial" w:eastAsia="Arial" w:cs="Arial"/>
        <w:color w:val="888888"/>
        <w:sz w:val="18"/>
        <w:szCs w:val="18"/>
      </w:rP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9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3">
    <w:name w:val="Heading 4"/>
    <w:qFormat/>
    <w:pPr>
      <w:pBdr/>
      <w:spacing/>
      <w:ind/>
    </w:pPr>
    <w:rPr>
      <w:i/>
      <w:iCs/>
      <w:color w:val="2e74b5"/>
    </w:rPr>
  </w:style>
  <w:style w:type="paragraph" w:styleId="734">
    <w:name w:val="Heading 5"/>
    <w:qFormat/>
    <w:pPr>
      <w:pBdr/>
      <w:spacing/>
      <w:ind/>
    </w:pPr>
    <w:rPr>
      <w:color w:val="2e74b5"/>
    </w:rPr>
  </w:style>
  <w:style w:type="paragraph" w:styleId="735">
    <w:name w:val="Heading 6"/>
    <w:qFormat/>
    <w:pPr>
      <w:pBdr/>
      <w:spacing/>
      <w:ind/>
    </w:pPr>
    <w:rPr>
      <w:color w:val="1f4d78"/>
    </w:rPr>
  </w:style>
  <w:style w:type="paragraph" w:styleId="736">
    <w:name w:val="Strong"/>
    <w:qFormat/>
    <w:pPr>
      <w:pBdr/>
      <w:spacing/>
      <w:ind/>
    </w:pPr>
    <w:rPr>
      <w:b/>
      <w:bCs/>
    </w:rPr>
  </w:style>
  <w:style w:type="paragraph" w:styleId="737">
    <w:name w:val="List Paragraph"/>
    <w:qFormat/>
    <w:pPr>
      <w:pBdr/>
      <w:spacing/>
      <w:ind/>
    </w:pPr>
  </w:style>
  <w:style w:type="character" w:styleId="7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foot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Foot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end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End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5">
    <w:name w:val="Heading 1"/>
    <w:qFormat/>
    <w:pPr>
      <w:pBdr/>
      <w:spacing w:after="160" w:before="300"/>
      <w:ind/>
      <w:outlineLvl w:val="0"/>
    </w:pPr>
    <w:rPr>
      <w:rFonts w:ascii="Arial" w:hAnsi="Arial" w:eastAsia="Arial" w:cs="Arial"/>
      <w:b/>
      <w:bCs/>
      <w:color w:val="1a3e6e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2026-05-19T23:13:04Z</dcterms:created>
  <dcterms:modified xsi:type="dcterms:W3CDTF">2026-05-19T23:31:47Z</dcterms:modified>
</cp:coreProperties>
</file>