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LedgerCraft: response to the Master Correction Specification</w:t>
      </w:r>
    </w:p>
    <w:p>
      <w:pPr>
        <w:pStyle w:val="BodyText"/>
        <w:bidi w:val="0"/>
        <w:jc w:val="left"/>
        <w:rPr/>
      </w:pPr>
      <w:r>
        <w:rPr>
          <w:b/>
        </w:rPr>
        <w:t>Stage:</w:t>
      </w:r>
      <w:r>
        <w:rPr/>
        <w:t xml:space="preserve"> plan only (section M of the specification: 'Before coding, return the implementation plan'). No code has been changed for this specification. Repository state inspected: branch </w:t>
      </w:r>
      <w:r>
        <w:rPr>
          <w:rStyle w:val="SourceText"/>
        </w:rPr>
        <w:t>LedgerCraft</w:t>
      </w:r>
      <w:r>
        <w:rPr/>
        <w:t xml:space="preserve">, commit </w:t>
      </w:r>
      <w:r>
        <w:rPr>
          <w:rStyle w:val="SourceText"/>
        </w:rPr>
        <w:t>02b3dc8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Method:</w:t>
      </w:r>
      <w:r>
        <w:rPr/>
        <w:t xml:space="preserve"> every issue was checked against the source (file, function and line quoted) and classified CONFIRMED, PARTLY CONFIRMED, ALREADY FIXED, or NEEDS LEGAL VERIFICATION.</w:t>
      </w:r>
    </w:p>
    <w:p>
      <w:pPr>
        <w:pStyle w:val="Heading2"/>
        <w:bidi w:val="0"/>
        <w:jc w:val="left"/>
        <w:rPr/>
      </w:pPr>
      <w:r>
        <w:rPr/>
        <w:t>1. Facts that shape this plan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Official legal sources cannot be reached from this build environment.</w:t>
      </w:r>
      <w:r>
        <w:rPr/>
        <w:t xml:space="preserve"> Tested today: incometaxindia.gov.in, mca.gov.in, icai.org, resource.cdn.icai.org, indiacode.nic.in, egazette.gov.in and cbic.gov.in all fail to connect. I therefore </w:t>
      </w:r>
      <w:r>
        <w:rPr>
          <w:b/>
        </w:rPr>
        <w:t>cannot</w:t>
      </w:r>
      <w:r>
        <w:rPr/>
        <w:t xml:space="preserve"> perform primary-source verification of any legal item. I will build the machinery for it and keep every item unverified; verification must be recorded by a person (you or a CA you appoint) from the official text.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16 of 40 rules are marked 'unverified'; the other 24 are internal accounting logic (arithmetic, integrity). All three format packs and the depreciation pack are marked draft.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Consequence of the specification as written: once the legal-readiness gate (LC-P0-001 / P0-013) is in place, </w:t>
      </w:r>
      <w:r>
        <w:rPr>
          <w:b/>
        </w:rPr>
        <w:t>no final signing copy can be produced for any client</w:t>
      </w:r>
      <w:r>
        <w:rPr/>
        <w:t xml:space="preserve"> until the applicable items have been verified and recorded. Drafts remain available. This is a product decision for you (Decision D1 below).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Real-world validation needs real (anonymised) books and exports from you; Windows VM, Microsoft Word and code-signing work need a Windows PC and a certificate. These are listed as items I cannot complete here.</w:t>
      </w:r>
    </w:p>
    <w:p>
      <w:pPr>
        <w:pStyle w:val="Heading2"/>
        <w:bidi w:val="0"/>
        <w:jc w:val="left"/>
        <w:rPr/>
      </w:pPr>
      <w:r>
        <w:rPr/>
        <w:t>2. Decisions needed from you before coding</w:t>
      </w:r>
    </w:p>
    <w:tbl>
      <w:tblPr>
        <w:tblW w:w="11339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65"/>
        <w:gridCol w:w="1507"/>
        <w:gridCol w:w="6475"/>
        <w:gridCol w:w="2992"/>
      </w:tblGrid>
      <w:tr>
        <w:trPr>
          <w:tblHeader w:val="true"/>
        </w:trPr>
        <w:tc>
          <w:tcPr>
            <w:tcW w:w="36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50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Decision</w:t>
            </w:r>
          </w:p>
        </w:tc>
        <w:tc>
          <w:tcPr>
            <w:tcW w:w="647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Options</w:t>
            </w:r>
          </w:p>
        </w:tc>
        <w:tc>
          <w:tcPr>
            <w:tcW w:w="29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My recommendation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  <w:tc>
          <w:tcPr>
            <w:tcW w:w="1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Signing while legal items are unverified</w:t>
            </w:r>
          </w:p>
        </w:tc>
        <w:tc>
          <w:tcPr>
            <w:tcW w:w="6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Block final copy until every applicable item is verified (spec preference). (b) Allow a final copy labelled 'non-authoritative: legal content not verified' on every page.</w:t>
            </w:r>
          </w:p>
        </w:tc>
        <w:tc>
          <w:tcPr>
            <w:tcW w:w="29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Block. Drafts stay available and say exactly which items are pending.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</w:t>
            </w:r>
          </w:p>
        </w:tc>
        <w:tc>
          <w:tcPr>
            <w:tcW w:w="1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Who records legal verification, and where</w:t>
            </w:r>
          </w:p>
        </w:tc>
        <w:tc>
          <w:tcPr>
            <w:tcW w:w="6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 An in-app 'Legal verification register' (expert screen): a person records authority, document, provision, official URL/identifier, effective dates, verified on, verified by. Stored outside the client folders; each record is bound to a hash of the exact item text, so any later change to the item voids the verification. (b) Verification only by editing pack files in the repository.</w:t>
            </w:r>
          </w:p>
        </w:tc>
        <w:tc>
          <w:tcPr>
            <w:tcW w:w="29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(a), with (b) also possible for shipping pre-verified packs later. The app will never mark anything verified by itself.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D3</w:t>
            </w:r>
          </w:p>
        </w:tc>
        <w:tc>
          <w:tcPr>
            <w:tcW w:w="1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Client folder IDs (LC-P1-009)</w:t>
            </w:r>
          </w:p>
        </w:tc>
        <w:tc>
          <w:tcPr>
            <w:tcW w:w="647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Move to a stable internal ID with the display name kept separately, migrating existing folders (with a backup copy first).</w:t>
            </w:r>
          </w:p>
        </w:tc>
        <w:tc>
          <w:tcPr>
            <w:tcW w:w="29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Yes, with backup and a one-time migration log entry.</w:t>
            </w:r>
          </w:p>
        </w:tc>
      </w:tr>
      <w:tr>
        <w:trPr/>
        <w:tc>
          <w:tcPr>
            <w:tcW w:w="36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D4</w:t>
            </w:r>
          </w:p>
        </w:tc>
        <w:tc>
          <w:tcPr>
            <w:tcW w:w="150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Order of work</w:t>
            </w:r>
          </w:p>
        </w:tc>
        <w:tc>
          <w:tcPr>
            <w:tcW w:w="647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Batches 1 to 9 below, P0 first.</w:t>
            </w:r>
          </w:p>
        </w:tc>
        <w:tc>
          <w:tcPr>
            <w:tcW w:w="29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listed; each batch ends with the full test suite and a commit.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Issue-by-issue findings</w:t>
      </w:r>
    </w:p>
    <w:tbl>
      <w:tblPr>
        <w:tblW w:w="11339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742"/>
        <w:gridCol w:w="1979"/>
        <w:gridCol w:w="1633"/>
        <w:gridCol w:w="3446"/>
        <w:gridCol w:w="3539"/>
      </w:tblGrid>
      <w:tr>
        <w:trPr>
          <w:tblHeader w:val="true"/>
        </w:trPr>
        <w:tc>
          <w:tcPr>
            <w:tcW w:w="742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197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Issue</w:t>
            </w:r>
          </w:p>
        </w:tc>
        <w:tc>
          <w:tcPr>
            <w:tcW w:w="163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Classification</w:t>
            </w:r>
          </w:p>
        </w:tc>
        <w:tc>
          <w:tcPr>
            <w:tcW w:w="344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Evidence in source</w:t>
            </w:r>
          </w:p>
        </w:tc>
        <w:tc>
          <w:tcPr>
            <w:tcW w:w="353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Planned change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LC-P0-001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Legal packs draft/unverified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A3262A"/>
              </w:rPr>
              <w:t>CONFIRMED</w:t>
            </w:r>
            <w:r>
              <w:rPr/>
              <w:t xml:space="preserve"> + </w:t>
            </w:r>
            <w:r>
              <w:rPr>
                <w:b/>
                <w:color w:val="5B3A9A"/>
              </w:rPr>
              <w:t>NEEDS LEGAL VERIFICATION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packs/rules.json (version 2026.10-draft; 16 rules 'unverified'); company_div1.json, llp.json, non_corporate.json ('status: draft'); depreciation.json ('verify against official text'). Provenance today is per rule (authority, document, section, verification) but has no official URL, verified_on, verified_by or content hash; format lines and depreciation rows have none.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Item-level provenance for every rule, format line, depreciation row, section mapping and tax-audit clause; verification overlay (D2); readiness function; signing gate (P0-013).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LC-P0-002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 26 is a renamed 3CD helper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lc-io/src/tax_audit.rs: comment 'Form 26 clause numbers are not yet mapped; the sheets carry the Form 3CD subject'; same sheet builders used for both forms, only file name and labels change.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TaxAuditSchema abstraction: schemas/form3cd.json and schemas/form26.json (Form 26 starts with zero mapped clauses). Helper for Form 26 periods titled 'Form 26 helper, not mapped'; 3CD clause numbers never shown as Form 26 clauses.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LC-P0-003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New-Act section numbers hardcoded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A3262A"/>
              </w:rPr>
              <w:t>CONFIRMED</w:t>
            </w:r>
            <w:r>
              <w:rPr/>
              <w:t xml:space="preserve"> + </w:t>
            </w:r>
            <w:r>
              <w:rPr>
                <w:b/>
                <w:color w:val="5B3A9A"/>
              </w:rPr>
              <w:t>NEEDS LEGAL VERIFICATION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rules.json old_ref/new_ref strings; app.js TAX_ITEMS (s.36, s.186, s.185, s.188, 'actual-cost rule'); tax_audit.rs sheet titles; depreciation s.33 vs s.34 conflict noted only in docs.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data file packs/sections.json (old provision, new provision, status, source). Unresolved entries render as 'Statutory reference pending primary-source verification'. All UI/report/workbook text reads from it. Effective-date tests.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LC-P0-004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Company 'Managerial remuneration' uses PARTNERS_REMUNERATION head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company_div1.json lines 210 and 226 use head PARTNERS_REMUNERATION.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canonical head MANAGERIAL_REMUNERATION for companies; mapping by entity type; ratios, cash flow and capital note updated; whether the line belongs on the face or in notes goes to the legal verification list (not assumed).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LC-P0-005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Formats share one generic skeleton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CONFIRMED (design)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three packs differ mainly in labels over the same internal heads.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Staged: (1) separate presentation schema per entity with its own line provenance and semantic heads (Batch 3); (2) richer canonical facts with dimensions (LC-P1-023) after correctness batches. Full rewrite avoided.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LC-P0-006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Cash wording too conclusive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checks/cash.rs line 105 and 162: '...attracts penalty'; line 149: 'Exclude this amount from the asset's cost for tax depreciation.'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Detection wording ('Potential threshold event detected; review scope, aggregation, exceptions and facts'). New finding fields: detection_basis, unknown_facts, possible_exceptions, legal_source, verification_status, professional_review_required.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LC-P0-007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Loan checks encode legal interpretation; 3CD wording in Form 26 periods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A3262A"/>
              </w:rPr>
              <w:t>CONFIRMED</w:t>
            </w:r>
            <w:r>
              <w:rPr/>
              <w:t xml:space="preserve"> + </w:t>
            </w:r>
            <w:r>
              <w:rPr>
                <w:b/>
                <w:color w:val="5B3A9A"/>
              </w:rPr>
              <w:t>NEEDS LEGAL VERIFICATION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checks/loans.rs lines 125, 147: 'Report in Form 3CD clause 31(a)/(b)' emitted regardless of year.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Regime-aware text from the tax-audit schema; predicates (acceptance, repayment, principal vs interest/TDS, journal, exemptions) moved to versioned rule data with status; each listed for verification.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LC-P0-008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Depreciation pack unverified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A3262A"/>
              </w:rPr>
              <w:t>CONFIRMED</w:t>
            </w:r>
            <w:r>
              <w:rPr/>
              <w:t xml:space="preserve"> + </w:t>
            </w:r>
            <w:r>
              <w:rPr>
                <w:b/>
                <w:color w:val="5B3A9A"/>
              </w:rPr>
              <w:t>NEEDS LEGAL VERIFICATION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depreciation.json status text; 13 book classes and 12 tax blocks have no per-row source or effective period.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Per-row provenance and effective periods; table chosen by period; regression test per row once verified.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LC-P0-009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Income-tax rates as book basis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far.rs: BookBasis::IncomeTaxRates (line 26) and used as a default in places (line 361).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Option kept but gated: explicit confirmation, shown in policies/FAR/statements, warning when it conflicts with the framework (once applicability is verified).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LC-P0-010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Cash flow without applicability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Cash flow is a plain on/off option.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Applicability result REQUIRED / NOT_REQUIRED / VOLUNTARY / REQUIRES_REVIEW / NOT_SUPPORTED with reason, source and period. Until rules are verified the result is REQUIRES_REVIEW; the UI never says 'required'.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LC-P0-011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Cash flow from balances and name heuristics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report/cashflow.rs line 18-23: interest income by ledger name containing 'interest'; PPE purchases from balance movement plus depreciation; tax paid = tax expense.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When a day book exists, derive from cash/bank transactions classified by the counter-ledger; otherwise balance method marked 'derived/estimated'. Tax paid from tax asset/provision movements; finance cost paid separate from expense; non-cash items flagged for review. Golden tests with known answers.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LC-P0-012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Ratio heuristics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>
                <w:b/>
                <w:color w:val="A3262A"/>
              </w:rPr>
              <w:t>CONFIRMED</w:t>
            </w:r>
            <w:r>
              <w:rPr/>
              <w:t xml:space="preserve"> + </w:t>
            </w:r>
            <w:r>
              <w:rPr>
                <w:b/>
                <w:color w:val="5B3A9A"/>
              </w:rPr>
              <w:t>NEEDS LEGAL VERIFICATION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ratios.rs lines 86-90: investment income by names (dividend, mutual fund, ' fd'); COGS simplified.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Formula provenance per ratio; numerator/denominator drill-down in UI; heuristic components flagged 'review'; zero/negative denominator and sign tests; 25% test unchanged in logic, formula to be verified.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LC-P0-013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Signing only checks accounting blockers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lc-io/src/export.rs lines 118-124: Signing refused only on 'printable' and report blockers.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LegalContentReadiness gate (depends on P0-001, P0-002, P0-008). Per D1.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LC-P1-001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Weak session token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server.rs line 169: RandomState + time + PID.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 random (getrandom), 256 bits, constant-time comparison, never logged.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LC-P1-002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Token accepted in URL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server.rs: token_ok accepts url.contains('t=token').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Header only for /api. Preview/download links that need a URL get a short-lived single-use ticket instead. Referrer-Policy: no-referrer.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LC-P1-003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 GiB body limit for every request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server.rs line 1248: take(1 &lt;&lt; 30).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Per-endpoint limits (JSON 2 MB; uploads 200 MB, streamed to a temp file); 413 on excess; tests with chunked bodies.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LC-P1-004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Origin/CSRF/DNS-rebinding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Binds 127.0.0.1; Host checked with starts_with ('127.0.0.1:' / 'localhost:'); token required; nosniff already sent (line 1287).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Exact Host parse with port match; Origin check on POST; CSP, frame-ancestors none, Referrer-Policy; hostile Host/Origin tests.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LC-P1-005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open-folder opens any directory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server.rs open_folder(path) line 132: any existing directory.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Canonicalise; allow only the data folder and its sub-folders; audit the action.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LC-P1-006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PID-based temp file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store.rs write_atomic line 41.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 temp name per call, same directory; fsync file and (Unix) directory; Windows replace via rename-over with retry; crash tests.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LC-P1-007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log truncation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Chain detects edits in the middle; whole-file deletion or truncation at the end is not detected.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Head hash and count stored in a checkpoint file and in every export manifest; warn if log is shorter than the checkpoint or missing; never start a fresh chain silently.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LC-P1-008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audit() drops bad lines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store.rs line 366: filter_map(...ok()).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audit() returns events plus corruption status; UI shows 'chain broken' with line numbers.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LC-P1-009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Slug collisions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store.rs slug(): different names can give the same folder.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Stable internal ID per client (D3), migration with backup, collision test.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LC-P1-010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Adversarial import tests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CONFIRMED (gap)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Readers use calamine 0.26; no adversarial suite.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Fixture suite: zip bombs, malformed workbooks, huge sheets, duplicate headers, formulas, hidden sheets, odd Unicode, bad dates, extreme values, malformed/deep XML, bad encodings, duplicate vouchers, CSV formula strings, broken zip.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LC-P1-011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Tally parser limits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lc-io/src/tally.rs has no size/depth/node limits.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Limits on bytes, depth, nodes, ledgers, vouchers; graceful errors; property/fuzz tests.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LC-P1-012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Formula injection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Excel outputs use write_string (stored as text, not formulas). CSV is written only for practice data; no CSV user export.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Regression tests with '=cmd|...' style names in every Excel output; prefix-quote in any CSV writer.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LC-P1-013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HTML output escaping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render/html.rs uses esc() 21 times; not audited exhaustively.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 every interpolation; XSS fixture test on the preview.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LC-P1-014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innerHTML in UI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app.js has 64 innerHTML assignments; esc() used for user text, not proven everywhere.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Inventory and classify all 64; replace risky ones; browser test with payloads in entity, ledger, narration, signatory and disclosure text.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LC-P1-015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Cache invalidation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server.rs keeps an analysis cache per client; 15 explicit invalidate() calls; a missed call would serve stale figures.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Key the cache by a hash of everything that affects analysis (inputs, settings, mapping, tags, adjustments, disclosures, period, branches, FAR, pins). Mutation-by-mutation tests.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LC-P1-016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GSTR-2B/26AS name matching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recon.rs line 109: name score &gt;= 0.6 accepted.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Identifier match = deterministic; exact name = suggested; fuzzy = review only with score and competing candidates; confirmations stored.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LC-P1-017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Greedy matching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recon.rs picks best unmatched portal party in order.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Tie/near-tie detection; global assignment for suggestions; confirmation for non-identifier matches; similar-name tests.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LC-P1-018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Bank matching too limited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bankrec.rs: same amount, date window (10 days), cheque number.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Tier 2 reference/UTR; Tier 3 one-to-many and many-to-one within limits (suggested only); Tier 4 manual matching; nothing ambiguous auto-confirmed.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LC-P1-019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Zero difference treated as proof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Unmatched lists exist; no method per match, stale items, duplicates, opening balance check.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those, plus stored confirmations.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LC-P1-020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Mock import tests not enough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stated in the report.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Needs real anonymised exports from you; status stays PARTLY until then. I will write the anonymisation procedure and fixture format.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LC-P1-021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Import provenance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Upload SHA-256 computed (server.rs line 421); no parser version, counts, warnings, rejected rows stored.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Import record per file with all listed fields; shown on Import screen; included in manifest.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LC-P1-022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Silent row drops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Readers skip total/blank rows by design; skipped rows are not reported.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reader returns accepted / skipped-with-reason / review rows; import diagnostic report.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LC-P1-023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Canonical fact granularity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CONFIRMED (design)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Heads in mapping.rs; dimensions only partly (MSME tag, ageing).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Typed dimensions (current/non-current, related party, secured, MSME, disputed, ageing, nature, counterparty, tax character, cash/non-cash, branch). After Batch 3.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LC-P1-024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Current/non-current inference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Split inferred from group/name.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Classification evidence; Suggested state; remembered confirmation; Review when context changes.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LC-P1-025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Ageing basis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ageing.rs: FIFO, aged from bill (transaction) date; due dates not used.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Disclose the method in the note and dashboard; warning that it is not due-date ageing; due-date ageing when bill-wise due dates are imported.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LC-P1-026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Inventory is not valuation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CONFIRMED (wording)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Stock taken from books.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Label 'book balance'; remove any wording implying valuation.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LC-P1-027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Deferred tax wording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report/policies.rs line 59: 'Deferred tax is recognised ... in accordance with AS 22' though nothing is computed.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Policy shown only when a deferred tax figure exists, otherwise a marked placeholder for the preparer.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LC-P1-028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 AS / XBRL not selectable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D6B46"/>
              </w:rPr>
            </w:pPr>
            <w:r>
              <w:rPr>
                <w:b/>
                <w:color w:val="1D6B46"/>
              </w:rPr>
              <w:t>ALREADY FIXED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such options in the UI or entity list.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an explicit 'Not supported' line where formats are listed.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LC-P2-001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Four-axis status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 uses one status tag.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Implementation / tests / legal verification / real-world validation, in the app's About screen and the generated report.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LC-P2-002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Why a rule fired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Findings carry ledger, voucher, date, amount and a suggestion; not threshold, aggregation, period, legal status, unknown facts.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the missing fields (shared with P0-006) and show them under each finding.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LC-P2-003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Severity names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Three levels: Must fix / Check / Note. Cash and loan items are 'Check' (warning), not blockers.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Five categories: Blocker (objective), Review (judgement), Warning, Info, Unverified law.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LC-P2-004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Self-correction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D6B46"/>
              </w:rPr>
            </w:pPr>
            <w:r>
              <w:rPr>
                <w:b/>
                <w:color w:val="1D6B46"/>
              </w:rPr>
              <w:t>ALREADY FIXED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silent changes exist; every change is a user action (truth model).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Keep; add a test that analysis never mutates inputs.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LC-P2-005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Final copy wording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'Final signing copy' used when accounting blockers close.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Use only when all five conditions hold; add 'This is not an audit report' wording.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LC-P2-006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UDIN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1D6B46"/>
              </w:rPr>
            </w:pPr>
            <w:r>
              <w:rPr>
                <w:b/>
                <w:color w:val="1D6B46"/>
              </w:rPr>
              <w:t>ALREADY FIXED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Paste-only, no validation, no authentication claim.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Keep.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LC-P2-007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AI privacy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endpoint 127.0.0.1:11434, but --ollama accepts any URL silently (main.rs line 48).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Show endpoint and what is sent; refuse non-local endpoints unless explicitly confirmed; switch to disable.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LC-P2-008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Manifest content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export-manifest.json holds file hashes only.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all listed items (inputs, mapping, adjustments, disclosures, packs, app version, audit head, mode, time, readiness).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LC-P2-009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Manifest attestation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Canonical JSON plus manifest.sha256.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LC-P2-010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 marking in all formats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PDF: DRAFT watermark (report.typ line 52); Excel: 'DRAFT' header; Word: footer 'Draft – for discussion only'; HTML: draft banner.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a visible DRAFT heading/watermark in Word and HTML body and Excel first rows; tests per format.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LC-P2-011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Word in Microsoft Word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CONFIRMED (gap)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Checked in LibreOffice only.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Structural golden tests here; Microsoft Word check needs a Windows PC (you).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LC-P2-012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Excel print setup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reviewed.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Print areas, fit-to-width, repeated headers; tests.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LC-P2-013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Installer validation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CONFIRMED (gap)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run on Windows.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checklist written; execution needs Windows 10/11 machines.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LC-P2-014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Code signing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333333"/>
              </w:rPr>
            </w:pPr>
            <w:r>
              <w:rPr>
                <w:b/>
                <w:color w:val="333333"/>
              </w:rPr>
              <w:t>CONFIRMED (gap)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Unsigned.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promise of a provider; document options and costs.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LC-P2-015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9A5B00"/>
              </w:rPr>
            </w:pPr>
            <w:r>
              <w:rPr>
                <w:b/>
                <w:color w:val="9A5B00"/>
              </w:rPr>
              <w:t>PARTLY 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Workflow exists (fmt, clippy, tests, bench, Windows build, installer) but has not run since 3 October.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Add pack schema validation, readiness report, artifact hashes, cargo audit; you enable Actions.</w:t>
            </w:r>
          </w:p>
        </w:tc>
      </w:tr>
      <w:tr>
        <w:trPr/>
        <w:tc>
          <w:tcPr>
            <w:tcW w:w="742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LC-P2-016</w:t>
            </w:r>
          </w:p>
        </w:tc>
        <w:tc>
          <w:tcPr>
            <w:tcW w:w="197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Case-clashing branch</w:t>
            </w:r>
          </w:p>
        </w:tc>
        <w:tc>
          <w:tcPr>
            <w:tcW w:w="163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  <w:color w:val="A3262A"/>
              </w:rPr>
            </w:pPr>
            <w:r>
              <w:rPr>
                <w:b/>
                <w:color w:val="A3262A"/>
              </w:rPr>
              <w:t>CONFIRMED</w:t>
            </w:r>
          </w:p>
        </w:tc>
        <w:tc>
          <w:tcPr>
            <w:tcW w:w="344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Lowercase 'ledgercraft' branch exists; my deletion attempt was refused by GitHub permissions.</w:t>
            </w:r>
          </w:p>
        </w:tc>
        <w:tc>
          <w:tcPr>
            <w:tcW w:w="353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You delete it on GitHub (Branches page).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Dependencies between issues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P0-013 (signing gate) depends on P0-001 (item provenance), P0-002 (tax-audit schema), P0-003 (section data), P0-008 (depreciation rows).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P0-006, P0-007 and P2-002 share the new finding fields; P2-003 severities change UI and tests together.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P0-004 needs the semantic-head change before P0-005 schemas are split.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P0-010 applicability and P0-009 basis gating both need the applicability engine (Batch 2).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P1-015 cache key and P2-008 manifest share one 'inputs fingerprint'.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P1-009 ID migration must run before any other storage format change (Batch 5 starts with it).</w:t>
      </w:r>
    </w:p>
    <w:p>
      <w:pPr>
        <w:pStyle w:val="Heading2"/>
        <w:bidi w:val="0"/>
        <w:jc w:val="left"/>
        <w:rPr/>
      </w:pPr>
      <w:r>
        <w:rPr/>
        <w:t>5. Implementation batches</w:t>
      </w:r>
    </w:p>
    <w:tbl>
      <w:tblPr>
        <w:tblW w:w="11339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553"/>
        <w:gridCol w:w="2217"/>
        <w:gridCol w:w="3918"/>
        <w:gridCol w:w="3651"/>
      </w:tblGrid>
      <w:tr>
        <w:trPr>
          <w:tblHeader w:val="true"/>
        </w:trPr>
        <w:tc>
          <w:tcPr>
            <w:tcW w:w="155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Batch</w:t>
            </w:r>
          </w:p>
        </w:tc>
        <w:tc>
          <w:tcPr>
            <w:tcW w:w="221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Issues</w:t>
            </w:r>
          </w:p>
        </w:tc>
        <w:tc>
          <w:tcPr>
            <w:tcW w:w="391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Main files</w:t>
            </w:r>
          </w:p>
        </w:tc>
        <w:tc>
          <w:tcPr>
            <w:tcW w:w="3651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Tests added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 Legal provenance and readiness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P0-001, P0-003, P0-013, P0-006, P0-007 (wording + fields), P2-001, P2-002, P2-003, P2-005, P1-027, P1-028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lc-core/src/legal.rs; packs/sections.json; rules.json schema; checks/cash.rs, loans.rs; rules.rs (Severity); export.rs; report/policies.rs; app UI (Legal verification register, readiness on Sign and export and dashboard)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applicable item enumerated per entity and year; signing blocked with any unverified item; verification voided when item text changes; no 'Form 3CD' text in Form 26 periods; unresolved section shows neutral text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 Accounting correctness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P0-004, P0-009, P0-010, P0-011, P0-012, P1-025, P1-026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mapping.rs (MANAGERIAL_REMUNERATION), packs, far.rs, report/cashflow.rs, ratios.rs, ageing.rs, new applicability.rs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cash-flow books with known answers; ratio zero/negative/sign tests; basis confirmation required; ageing method disclosed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 Schemas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P0-002, P0-005 (stage 1)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lc-io/src/tax_audit.rs → schema-driven; schemas/form3cd.json, form26.json; per-entity presentation schemas with line provenance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schema chosen by period; no 3CD number as Form 26 clause; each entity pack enumerable line by line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 Security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P1-001 to P1-005, P1-012 to P1-014, P2-007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lc-app/src/server.rs, main.rs, app.js, render/html.rs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token randomness and header-only; 413; hostile Host/Origin; folder outside data refused; XSS payload browser test; formula strings in Excel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 Storage and audit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P1-009 (migration), P1-006, P1-007, P1-008, P1-015, P2-008, P2-009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lc-app/src/store.rs, server.rs, lc-io/src/export.rs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slug collision; atomic write crash simulation; truncation detected; corrupt line reported; cache key per mutation; manifest fields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 Imports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P1-010, P1-011, P1-021, P1-022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lc-io read.rs, table.rs, tally.rs, portal.rs, zoho.rs; store import records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adversarial fixture suite; parser limits; diagnostic report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 Reconciliation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P1-016 to P1-019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lc-core/src/recon.rs, bankrec.rs; UI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identifier vs name tiers; ties; one-to-many suggestions never auto-confirmed; duplicate statement lines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 Outputs and release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P2-010, P2-011 (structural), P2-012, P2-015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renderers, CI workflow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draft marking per format; Excel page setup; CI pack validation</w:t>
            </w:r>
          </w:p>
        </w:tc>
      </w:tr>
      <w:tr>
        <w:trPr/>
        <w:tc>
          <w:tcPr>
            <w:tcW w:w="155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 Test corpus and report</w:t>
            </w:r>
          </w:p>
        </w:tc>
        <w:tc>
          <w:tcPr>
            <w:tcW w:w="221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J01 to J05, P1-023/024 groundwork; new four-axis build report</w:t>
            </w:r>
          </w:p>
        </w:tc>
        <w:tc>
          <w:tcPr>
            <w:tcW w:w="391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lc-testdata; docs/report</w:t>
            </w:r>
          </w:p>
        </w:tc>
        <w:tc>
          <w:tcPr>
            <w:tcW w:w="3651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books for all 7 entity types; adversarial books; property tests; performance metrics</w:t>
            </w:r>
          </w:p>
        </w:tc>
      </w:tr>
    </w:tbl>
    <w:p>
      <w:pPr>
        <w:pStyle w:val="Heading2"/>
        <w:bidi w:val="0"/>
        <w:jc w:val="left"/>
        <w:rPr/>
      </w:pPr>
      <w:r>
        <w:rPr/>
        <w:t>6. Schema and migration changes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rules.json, format packs, depreciation.json: new per-item provenance fields; pack version bumped. Pinned client years keep their old pack (reproducible); migration only by explicit user action with a diff and audit entry.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New packs/sections.json and schemas/form3cd.json, schemas/form26.json.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New user-level file legal-verifications.json (outside client folders), each record bound to an item id and content hash.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Client folders: stable internal ID (D3) with a backup copy before migration and an audit entry; old paths still readable.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Settings: book-depreciation basis confirmation flag; cash-flow applicability override (voluntary).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Finding JSON gains fields; old saved analyses are recomputed, not migrated.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Severity gains Review and Unverified-law categories; mapping of old to new is fixed and tested.</w:t>
      </w:r>
    </w:p>
    <w:p>
      <w:pPr>
        <w:pStyle w:val="Heading2"/>
        <w:bidi w:val="0"/>
        <w:jc w:val="left"/>
        <w:rPr/>
      </w:pPr>
      <w:r>
        <w:rPr/>
        <w:t>7. Items requiring official legal verification (by a person, from primary text)</w:t>
      </w:r>
    </w:p>
    <w:tbl>
      <w:tblPr>
        <w:tblW w:w="11339" w:type="dxa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950"/>
        <w:gridCol w:w="9389"/>
      </w:tblGrid>
      <w:tr>
        <w:trPr>
          <w:tblHeader w:val="true"/>
        </w:trPr>
        <w:tc>
          <w:tcPr>
            <w:tcW w:w="195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Area</w:t>
            </w:r>
          </w:p>
        </w:tc>
        <w:tc>
          <w:tcPr>
            <w:tcW w:w="938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shd w:fill="E3EFE8" w:val="clear"/>
              <w:bidi w:val="0"/>
              <w:spacing w:before="0" w:after="283"/>
              <w:jc w:val="left"/>
              <w:rPr/>
            </w:pPr>
            <w:r>
              <w:rPr/>
              <w:t>Items</w:t>
            </w:r>
          </w:p>
        </w:tc>
      </w:tr>
      <w:tr>
        <w:trPr/>
        <w:tc>
          <w:tcPr>
            <w:tcW w:w="1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Income-tax Act 2025 / Rules 2026</w:t>
            </w:r>
          </w:p>
        </w:tc>
        <w:tc>
          <w:tcPr>
            <w:tcW w:w="93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s.36 (cash payments) and sub-section; counterpart of old s.43(1) 6th proviso; depreciation section (33 or 34) and rate table; ss.185, 186, 188 (loans, receipts, repayments) including exceptions; s.63 and Rule 47; Form 26 clauses and fields</w:t>
            </w:r>
          </w:p>
        </w:tc>
      </w:tr>
      <w:tr>
        <w:trPr/>
        <w:tc>
          <w:tcPr>
            <w:tcW w:w="1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Income-tax Act 1961 (legacy years)</w:t>
            </w:r>
          </w:p>
        </w:tc>
        <w:tc>
          <w:tcPr>
            <w:tcW w:w="93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ss.40A(3), 43(1) proviso, 269SS, 269ST, 269T, Rule 6DD; Form 3CD clauses 18, 21(d), 26, 31(a)-(e), 34, 40, 44</w:t>
            </w:r>
          </w:p>
        </w:tc>
      </w:tr>
      <w:tr>
        <w:trPr/>
        <w:tc>
          <w:tcPr>
            <w:tcW w:w="1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Companies Act 2013</w:t>
            </w:r>
          </w:p>
        </w:tc>
        <w:tc>
          <w:tcPr>
            <w:tcW w:w="93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Schedule III Division I every line used, general instructions on rounding, ageing and ratio disclosures; Schedule II useful lives and residual value; cash-flow exemption (s.2(40)); managerial remuneration placement</w:t>
            </w:r>
          </w:p>
        </w:tc>
      </w:tr>
      <w:tr>
        <w:trPr/>
        <w:tc>
          <w:tcPr>
            <w:tcW w:w="195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ICAI</w:t>
            </w:r>
          </w:p>
        </w:tc>
        <w:tc>
          <w:tcPr>
            <w:tcW w:w="938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Guidance Note on Division I; Guidance Note on Non-Corporate Entities (every line) and its applicability announcement; Guidance Note on LLPs (every line); AS 3, AS 22 references</w:t>
            </w:r>
          </w:p>
        </w:tc>
      </w:tr>
      <w:tr>
        <w:trPr/>
        <w:tc>
          <w:tcPr>
            <w:tcW w:w="195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Other</w:t>
            </w:r>
          </w:p>
        </w:tc>
        <w:tc>
          <w:tcPr>
            <w:tcW w:w="938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Companies (Accounts) Rules rule 3(1) proviso; MSMED Act s.22 items; ratio formulas</w:t>
            </w:r>
          </w:p>
        </w:tc>
      </w:tr>
    </w:tbl>
    <w:p>
      <w:pPr>
        <w:pStyle w:val="BodyText"/>
        <w:bidi w:val="0"/>
        <w:jc w:val="left"/>
        <w:rPr/>
      </w:pPr>
      <w:r>
        <w:rPr/>
        <w:t>For each, the register will hold: authority, document title, provision/paragraph/table, official source identifier or URL, effective from/until, verified on, verified by, and the exact text it was compared with.</w:t>
      </w:r>
    </w:p>
    <w:p>
      <w:pPr>
        <w:pStyle w:val="Heading2"/>
        <w:bidi w:val="0"/>
        <w:jc w:val="left"/>
        <w:rPr/>
      </w:pPr>
      <w:r>
        <w:rPr/>
        <w:t>8. Items I will intentionally not change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Integer-paise money; immutable imports; overlay adjustments; mapping states; Given/Nil/Unknown disclosures; final-copy blockers; pinned packs; AI outside the trust boundary; hash-chained audit trail (hardened, not replaced); Rust workspace layout.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No new scope: Ind AS, XBRL, ITR export, deferred tax computation, inventory valuation, auto-updater, more AI features.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No legal item marked verified by me.</w:t>
      </w:r>
    </w:p>
    <w:p>
      <w:pPr>
        <w:pStyle w:val="Heading2"/>
        <w:bidi w:val="0"/>
        <w:jc w:val="left"/>
        <w:rPr/>
      </w:pPr>
      <w:r>
        <w:rPr/>
        <w:t>9. What I cannot complete in this environment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Primary-source legal verification (official sites unreachable; and the spec requires a human verifier record).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Real-world validation with real Tally, BUSY, Zoho, bank, GST and TRACES files (needs anonymised samples from you).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Windows 10/11 installer matrix, Microsoft Word check, SmartScreen behaviour (needs Windows PCs).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Code signing (needs a certificate and a decision).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Deleting the lowercase GitHub branch and enabling GitHub Actions (needs your GitHub access).</w:t>
      </w:r>
    </w:p>
    <w:p>
      <w:pPr>
        <w:pStyle w:val="Heading2"/>
        <w:bidi w:val="0"/>
        <w:jc w:val="left"/>
        <w:rPr/>
      </w:pPr>
      <w:r>
        <w:rPr/>
        <w:t>10. After coding, you will receive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complete diff summary per batch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tests run and results, unresolved failures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legal items still unverified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migrations performed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screenshots of changed screens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 new source-generated report with the four status axes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updated verification register and known limitations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no status upgraded without evidence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auto"/>
    <w:pitch w:val="default"/>
  </w:font>
  <w:font w:name="Noto Sans">
    <w:charset w:val="00"/>
    <w:family w:val="auto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Arial;sans-serif" w:hAnsi="Liberation Sans;Arial;sans-serif" w:eastAsia="Liberation Sans;Arial;sans-serif" w:cs="Liberation Sans;Arial;sans-serif"/>
      <w:color w:val="1D2420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4402C"/>
      <w:sz w:val="38"/>
      <w:szCs w:val="38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9FB8AA"/>
      </w:pBdr>
      <w:spacing w:before="360" w:after="120"/>
      <w:outlineLvl w:val="1"/>
    </w:pPr>
    <w:rPr>
      <w:rFonts w:ascii="Liberation Serif" w:hAnsi="Liberation Serif" w:eastAsia="WenQuanYi Zen Hei" w:cs="FreeSans"/>
      <w:b/>
      <w:bCs/>
      <w:color w:val="14402C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  <w:sz w:val="17"/>
      <w:szCs w:val="17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3EFE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LedgerCraft correction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