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7D6608"/>
          <w:sz w:val="36"/>
        </w:rPr>
        <w:t>SCHOOL PROJECT REVIEW NOTES</w:t>
      </w:r>
    </w:p>
    <w:p>
      <w:pPr>
        <w:spacing w:after="320"/>
      </w:pPr>
      <w:r>
        <w:rPr>
          <w:rFonts w:ascii="Arial" w:hAnsi="Arial"/>
          <w:i/>
          <w:color w:val="7F8C8D"/>
          <w:sz w:val="20"/>
        </w:rPr>
        <w:t>Academic Design Pieces &amp; MFA Thesis Layout Evaluation</w:t>
      </w:r>
    </w:p>
    <w:p>
      <w:pPr>
        <w:spacing w:after="280"/>
        <w:ind w:left="288" w:right="288"/>
      </w:pPr>
      <w:r>
        <w:rPr>
          <w:rFonts w:ascii="Arial" w:hAnsi="Arial"/>
          <w:color w:val="6E2C00"/>
          <w:sz w:val="19"/>
        </w:rPr>
        <w:t>ACADEMIC PURPOSES ONLY: This document compiles internal evaluation logs for student design matrices, thesis publications, and classroom visual portfolio builds. These entries track baseline layout formatting, typographic scaling, and print margins to verify institutional compliance before final grading and archiving.</w:t>
      </w:r>
    </w:p>
    <w:p>
      <w:pPr>
        <w:keepNext/>
        <w:spacing w:before="240" w:after="80"/>
      </w:pPr>
      <w:r>
        <w:rPr>
          <w:rFonts w:ascii="Georgia" w:hAnsi="Georgia"/>
          <w:b/>
          <w:color w:val="7D6608"/>
          <w:sz w:val="26"/>
        </w:rPr>
        <w:t>1. Thesis &amp; Academic Capstone Matrix</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016"/>
            <w:tcMar>
              <w:top w:w="100" w:type="dxa"/>
              <w:bottom w:w="100" w:type="dxa"/>
              <w:left w:w="120" w:type="dxa"/>
              <w:right w:w="120" w:type="dxa"/>
            </w:tcMar>
            <w:shd w:val="clear" w:color="auto" w:fill="7D6608"/>
          </w:tcPr>
          <w:p>
            <w:pPr>
              <w:spacing w:before="0" w:after="0"/>
            </w:pPr>
            <w:r>
              <w:rPr>
                <w:rFonts w:ascii="Arial" w:hAnsi="Arial"/>
                <w:b/>
                <w:color w:val="FFFFFF"/>
                <w:sz w:val="19"/>
              </w:rPr>
              <w:t>Project/Thesis ID</w:t>
            </w:r>
          </w:p>
        </w:tc>
        <w:tc>
          <w:tcPr>
            <w:tcW w:type="dxa" w:w="2592"/>
            <w:tcMar>
              <w:top w:w="100" w:type="dxa"/>
              <w:bottom w:w="100" w:type="dxa"/>
              <w:left w:w="120" w:type="dxa"/>
              <w:right w:w="120" w:type="dxa"/>
            </w:tcMar>
            <w:shd w:val="clear" w:color="auto" w:fill="7D6608"/>
          </w:tcPr>
          <w:p>
            <w:pPr>
              <w:spacing w:before="0" w:after="0"/>
            </w:pPr>
            <w:r>
              <w:rPr>
                <w:rFonts w:ascii="Arial" w:hAnsi="Arial"/>
                <w:b/>
                <w:color w:val="FFFFFF"/>
                <w:sz w:val="19"/>
              </w:rPr>
              <w:t>Student Asset Title</w:t>
            </w:r>
          </w:p>
        </w:tc>
        <w:tc>
          <w:tcPr>
            <w:tcW w:type="dxa" w:w="2592"/>
            <w:tcMar>
              <w:top w:w="100" w:type="dxa"/>
              <w:bottom w:w="100" w:type="dxa"/>
              <w:left w:w="120" w:type="dxa"/>
              <w:right w:w="120" w:type="dxa"/>
            </w:tcMar>
            <w:shd w:val="clear" w:color="auto" w:fill="7D6608"/>
          </w:tcPr>
          <w:p>
            <w:pPr>
              <w:spacing w:before="0" w:after="0"/>
            </w:pPr>
            <w:r>
              <w:rPr>
                <w:rFonts w:ascii="Arial" w:hAnsi="Arial"/>
                <w:b/>
                <w:color w:val="FFFFFF"/>
                <w:sz w:val="19"/>
              </w:rPr>
              <w:t>Design Focus</w:t>
            </w:r>
          </w:p>
        </w:tc>
        <w:tc>
          <w:tcPr>
            <w:tcW w:type="dxa" w:w="2016"/>
            <w:tcMar>
              <w:top w:w="100" w:type="dxa"/>
              <w:bottom w:w="100" w:type="dxa"/>
              <w:left w:w="120" w:type="dxa"/>
              <w:right w:w="120" w:type="dxa"/>
            </w:tcMar>
            <w:shd w:val="clear" w:color="auto" w:fill="7D6608"/>
          </w:tcPr>
          <w:p>
            <w:pPr>
              <w:spacing w:before="0" w:after="0"/>
            </w:pPr>
            <w:r>
              <w:rPr>
                <w:rFonts w:ascii="Arial" w:hAnsi="Arial"/>
                <w:b/>
                <w:color w:val="FFFFFF"/>
                <w:sz w:val="19"/>
              </w:rPr>
              <w:t>Layout Review Status</w:t>
            </w:r>
          </w:p>
        </w:tc>
        <w:tc>
          <w:tcPr>
            <w:tcW w:type="dxa" w:w="2016"/>
            <w:tcMar>
              <w:top w:w="100" w:type="dxa"/>
              <w:bottom w:w="100" w:type="dxa"/>
              <w:left w:w="120" w:type="dxa"/>
              <w:right w:w="120" w:type="dxa"/>
            </w:tcMar>
            <w:shd w:val="clear" w:color="auto" w:fill="7D6608"/>
          </w:tcPr>
          <w:p>
            <w:pPr>
              <w:spacing w:before="0" w:after="0"/>
            </w:pPr>
            <w:r>
              <w:rPr>
                <w:rFonts w:ascii="Arial" w:hAnsi="Arial"/>
                <w:b/>
                <w:color w:val="FFFFFF"/>
                <w:sz w:val="19"/>
              </w:rPr>
              <w:t>Advisor Grade Marker</w:t>
            </w:r>
          </w:p>
        </w:tc>
      </w:tr>
      <w:tr>
        <w:trPr>
          <w:cantSplit/>
        </w:trPr>
        <w:tc>
          <w:tcPr>
            <w:tcW w:type="dxa" w:w="2016"/>
            <w:tcMar>
              <w:top w:w="100" w:type="dxa"/>
              <w:bottom w:w="100" w:type="dxa"/>
              <w:left w:w="120" w:type="dxa"/>
              <w:right w:w="120" w:type="dxa"/>
            </w:tcMar>
          </w:tcPr>
          <w:p>
            <w:pPr>
              <w:spacing w:before="0" w:after="0"/>
            </w:pPr>
            <w:r>
              <w:rPr>
                <w:rFonts w:ascii="Arial" w:hAnsi="Arial"/>
                <w:sz w:val="18"/>
              </w:rPr>
              <w:t>THESIS-2026-A1</w:t>
            </w:r>
          </w:p>
        </w:tc>
        <w:tc>
          <w:tcPr>
            <w:tcW w:type="dxa" w:w="2592"/>
            <w:tcMar>
              <w:top w:w="100" w:type="dxa"/>
              <w:bottom w:w="100" w:type="dxa"/>
              <w:left w:w="120" w:type="dxa"/>
              <w:right w:w="120" w:type="dxa"/>
            </w:tcMar>
          </w:tcPr>
          <w:p>
            <w:pPr>
              <w:spacing w:before="0" w:after="0"/>
            </w:pPr>
            <w:r>
              <w:rPr>
                <w:rFonts w:ascii="Arial" w:hAnsi="Arial"/>
                <w:sz w:val="18"/>
              </w:rPr>
              <w:t>Urban_Density_Mapping.pdf</w:t>
            </w:r>
          </w:p>
        </w:tc>
        <w:tc>
          <w:tcPr>
            <w:tcW w:type="dxa" w:w="2592"/>
            <w:tcMar>
              <w:top w:w="100" w:type="dxa"/>
              <w:bottom w:w="100" w:type="dxa"/>
              <w:left w:w="120" w:type="dxa"/>
              <w:right w:w="120" w:type="dxa"/>
            </w:tcMar>
          </w:tcPr>
          <w:p>
            <w:pPr>
              <w:spacing w:before="0" w:after="0"/>
            </w:pPr>
            <w:r>
              <w:rPr>
                <w:rFonts w:ascii="Arial" w:hAnsi="Arial"/>
                <w:sz w:val="18"/>
              </w:rPr>
              <w:t>Data Visualization &amp; GIS Grids</w:t>
            </w:r>
          </w:p>
        </w:tc>
        <w:tc>
          <w:tcPr>
            <w:tcW w:type="dxa" w:w="2016"/>
            <w:tcMar>
              <w:top w:w="100" w:type="dxa"/>
              <w:bottom w:w="100" w:type="dxa"/>
              <w:left w:w="120" w:type="dxa"/>
              <w:right w:w="120" w:type="dxa"/>
            </w:tcMar>
          </w:tcPr>
          <w:p>
            <w:pPr>
              <w:spacing w:before="0" w:after="0"/>
            </w:pPr>
            <w:r>
              <w:rPr>
                <w:rFonts w:ascii="Arial" w:hAnsi="Arial"/>
                <w:b/>
                <w:color w:val="196F3D"/>
                <w:sz w:val="18"/>
              </w:rPr>
              <w:t>Passed / Complete</w:t>
            </w:r>
          </w:p>
        </w:tc>
        <w:tc>
          <w:tcPr>
            <w:tcW w:type="dxa" w:w="2016"/>
            <w:tcMar>
              <w:top w:w="100" w:type="dxa"/>
              <w:bottom w:w="100" w:type="dxa"/>
              <w:left w:w="120" w:type="dxa"/>
              <w:right w:w="120" w:type="dxa"/>
            </w:tcMar>
          </w:tcPr>
          <w:p>
            <w:pPr>
              <w:spacing w:before="0" w:after="0"/>
            </w:pPr>
            <w:r>
              <w:rPr>
                <w:rFonts w:ascii="Arial" w:hAnsi="Arial"/>
                <w:sz w:val="18"/>
              </w:rPr>
              <w:t>High Distinction</w:t>
            </w:r>
          </w:p>
        </w:tc>
      </w:tr>
      <w:tr>
        <w:trPr>
          <w:cantSplit/>
        </w:trPr>
        <w:tc>
          <w:tcPr>
            <w:tcW w:type="dxa" w:w="2016"/>
            <w:tcMar>
              <w:top w:w="100" w:type="dxa"/>
              <w:bottom w:w="100" w:type="dxa"/>
              <w:left w:w="120" w:type="dxa"/>
              <w:right w:w="120" w:type="dxa"/>
            </w:tcMar>
            <w:shd w:val="clear" w:color="auto" w:fill="FEF9E7"/>
          </w:tcPr>
          <w:p>
            <w:pPr>
              <w:spacing w:before="0" w:after="0"/>
            </w:pPr>
            <w:r>
              <w:rPr>
                <w:rFonts w:ascii="Arial" w:hAnsi="Arial"/>
                <w:sz w:val="18"/>
              </w:rPr>
              <w:t>THESIS-2026-A2</w:t>
            </w:r>
          </w:p>
        </w:tc>
        <w:tc>
          <w:tcPr>
            <w:tcW w:type="dxa" w:w="2592"/>
            <w:tcMar>
              <w:top w:w="100" w:type="dxa"/>
              <w:bottom w:w="100" w:type="dxa"/>
              <w:left w:w="120" w:type="dxa"/>
              <w:right w:w="120" w:type="dxa"/>
            </w:tcMar>
            <w:shd w:val="clear" w:color="auto" w:fill="FEF9E7"/>
          </w:tcPr>
          <w:p>
            <w:pPr>
              <w:spacing w:before="0" w:after="0"/>
            </w:pPr>
            <w:r>
              <w:rPr>
                <w:rFonts w:ascii="Arial" w:hAnsi="Arial"/>
                <w:sz w:val="18"/>
              </w:rPr>
              <w:t>Typography_Evolution_Book.pdf</w:t>
            </w:r>
          </w:p>
        </w:tc>
        <w:tc>
          <w:tcPr>
            <w:tcW w:type="dxa" w:w="2592"/>
            <w:tcMar>
              <w:top w:w="100" w:type="dxa"/>
              <w:bottom w:w="100" w:type="dxa"/>
              <w:left w:w="120" w:type="dxa"/>
              <w:right w:w="120" w:type="dxa"/>
            </w:tcMar>
            <w:shd w:val="clear" w:color="auto" w:fill="FEF9E7"/>
          </w:tcPr>
          <w:p>
            <w:pPr>
              <w:spacing w:before="0" w:after="0"/>
            </w:pPr>
            <w:r>
              <w:rPr>
                <w:rFonts w:ascii="Arial" w:hAnsi="Arial"/>
                <w:sz w:val="18"/>
              </w:rPr>
              <w:t>Micro-Typography Editorial Layout</w:t>
            </w:r>
          </w:p>
        </w:tc>
        <w:tc>
          <w:tcPr>
            <w:tcW w:type="dxa" w:w="2016"/>
            <w:tcMar>
              <w:top w:w="100" w:type="dxa"/>
              <w:bottom w:w="100" w:type="dxa"/>
              <w:left w:w="120" w:type="dxa"/>
              <w:right w:w="120" w:type="dxa"/>
            </w:tcMar>
            <w:shd w:val="clear" w:color="auto" w:fill="FEF9E7"/>
          </w:tcPr>
          <w:p>
            <w:pPr>
              <w:spacing w:before="0" w:after="0"/>
            </w:pPr>
            <w:r>
              <w:rPr>
                <w:rFonts w:ascii="Arial" w:hAnsi="Arial"/>
                <w:i/>
                <w:color w:val="922B21"/>
                <w:sz w:val="18"/>
              </w:rPr>
              <w:t>Revisions Required</w:t>
            </w:r>
          </w:p>
        </w:tc>
        <w:tc>
          <w:tcPr>
            <w:tcW w:type="dxa" w:w="2016"/>
            <w:tcMar>
              <w:top w:w="100" w:type="dxa"/>
              <w:bottom w:w="100" w:type="dxa"/>
              <w:left w:w="120" w:type="dxa"/>
              <w:right w:w="120" w:type="dxa"/>
            </w:tcMar>
            <w:shd w:val="clear" w:color="auto" w:fill="FEF9E7"/>
          </w:tcPr>
          <w:p>
            <w:pPr>
              <w:spacing w:before="0" w:after="0"/>
            </w:pPr>
            <w:r>
              <w:rPr>
                <w:rFonts w:ascii="Arial" w:hAnsi="Arial"/>
                <w:sz w:val="18"/>
              </w:rPr>
              <w:t>Pending Re-submit</w:t>
            </w:r>
          </w:p>
        </w:tc>
      </w:tr>
      <w:tr>
        <w:trPr>
          <w:cantSplit/>
        </w:trPr>
        <w:tc>
          <w:tcPr>
            <w:tcW w:type="dxa" w:w="2016"/>
            <w:tcMar>
              <w:top w:w="100" w:type="dxa"/>
              <w:bottom w:w="100" w:type="dxa"/>
              <w:left w:w="120" w:type="dxa"/>
              <w:right w:w="120" w:type="dxa"/>
            </w:tcMar>
          </w:tcPr>
          <w:p>
            <w:pPr>
              <w:spacing w:before="0" w:after="0"/>
            </w:pPr>
            <w:r>
              <w:rPr>
                <w:rFonts w:ascii="Arial" w:hAnsi="Arial"/>
                <w:sz w:val="18"/>
              </w:rPr>
              <w:t>THESIS-2026-A3</w:t>
            </w:r>
          </w:p>
        </w:tc>
        <w:tc>
          <w:tcPr>
            <w:tcW w:type="dxa" w:w="2592"/>
            <w:tcMar>
              <w:top w:w="100" w:type="dxa"/>
              <w:bottom w:w="100" w:type="dxa"/>
              <w:left w:w="120" w:type="dxa"/>
              <w:right w:w="120" w:type="dxa"/>
            </w:tcMar>
          </w:tcPr>
          <w:p>
            <w:pPr>
              <w:spacing w:before="0" w:after="0"/>
            </w:pPr>
            <w:r>
              <w:rPr>
                <w:rFonts w:ascii="Arial" w:hAnsi="Arial"/>
                <w:sz w:val="18"/>
              </w:rPr>
              <w:t>Eco_Identity_System.png</w:t>
            </w:r>
          </w:p>
        </w:tc>
        <w:tc>
          <w:tcPr>
            <w:tcW w:type="dxa" w:w="2592"/>
            <w:tcMar>
              <w:top w:w="100" w:type="dxa"/>
              <w:bottom w:w="100" w:type="dxa"/>
              <w:left w:w="120" w:type="dxa"/>
              <w:right w:w="120" w:type="dxa"/>
            </w:tcMar>
          </w:tcPr>
          <w:p>
            <w:pPr>
              <w:spacing w:before="0" w:after="0"/>
            </w:pPr>
            <w:r>
              <w:rPr>
                <w:rFonts w:ascii="Arial" w:hAnsi="Arial"/>
                <w:sz w:val="18"/>
              </w:rPr>
              <w:t>Sustainable Brand Mark Architecture</w:t>
            </w:r>
          </w:p>
        </w:tc>
        <w:tc>
          <w:tcPr>
            <w:tcW w:type="dxa" w:w="2016"/>
            <w:tcMar>
              <w:top w:w="100" w:type="dxa"/>
              <w:bottom w:w="100" w:type="dxa"/>
              <w:left w:w="120" w:type="dxa"/>
              <w:right w:w="120" w:type="dxa"/>
            </w:tcMar>
          </w:tcPr>
          <w:p>
            <w:pPr>
              <w:spacing w:before="0" w:after="0"/>
            </w:pPr>
            <w:r>
              <w:rPr>
                <w:rFonts w:ascii="Arial" w:hAnsi="Arial"/>
                <w:b/>
                <w:color w:val="196F3D"/>
                <w:sz w:val="18"/>
              </w:rPr>
              <w:t>Passed / Complete</w:t>
            </w:r>
          </w:p>
        </w:tc>
        <w:tc>
          <w:tcPr>
            <w:tcW w:type="dxa" w:w="2016"/>
            <w:tcMar>
              <w:top w:w="100" w:type="dxa"/>
              <w:bottom w:w="100" w:type="dxa"/>
              <w:left w:w="120" w:type="dxa"/>
              <w:right w:w="120" w:type="dxa"/>
            </w:tcMar>
          </w:tcPr>
          <w:p>
            <w:pPr>
              <w:spacing w:before="0" w:after="0"/>
            </w:pPr>
            <w:r>
              <w:rPr>
                <w:rFonts w:ascii="Arial" w:hAnsi="Arial"/>
                <w:sz w:val="18"/>
              </w:rPr>
              <w:t>Pass with Merit</w:t>
            </w:r>
          </w:p>
        </w:tc>
      </w:tr>
      <w:tr>
        <w:trPr>
          <w:cantSplit/>
        </w:trPr>
        <w:tc>
          <w:tcPr>
            <w:tcW w:type="dxa" w:w="2016"/>
            <w:tcMar>
              <w:top w:w="100" w:type="dxa"/>
              <w:bottom w:w="100" w:type="dxa"/>
              <w:left w:w="120" w:type="dxa"/>
              <w:right w:w="120" w:type="dxa"/>
            </w:tcMar>
            <w:shd w:val="clear" w:color="auto" w:fill="FEF9E7"/>
          </w:tcPr>
          <w:p>
            <w:pPr>
              <w:spacing w:before="0" w:after="0"/>
            </w:pPr>
            <w:r>
              <w:rPr>
                <w:rFonts w:ascii="Arial" w:hAnsi="Arial"/>
                <w:sz w:val="18"/>
              </w:rPr>
              <w:t>THESIS-2026-A4</w:t>
            </w:r>
          </w:p>
        </w:tc>
        <w:tc>
          <w:tcPr>
            <w:tcW w:type="dxa" w:w="2592"/>
            <w:tcMar>
              <w:top w:w="100" w:type="dxa"/>
              <w:bottom w:w="100" w:type="dxa"/>
              <w:left w:w="120" w:type="dxa"/>
              <w:right w:w="120" w:type="dxa"/>
            </w:tcMar>
            <w:shd w:val="clear" w:color="auto" w:fill="FEF9E7"/>
          </w:tcPr>
          <w:p>
            <w:pPr>
              <w:spacing w:before="0" w:after="0"/>
            </w:pPr>
            <w:r>
              <w:rPr>
                <w:rFonts w:ascii="Arial" w:hAnsi="Arial"/>
                <w:sz w:val="18"/>
              </w:rPr>
              <w:t>Kinetic_Title_Sequence.mp4</w:t>
            </w:r>
          </w:p>
        </w:tc>
        <w:tc>
          <w:tcPr>
            <w:tcW w:type="dxa" w:w="2592"/>
            <w:tcMar>
              <w:top w:w="100" w:type="dxa"/>
              <w:bottom w:w="100" w:type="dxa"/>
              <w:left w:w="120" w:type="dxa"/>
              <w:right w:w="120" w:type="dxa"/>
            </w:tcMar>
            <w:shd w:val="clear" w:color="auto" w:fill="FEF9E7"/>
          </w:tcPr>
          <w:p>
            <w:pPr>
              <w:spacing w:before="0" w:after="0"/>
            </w:pPr>
            <w:r>
              <w:rPr>
                <w:rFonts w:ascii="Arial" w:hAnsi="Arial"/>
                <w:sz w:val="18"/>
              </w:rPr>
              <w:t>Motion Framework Aspect Testing</w:t>
            </w:r>
          </w:p>
        </w:tc>
        <w:tc>
          <w:tcPr>
            <w:tcW w:type="dxa" w:w="2016"/>
            <w:tcMar>
              <w:top w:w="100" w:type="dxa"/>
              <w:bottom w:w="100" w:type="dxa"/>
              <w:left w:w="120" w:type="dxa"/>
              <w:right w:w="120" w:type="dxa"/>
            </w:tcMar>
            <w:shd w:val="clear" w:color="auto" w:fill="FEF9E7"/>
          </w:tcPr>
          <w:p>
            <w:pPr>
              <w:spacing w:before="0" w:after="0"/>
            </w:pPr>
            <w:r>
              <w:rPr>
                <w:rFonts w:ascii="Arial" w:hAnsi="Arial"/>
                <w:b/>
                <w:color w:val="196F3D"/>
                <w:sz w:val="18"/>
              </w:rPr>
              <w:t>Passed / Complete</w:t>
            </w:r>
          </w:p>
        </w:tc>
        <w:tc>
          <w:tcPr>
            <w:tcW w:type="dxa" w:w="2016"/>
            <w:tcMar>
              <w:top w:w="100" w:type="dxa"/>
              <w:bottom w:w="100" w:type="dxa"/>
              <w:left w:w="120" w:type="dxa"/>
              <w:right w:w="120" w:type="dxa"/>
            </w:tcMar>
            <w:shd w:val="clear" w:color="auto" w:fill="FEF9E7"/>
          </w:tcPr>
          <w:p>
            <w:pPr>
              <w:spacing w:before="0" w:after="0"/>
            </w:pPr>
            <w:r>
              <w:rPr>
                <w:rFonts w:ascii="Arial" w:hAnsi="Arial"/>
                <w:sz w:val="18"/>
              </w:rPr>
              <w:t>High Distinction</w:t>
            </w:r>
          </w:p>
        </w:tc>
      </w:tr>
      <w:tr>
        <w:trPr>
          <w:cantSplit/>
        </w:trPr>
        <w:tc>
          <w:tcPr>
            <w:tcW w:type="dxa" w:w="2016"/>
            <w:tcMar>
              <w:top w:w="100" w:type="dxa"/>
              <w:bottom w:w="100" w:type="dxa"/>
              <w:left w:w="120" w:type="dxa"/>
              <w:right w:w="120" w:type="dxa"/>
            </w:tcMar>
          </w:tcPr>
          <w:p>
            <w:pPr>
              <w:spacing w:before="0" w:after="0"/>
            </w:pPr>
            <w:r>
              <w:rPr>
                <w:rFonts w:ascii="Arial" w:hAnsi="Arial"/>
                <w:sz w:val="18"/>
              </w:rPr>
              <w:t>THESIS-2026-A5</w:t>
            </w:r>
          </w:p>
        </w:tc>
        <w:tc>
          <w:tcPr>
            <w:tcW w:type="dxa" w:w="2592"/>
            <w:tcMar>
              <w:top w:w="100" w:type="dxa"/>
              <w:bottom w:w="100" w:type="dxa"/>
              <w:left w:w="120" w:type="dxa"/>
              <w:right w:w="120" w:type="dxa"/>
            </w:tcMar>
          </w:tcPr>
          <w:p>
            <w:pPr>
              <w:spacing w:before="0" w:after="0"/>
            </w:pPr>
            <w:r>
              <w:rPr>
                <w:rFonts w:ascii="Arial" w:hAnsi="Arial"/>
                <w:sz w:val="18"/>
              </w:rPr>
              <w:t>Interactive_Museum_UI.fig</w:t>
            </w:r>
          </w:p>
        </w:tc>
        <w:tc>
          <w:tcPr>
            <w:tcW w:type="dxa" w:w="2592"/>
            <w:tcMar>
              <w:top w:w="100" w:type="dxa"/>
              <w:bottom w:w="100" w:type="dxa"/>
              <w:left w:w="120" w:type="dxa"/>
              <w:right w:w="120" w:type="dxa"/>
            </w:tcMar>
          </w:tcPr>
          <w:p>
            <w:pPr>
              <w:spacing w:before="0" w:after="0"/>
            </w:pPr>
            <w:r>
              <w:rPr>
                <w:rFonts w:ascii="Arial" w:hAnsi="Arial"/>
                <w:sz w:val="18"/>
              </w:rPr>
              <w:t>Figma Design System Components</w:t>
            </w:r>
          </w:p>
        </w:tc>
        <w:tc>
          <w:tcPr>
            <w:tcW w:type="dxa" w:w="2016"/>
            <w:tcMar>
              <w:top w:w="100" w:type="dxa"/>
              <w:bottom w:w="100" w:type="dxa"/>
              <w:left w:w="120" w:type="dxa"/>
              <w:right w:w="120" w:type="dxa"/>
            </w:tcMar>
          </w:tcPr>
          <w:p>
            <w:pPr>
              <w:spacing w:before="0" w:after="0"/>
            </w:pPr>
            <w:r>
              <w:rPr>
                <w:rFonts w:ascii="Arial" w:hAnsi="Arial"/>
                <w:i/>
                <w:color w:val="922B21"/>
                <w:sz w:val="18"/>
              </w:rPr>
              <w:t>Revisions Required</w:t>
            </w:r>
          </w:p>
        </w:tc>
        <w:tc>
          <w:tcPr>
            <w:tcW w:type="dxa" w:w="2016"/>
            <w:tcMar>
              <w:top w:w="100" w:type="dxa"/>
              <w:bottom w:w="100" w:type="dxa"/>
              <w:left w:w="120" w:type="dxa"/>
              <w:right w:w="120" w:type="dxa"/>
            </w:tcMar>
          </w:tcPr>
          <w:p>
            <w:pPr>
              <w:spacing w:before="0" w:after="0"/>
            </w:pPr>
            <w:r>
              <w:rPr>
                <w:rFonts w:ascii="Arial" w:hAnsi="Arial"/>
                <w:sz w:val="18"/>
              </w:rPr>
              <w:t>Resubmission Logged</w:t>
            </w:r>
          </w:p>
        </w:tc>
      </w:tr>
    </w:tbl>
    <w:p>
      <w:pPr>
        <w:keepNext/>
        <w:spacing w:before="240" w:after="80"/>
      </w:pPr>
      <w:r>
        <w:rPr>
          <w:rFonts w:ascii="Georgia" w:hAnsi="Georgia"/>
          <w:b/>
          <w:color w:val="7D6608"/>
          <w:sz w:val="26"/>
        </w:rPr>
        <w:t>2. Institutional Formatting Feedback &amp; Redlines</w:t>
      </w:r>
    </w:p>
    <w:p>
      <w:pPr>
        <w:pStyle w:val="ListBullet"/>
        <w:spacing w:before="40" w:after="80"/>
        <w:ind w:left="576"/>
      </w:pPr>
      <w:r>
        <w:rPr>
          <w:rFonts w:ascii="Arial" w:hAnsi="Arial"/>
          <w:b/>
          <w:color w:val="232B2B"/>
          <w:sz w:val="19"/>
        </w:rPr>
        <w:t>Grid Alignment (Urban Density Mapping):</w:t>
      </w:r>
      <w:r>
        <w:rPr>
          <w:rFonts w:ascii="Arial" w:hAnsi="Arial"/>
          <w:color w:val="232B2B"/>
          <w:sz w:val="19"/>
        </w:rPr>
        <w:t xml:space="preserve"> Geodatabase legends match alignment blocks cleanly. Text bounds properly scale to 100% viewport width without clipping.</w:t>
      </w:r>
    </w:p>
    <w:p>
      <w:pPr>
        <w:pStyle w:val="ListBullet"/>
        <w:spacing w:before="40" w:after="80"/>
        <w:ind w:left="576"/>
      </w:pPr>
      <w:r>
        <w:rPr>
          <w:rFonts w:ascii="Arial" w:hAnsi="Arial"/>
          <w:b/>
          <w:color w:val="232B2B"/>
          <w:sz w:val="19"/>
        </w:rPr>
        <w:t>Editorial Overlap (Typography Evolution Book):</w:t>
      </w:r>
      <w:r>
        <w:rPr>
          <w:rFonts w:ascii="Arial" w:hAnsi="Arial"/>
          <w:color w:val="232B2B"/>
          <w:sz w:val="19"/>
        </w:rPr>
        <w:t xml:space="preserve"> High priority error. Page 14 and Page 22 display baseline text collisions where line height definitions drop below font size. Readjust tracking variables.</w:t>
      </w:r>
    </w:p>
    <w:p>
      <w:pPr>
        <w:pStyle w:val="ListBullet"/>
        <w:spacing w:before="40" w:after="80"/>
        <w:ind w:left="576"/>
      </w:pPr>
      <w:r>
        <w:rPr>
          <w:rFonts w:ascii="Arial" w:hAnsi="Arial"/>
          <w:b/>
          <w:color w:val="232B2B"/>
          <w:sz w:val="19"/>
        </w:rPr>
        <w:t>Sustainable Packaging Outlines:</w:t>
      </w:r>
      <w:r>
        <w:rPr>
          <w:rFonts w:ascii="Arial" w:hAnsi="Arial"/>
          <w:color w:val="232B2B"/>
          <w:sz w:val="19"/>
        </w:rPr>
        <w:t xml:space="preserve"> Vector die-cuts are properly labeled on individual layers. Ensure bounding bleeds match standard 3mm thresholds for the campus workshop laser setup.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