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C3E50"/>
          <w:sz w:val="32"/>
        </w:rPr>
        <w:t>ACADEMIC PORTFOLIO JURY EVALUATION LOG</w:t>
      </w:r>
    </w:p>
    <w:p>
      <w:pPr>
        <w:jc w:val="center"/>
      </w:pPr>
      <w:r>
        <w:rPr>
          <w:rFonts w:ascii="Arial" w:hAnsi="Arial"/>
          <w:i/>
          <w:color w:val="7F8C8D"/>
          <w:sz w:val="22"/>
        </w:rPr>
        <w:t>Senior Graphic Design Thesis Studio | Review Cycle: Summer 2026</w:t>
      </w:r>
    </w:p>
    <w:p/>
    <w:p>
      <w:r>
        <w:rPr>
          <w:rFonts w:ascii="Arial" w:hAnsi="Arial"/>
          <w:b/>
          <w:color w:val="2980B9"/>
          <w:sz w:val="26"/>
        </w:rPr>
        <w:t>Faculty Committee Assessment Overview</w:t>
      </w:r>
    </w:p>
    <w:p>
      <w:r>
        <w:rPr>
          <w:rFonts w:ascii="Arial" w:hAnsi="Arial"/>
          <w:sz w:val="21"/>
        </w:rPr>
        <w:t>This feedback matrix outlines the structural, legal, and operational flags raised during the comprehensive portfolio jury review. Each design asset must achieve an explicit status of 'READY' to clear the thesis checkpoint. Any asset flagged with a 'REVISE' status must undergo severe modification, filtering against duplicate assets, and accessibility validation before public display approval is granted.</w:t>
      </w:r>
    </w:p>
    <w:p/>
    <w:tbl>
      <w:tblPr>
        <w:tblStyle w:val="LightShading-Accent1"/>
        <w:tblW w:type="auto" w:w="0"/>
        <w:tblLook w:firstColumn="1" w:firstRow="1" w:lastColumn="0" w:lastRow="0" w:noHBand="0" w:noVBand="1" w:val="04A0"/>
      </w:tblPr>
      <w:tblGrid>
        <w:gridCol w:w="2340"/>
        <w:gridCol w:w="2340"/>
        <w:gridCol w:w="2340"/>
        <w:gridCol w:w="2340"/>
      </w:tblGrid>
      <w:tr>
        <w:tc>
          <w:tcPr>
            <w:tcW w:type="dxa" w:w="2592"/>
            <w:shd w:val="clear" w:color="auto" w:fill="2C3E50"/>
            <w:tcMar>
              <w:top w:w="120" w:type="dxa"/>
              <w:bottom w:w="120" w:type="dxa"/>
              <w:left w:w="150" w:type="dxa"/>
              <w:right w:w="150" w:type="dxa"/>
            </w:tcMar>
          </w:tcPr>
          <w:p>
            <w:pPr>
              <w:jc w:val="left"/>
            </w:pPr>
            <w:r>
              <w:rPr>
                <w:rFonts w:ascii="Arial" w:hAnsi="Arial"/>
                <w:b/>
                <w:color w:val="FFFFFF"/>
                <w:sz w:val="20"/>
              </w:rPr>
              <w:t>Asset Token Reference</w:t>
            </w:r>
          </w:p>
        </w:tc>
        <w:tc>
          <w:tcPr>
            <w:tcW w:type="dxa" w:w="3888"/>
            <w:shd w:val="clear" w:color="auto" w:fill="2C3E50"/>
            <w:tcMar>
              <w:top w:w="120" w:type="dxa"/>
              <w:bottom w:w="120" w:type="dxa"/>
              <w:left w:w="150" w:type="dxa"/>
              <w:right w:w="150" w:type="dxa"/>
            </w:tcMar>
          </w:tcPr>
          <w:p>
            <w:pPr>
              <w:jc w:val="left"/>
            </w:pPr>
            <w:r>
              <w:rPr>
                <w:rFonts w:ascii="Arial" w:hAnsi="Arial"/>
                <w:b/>
                <w:color w:val="FFFFFF"/>
                <w:sz w:val="20"/>
              </w:rPr>
              <w:t>Jury Assessment &amp; Critique Note</w:t>
            </w:r>
          </w:p>
        </w:tc>
        <w:tc>
          <w:tcPr>
            <w:tcW w:type="dxa" w:w="1728"/>
            <w:shd w:val="clear" w:color="auto" w:fill="2C3E50"/>
            <w:tcMar>
              <w:top w:w="120" w:type="dxa"/>
              <w:bottom w:w="120" w:type="dxa"/>
              <w:left w:w="150" w:type="dxa"/>
              <w:right w:w="150" w:type="dxa"/>
            </w:tcMar>
          </w:tcPr>
          <w:p>
            <w:pPr>
              <w:jc w:val="left"/>
            </w:pPr>
            <w:r>
              <w:rPr>
                <w:rFonts w:ascii="Arial" w:hAnsi="Arial"/>
                <w:b/>
                <w:color w:val="FFFFFF"/>
                <w:sz w:val="20"/>
              </w:rPr>
              <w:t>Compliance Threat</w:t>
            </w:r>
          </w:p>
        </w:tc>
        <w:tc>
          <w:tcPr>
            <w:tcW w:type="dxa" w:w="1152"/>
            <w:shd w:val="clear" w:color="auto" w:fill="2C3E50"/>
            <w:tcMar>
              <w:top w:w="120" w:type="dxa"/>
              <w:bottom w:w="120" w:type="dxa"/>
              <w:left w:w="150" w:type="dxa"/>
              <w:right w:w="150" w:type="dxa"/>
            </w:tcMar>
          </w:tcPr>
          <w:p>
            <w:pPr>
              <w:jc w:val="center"/>
            </w:pPr>
            <w:r>
              <w:rPr>
                <w:rFonts w:ascii="Arial" w:hAnsi="Arial"/>
                <w:b/>
                <w:color w:val="FFFFFF"/>
                <w:sz w:val="20"/>
              </w:rPr>
              <w:t>Approval Status</w:t>
            </w:r>
          </w:p>
        </w:tc>
      </w:tr>
      <w:tr>
        <w:tc>
          <w:tcPr>
            <w:tcW w:type="dxa" w:w="2592"/>
            <w:shd w:val="clear" w:color="auto" w:fill="FFFFFF"/>
            <w:tcMar>
              <w:top w:w="100" w:type="dxa"/>
              <w:bottom w:w="100" w:type="dxa"/>
              <w:left w:w="150" w:type="dxa"/>
              <w:right w:w="150" w:type="dxa"/>
            </w:tcMar>
          </w:tcPr>
          <w:p>
            <w:pPr>
              <w:jc w:val="left"/>
            </w:pPr>
            <w:r>
              <w:rPr>
                <w:rFonts w:ascii="Arial" w:hAnsi="Arial"/>
                <w:color w:val="2C3E50"/>
                <w:sz w:val="19"/>
              </w:rPr>
              <w:t>CAMP_HERO_WEB_v1.webp</w:t>
            </w:r>
          </w:p>
        </w:tc>
        <w:tc>
          <w:tcPr>
            <w:tcW w:type="dxa" w:w="3888"/>
            <w:shd w:val="clear" w:color="auto" w:fill="FFFFFF"/>
            <w:tcMar>
              <w:top w:w="100" w:type="dxa"/>
              <w:bottom w:w="100" w:type="dxa"/>
              <w:left w:w="150" w:type="dxa"/>
              <w:right w:w="150" w:type="dxa"/>
            </w:tcMar>
          </w:tcPr>
          <w:p>
            <w:pPr>
              <w:jc w:val="left"/>
            </w:pPr>
            <w:r>
              <w:rPr>
                <w:rFonts w:ascii="Arial" w:hAnsi="Arial"/>
                <w:color w:val="2C3E50"/>
                <w:sz w:val="19"/>
              </w:rPr>
              <w:t>Layout structure functions extremely well across default test widths. However, typography layers fail basic background readability metrics.</w:t>
            </w:r>
          </w:p>
        </w:tc>
        <w:tc>
          <w:tcPr>
            <w:tcW w:type="dxa" w:w="1728"/>
            <w:shd w:val="clear" w:color="auto" w:fill="FFFFFF"/>
            <w:tcMar>
              <w:top w:w="100" w:type="dxa"/>
              <w:bottom w:w="100" w:type="dxa"/>
              <w:left w:w="150" w:type="dxa"/>
              <w:right w:w="150" w:type="dxa"/>
            </w:tcMar>
          </w:tcPr>
          <w:p>
            <w:pPr>
              <w:jc w:val="left"/>
            </w:pPr>
            <w:r>
              <w:rPr>
                <w:rFonts w:ascii="Arial" w:hAnsi="Arial"/>
                <w:color w:val="2C3E50"/>
                <w:sz w:val="19"/>
              </w:rPr>
              <w:t>WCAG AA Contrast Flaw</w:t>
            </w:r>
          </w:p>
        </w:tc>
        <w:tc>
          <w:tcPr>
            <w:tcW w:type="dxa" w:w="1152"/>
            <w:shd w:val="clear" w:color="auto" w:fill="FFFFFF"/>
            <w:tcMar>
              <w:top w:w="100" w:type="dxa"/>
              <w:bottom w:w="100" w:type="dxa"/>
              <w:left w:w="150" w:type="dxa"/>
              <w:right w:w="150" w:type="dxa"/>
            </w:tcMar>
          </w:tcPr>
          <w:p>
            <w:pPr>
              <w:jc w:val="center"/>
            </w:pPr>
            <w:r>
              <w:rPr>
                <w:rFonts w:ascii="Arial" w:hAnsi="Arial"/>
                <w:b/>
                <w:color w:val="E74C3C"/>
                <w:sz w:val="19"/>
              </w:rPr>
              <w:t>REVISE</w:t>
            </w:r>
          </w:p>
        </w:tc>
      </w:tr>
      <w:tr>
        <w:tc>
          <w:tcPr>
            <w:tcW w:type="dxa" w:w="2592"/>
            <w:shd w:val="clear" w:color="auto" w:fill="F4F6F6"/>
            <w:tcMar>
              <w:top w:w="100" w:type="dxa"/>
              <w:bottom w:w="100" w:type="dxa"/>
              <w:left w:w="150" w:type="dxa"/>
              <w:right w:w="150" w:type="dxa"/>
            </w:tcMar>
          </w:tcPr>
          <w:p>
            <w:pPr>
              <w:jc w:val="left"/>
            </w:pPr>
            <w:r>
              <w:rPr>
                <w:rFonts w:ascii="Arial" w:hAnsi="Arial"/>
                <w:color w:val="2C3E50"/>
                <w:sz w:val="19"/>
              </w:rPr>
              <w:t>CAMP_FEED_INSTA_v2.jpg</w:t>
            </w:r>
          </w:p>
        </w:tc>
        <w:tc>
          <w:tcPr>
            <w:tcW w:type="dxa" w:w="3888"/>
            <w:shd w:val="clear" w:color="auto" w:fill="F4F6F6"/>
            <w:tcMar>
              <w:top w:w="100" w:type="dxa"/>
              <w:bottom w:w="100" w:type="dxa"/>
              <w:left w:w="150" w:type="dxa"/>
              <w:right w:w="150" w:type="dxa"/>
            </w:tcMar>
          </w:tcPr>
          <w:p>
            <w:pPr>
              <w:jc w:val="left"/>
            </w:pPr>
            <w:r>
              <w:rPr>
                <w:rFonts w:ascii="Arial" w:hAnsi="Arial"/>
                <w:color w:val="2C3E50"/>
                <w:sz w:val="19"/>
              </w:rPr>
              <w:t>Social frame layouts pass visual balance and color distribution metrics. Safe to proceed to production export staging.</w:t>
            </w:r>
          </w:p>
        </w:tc>
        <w:tc>
          <w:tcPr>
            <w:tcW w:type="dxa" w:w="1728"/>
            <w:shd w:val="clear" w:color="auto" w:fill="F4F6F6"/>
            <w:tcMar>
              <w:top w:w="100" w:type="dxa"/>
              <w:bottom w:w="100" w:type="dxa"/>
              <w:left w:w="150" w:type="dxa"/>
              <w:right w:w="150" w:type="dxa"/>
            </w:tcMar>
          </w:tcPr>
          <w:p>
            <w:pPr>
              <w:jc w:val="left"/>
            </w:pPr>
            <w:r>
              <w:rPr>
                <w:rFonts w:ascii="Arial" w:hAnsi="Arial"/>
                <w:color w:val="2C3E50"/>
                <w:sz w:val="19"/>
              </w:rPr>
              <w:t>None (Cleared)</w:t>
            </w:r>
          </w:p>
        </w:tc>
        <w:tc>
          <w:tcPr>
            <w:tcW w:type="dxa" w:w="1152"/>
            <w:shd w:val="clear" w:color="auto" w:fill="F4F6F6"/>
            <w:tcMar>
              <w:top w:w="100" w:type="dxa"/>
              <w:bottom w:w="100" w:type="dxa"/>
              <w:left w:w="150" w:type="dxa"/>
              <w:right w:w="150" w:type="dxa"/>
            </w:tcMar>
          </w:tcPr>
          <w:p>
            <w:pPr>
              <w:jc w:val="center"/>
            </w:pPr>
            <w:r>
              <w:rPr>
                <w:rFonts w:ascii="Arial" w:hAnsi="Arial"/>
                <w:b/>
                <w:color w:val="2ECC71"/>
                <w:sz w:val="19"/>
              </w:rPr>
              <w:t>READY</w:t>
            </w:r>
          </w:p>
        </w:tc>
      </w:tr>
      <w:tr>
        <w:tc>
          <w:tcPr>
            <w:tcW w:type="dxa" w:w="2592"/>
            <w:shd w:val="clear" w:color="auto" w:fill="FFFFFF"/>
            <w:tcMar>
              <w:top w:w="100" w:type="dxa"/>
              <w:bottom w:w="100" w:type="dxa"/>
              <w:left w:w="150" w:type="dxa"/>
              <w:right w:w="150" w:type="dxa"/>
            </w:tcMar>
          </w:tcPr>
          <w:p>
            <w:pPr>
              <w:jc w:val="left"/>
            </w:pPr>
            <w:r>
              <w:rPr>
                <w:rFonts w:ascii="Arial" w:hAnsi="Arial"/>
                <w:color w:val="2C3E50"/>
                <w:sz w:val="19"/>
              </w:rPr>
              <w:t>LT2026_HERO_ALT_CONCEPT.jpg</w:t>
            </w:r>
          </w:p>
        </w:tc>
        <w:tc>
          <w:tcPr>
            <w:tcW w:type="dxa" w:w="3888"/>
            <w:shd w:val="clear" w:color="auto" w:fill="FFFFFF"/>
            <w:tcMar>
              <w:top w:w="100" w:type="dxa"/>
              <w:bottom w:w="100" w:type="dxa"/>
              <w:left w:w="150" w:type="dxa"/>
              <w:right w:w="150" w:type="dxa"/>
            </w:tcMar>
          </w:tcPr>
          <w:p>
            <w:pPr>
              <w:jc w:val="left"/>
            </w:pPr>
            <w:r>
              <w:rPr>
                <w:rFonts w:ascii="Arial" w:hAnsi="Arial"/>
                <w:color w:val="2C3E50"/>
                <w:sz w:val="19"/>
              </w:rPr>
              <w:t>This asset draws directly from restricted concepts that fail active intellectual property release agreements.</w:t>
            </w:r>
          </w:p>
        </w:tc>
        <w:tc>
          <w:tcPr>
            <w:tcW w:type="dxa" w:w="1728"/>
            <w:shd w:val="clear" w:color="auto" w:fill="FFFFFF"/>
            <w:tcMar>
              <w:top w:w="100" w:type="dxa"/>
              <w:bottom w:w="100" w:type="dxa"/>
              <w:left w:w="150" w:type="dxa"/>
              <w:right w:w="150" w:type="dxa"/>
            </w:tcMar>
          </w:tcPr>
          <w:p>
            <w:pPr>
              <w:jc w:val="left"/>
            </w:pPr>
            <w:r>
              <w:rPr>
                <w:rFonts w:ascii="Arial" w:hAnsi="Arial"/>
                <w:color w:val="2C3E50"/>
                <w:sz w:val="19"/>
              </w:rPr>
              <w:t>Unapproved Brand Assets</w:t>
            </w:r>
          </w:p>
        </w:tc>
        <w:tc>
          <w:tcPr>
            <w:tcW w:type="dxa" w:w="1152"/>
            <w:shd w:val="clear" w:color="auto" w:fill="FFFFFF"/>
            <w:tcMar>
              <w:top w:w="100" w:type="dxa"/>
              <w:bottom w:w="100" w:type="dxa"/>
              <w:left w:w="150" w:type="dxa"/>
              <w:right w:w="150" w:type="dxa"/>
            </w:tcMar>
          </w:tcPr>
          <w:p>
            <w:pPr>
              <w:jc w:val="center"/>
            </w:pPr>
            <w:r>
              <w:rPr>
                <w:rFonts w:ascii="Arial" w:hAnsi="Arial"/>
                <w:b/>
                <w:color w:val="E74C3C"/>
                <w:sz w:val="19"/>
              </w:rPr>
              <w:t>REVISE</w:t>
            </w:r>
          </w:p>
        </w:tc>
      </w:tr>
      <w:tr>
        <w:tc>
          <w:tcPr>
            <w:tcW w:type="dxa" w:w="2592"/>
            <w:shd w:val="clear" w:color="auto" w:fill="F4F6F6"/>
            <w:tcMar>
              <w:top w:w="100" w:type="dxa"/>
              <w:bottom w:w="100" w:type="dxa"/>
              <w:left w:w="150" w:type="dxa"/>
              <w:right w:w="150" w:type="dxa"/>
            </w:tcMar>
          </w:tcPr>
          <w:p>
            <w:pPr>
              <w:jc w:val="left"/>
            </w:pPr>
            <w:r>
              <w:rPr>
                <w:rFonts w:ascii="Arial" w:hAnsi="Arial"/>
                <w:color w:val="2C3E50"/>
                <w:sz w:val="19"/>
              </w:rPr>
              <w:t>CAMP_FLYER_PRINT_v1.pdf</w:t>
            </w:r>
          </w:p>
        </w:tc>
        <w:tc>
          <w:tcPr>
            <w:tcW w:type="dxa" w:w="3888"/>
            <w:shd w:val="clear" w:color="auto" w:fill="F4F6F6"/>
            <w:tcMar>
              <w:top w:w="100" w:type="dxa"/>
              <w:bottom w:w="100" w:type="dxa"/>
              <w:left w:w="150" w:type="dxa"/>
              <w:right w:w="150" w:type="dxa"/>
            </w:tcMar>
          </w:tcPr>
          <w:p>
            <w:pPr>
              <w:jc w:val="left"/>
            </w:pPr>
            <w:r>
              <w:rPr>
                <w:rFonts w:ascii="Arial" w:hAnsi="Arial"/>
                <w:color w:val="2C3E50"/>
                <w:sz w:val="19"/>
              </w:rPr>
              <w:t>CMYK print parameters and color bounds fit the mechanical press sheets perfectly. Content layout text is fully legible.</w:t>
            </w:r>
          </w:p>
        </w:tc>
        <w:tc>
          <w:tcPr>
            <w:tcW w:type="dxa" w:w="1728"/>
            <w:shd w:val="clear" w:color="auto" w:fill="F4F6F6"/>
            <w:tcMar>
              <w:top w:w="100" w:type="dxa"/>
              <w:bottom w:w="100" w:type="dxa"/>
              <w:left w:w="150" w:type="dxa"/>
              <w:right w:w="150" w:type="dxa"/>
            </w:tcMar>
          </w:tcPr>
          <w:p>
            <w:pPr>
              <w:jc w:val="left"/>
            </w:pPr>
            <w:r>
              <w:rPr>
                <w:rFonts w:ascii="Arial" w:hAnsi="Arial"/>
                <w:color w:val="2C3E50"/>
                <w:sz w:val="19"/>
              </w:rPr>
              <w:t>None (Cleared)</w:t>
            </w:r>
          </w:p>
        </w:tc>
        <w:tc>
          <w:tcPr>
            <w:tcW w:type="dxa" w:w="1152"/>
            <w:shd w:val="clear" w:color="auto" w:fill="F4F6F6"/>
            <w:tcMar>
              <w:top w:w="100" w:type="dxa"/>
              <w:bottom w:w="100" w:type="dxa"/>
              <w:left w:w="150" w:type="dxa"/>
              <w:right w:w="150" w:type="dxa"/>
            </w:tcMar>
          </w:tcPr>
          <w:p>
            <w:pPr>
              <w:jc w:val="center"/>
            </w:pPr>
            <w:r>
              <w:rPr>
                <w:rFonts w:ascii="Arial" w:hAnsi="Arial"/>
                <w:b/>
                <w:color w:val="2ECC71"/>
                <w:sz w:val="19"/>
              </w:rPr>
              <w:t>READY</w:t>
            </w:r>
          </w:p>
        </w:tc>
      </w:tr>
      <w:tr>
        <w:tc>
          <w:tcPr>
            <w:tcW w:type="dxa" w:w="2592"/>
            <w:shd w:val="clear" w:color="auto" w:fill="FFFFFF"/>
            <w:tcMar>
              <w:top w:w="100" w:type="dxa"/>
              <w:bottom w:w="100" w:type="dxa"/>
              <w:left w:w="150" w:type="dxa"/>
              <w:right w:w="150" w:type="dxa"/>
            </w:tcMar>
          </w:tcPr>
          <w:p>
            <w:pPr>
              <w:jc w:val="left"/>
            </w:pPr>
            <w:r>
              <w:rPr>
                <w:rFonts w:ascii="Arial" w:hAnsi="Arial"/>
                <w:color w:val="2C3E50"/>
                <w:sz w:val="19"/>
              </w:rPr>
              <w:t>CAMP_BOX_PACK_v4.pdf</w:t>
            </w:r>
          </w:p>
        </w:tc>
        <w:tc>
          <w:tcPr>
            <w:tcW w:type="dxa" w:w="3888"/>
            <w:shd w:val="clear" w:color="auto" w:fill="FFFFFF"/>
            <w:tcMar>
              <w:top w:w="100" w:type="dxa"/>
              <w:bottom w:w="100" w:type="dxa"/>
              <w:left w:w="150" w:type="dxa"/>
              <w:right w:w="150" w:type="dxa"/>
            </w:tcMar>
          </w:tcPr>
          <w:p>
            <w:pPr>
              <w:jc w:val="left"/>
            </w:pPr>
            <w:r>
              <w:rPr>
                <w:rFonts w:ascii="Arial" w:hAnsi="Arial"/>
                <w:color w:val="2C3E50"/>
                <w:sz w:val="19"/>
              </w:rPr>
              <w:t>3D structural die lines show exceptional skill. High-contrast typography layers fully clear legal copy criteria.</w:t>
            </w:r>
          </w:p>
        </w:tc>
        <w:tc>
          <w:tcPr>
            <w:tcW w:type="dxa" w:w="1728"/>
            <w:shd w:val="clear" w:color="auto" w:fill="FFFFFF"/>
            <w:tcMar>
              <w:top w:w="100" w:type="dxa"/>
              <w:bottom w:w="100" w:type="dxa"/>
              <w:left w:w="150" w:type="dxa"/>
              <w:right w:w="150" w:type="dxa"/>
            </w:tcMar>
          </w:tcPr>
          <w:p>
            <w:pPr>
              <w:jc w:val="left"/>
            </w:pPr>
            <w:r>
              <w:rPr>
                <w:rFonts w:ascii="Arial" w:hAnsi="Arial"/>
                <w:color w:val="2C3E50"/>
                <w:sz w:val="19"/>
              </w:rPr>
              <w:t>None (Cleared)</w:t>
            </w:r>
          </w:p>
        </w:tc>
        <w:tc>
          <w:tcPr>
            <w:tcW w:type="dxa" w:w="1152"/>
            <w:shd w:val="clear" w:color="auto" w:fill="FFFFFF"/>
            <w:tcMar>
              <w:top w:w="100" w:type="dxa"/>
              <w:bottom w:w="100" w:type="dxa"/>
              <w:left w:w="150" w:type="dxa"/>
              <w:right w:w="150" w:type="dxa"/>
            </w:tcMar>
          </w:tcPr>
          <w:p>
            <w:pPr>
              <w:jc w:val="center"/>
            </w:pPr>
            <w:r>
              <w:rPr>
                <w:rFonts w:ascii="Arial" w:hAnsi="Arial"/>
                <w:b/>
                <w:color w:val="2ECC71"/>
                <w:sz w:val="19"/>
              </w:rPr>
              <w:t>READY</w:t>
            </w:r>
          </w:p>
        </w:tc>
      </w:tr>
    </w:tbl>
    <w:p/>
    <w:p>
      <w:r>
        <w:rPr>
          <w:rFonts w:ascii="Arial" w:hAnsi="Arial"/>
          <w:b/>
          <w:color w:val="2C3E50"/>
          <w:sz w:val="22"/>
        </w:rPr>
        <w:t>Immediate Post-Review Action Items:</w:t>
      </w:r>
    </w:p>
    <w:p>
      <w:pPr>
        <w:pStyle w:val="ListBullet"/>
      </w:pPr>
      <w:r>
        <w:rPr>
          <w:rFonts w:ascii="Arial" w:hAnsi="Arial"/>
          <w:color w:val="34495E"/>
          <w:sz w:val="20"/>
        </w:rPr>
        <w:t>Run an explicit deduplication query against internal metadata files to filter out clone rows.</w:t>
      </w:r>
    </w:p>
    <w:p>
      <w:pPr>
        <w:pStyle w:val="ListBullet"/>
      </w:pPr>
      <w:r>
        <w:rPr>
          <w:rFonts w:ascii="Arial" w:hAnsi="Arial"/>
          <w:color w:val="34495E"/>
          <w:sz w:val="20"/>
        </w:rPr>
        <w:t>Correct contrast ratios on layout spreads flagged with 'REVISE' to ensure strict typography adherence.</w:t>
      </w:r>
    </w:p>
    <w:p>
      <w:pPr>
        <w:pStyle w:val="ListBullet"/>
      </w:pPr>
      <w:r>
        <w:rPr>
          <w:rFonts w:ascii="Arial" w:hAnsi="Arial"/>
          <w:color w:val="34495E"/>
          <w:sz w:val="20"/>
        </w:rPr>
        <w:t>Purge all references to restricted Lantern Tides concepts to maintain compliance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